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165100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(Mark</w:t>
      </w:r>
    </w:p>
    <w:p>
      <w:pPr>
        <w:spacing w:after="0" w:line="2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One)</w:t>
      </w:r>
    </w:p>
    <w:p>
      <w:pPr>
        <w:spacing w:after="0" w:line="223" w:lineRule="exact"/>
        <w:rPr>
          <w:sz w:val="24"/>
          <w:szCs w:val="24"/>
          <w:color w:val="auto"/>
        </w:rPr>
      </w:pPr>
    </w:p>
    <w:p>
      <w:pPr>
        <w:ind w:left="1980" w:right="1480" w:hanging="588"/>
        <w:spacing w:after="0" w:line="262" w:lineRule="auto"/>
        <w:tabs>
          <w:tab w:leader="none" w:pos="19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2012</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7" w:lineRule="exact"/>
        <w:rPr>
          <w:sz w:val="24"/>
          <w:szCs w:val="24"/>
          <w:color w:val="auto"/>
        </w:rPr>
      </w:pPr>
    </w:p>
    <w:p>
      <w:pPr>
        <w:ind w:left="1980" w:right="2400" w:hanging="547"/>
        <w:spacing w:after="0" w:line="262" w:lineRule="auto"/>
        <w:tabs>
          <w:tab w:leader="none" w:pos="1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2" w:lineRule="exact"/>
        <w:rPr>
          <w:sz w:val="24"/>
          <w:szCs w:val="24"/>
          <w:color w:val="auto"/>
        </w:rPr>
      </w:pPr>
    </w:p>
    <w:p>
      <w:pPr>
        <w:ind w:left="304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153670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TREE.COM, INC.</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240" w:top="692" w:right="299" w:bottom="0" w:gutter="0" w:footer="0" w:header="0"/>
        </w:sectPr>
      </w:pPr>
    </w:p>
    <w:p>
      <w:pPr>
        <w:spacing w:after="0" w:line="203"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3"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26-2414818</w:t>
      </w:r>
    </w:p>
    <w:p>
      <w:pPr>
        <w:spacing w:after="0" w:line="23"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700" w:space="720"/>
            <w:col w:w="3940"/>
          </w:cols>
          <w:pgMar w:left="240" w:top="692" w:right="299" w:bottom="0" w:gutter="0" w:footer="0" w:header="0"/>
          <w:type w:val="continuous"/>
        </w:sectPr>
      </w:pP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11115 Rushmore Drive, Charlotte, North Carolina 28277</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(704) 541-5351</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360"/>
          </w:cols>
          <w:pgMar w:left="240" w:top="692" w:right="299" w:bottom="0" w:gutter="0" w:footer="0" w:header="0"/>
          <w:type w:val="continuous"/>
        </w:sectPr>
      </w:pPr>
    </w:p>
    <w:p>
      <w:pPr>
        <w:spacing w:after="0" w:line="4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p>
      <w:pPr>
        <w:spacing w:after="0" w:line="32"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The NASDAQ Stock Market</w:t>
      </w:r>
    </w:p>
    <w:p>
      <w:pPr>
        <w:spacing w:after="0" w:line="200" w:lineRule="exact"/>
        <w:rPr>
          <w:sz w:val="24"/>
          <w:szCs w:val="24"/>
          <w:color w:val="auto"/>
        </w:rPr>
      </w:pPr>
    </w:p>
    <w:p>
      <w:pPr>
        <w:sectPr>
          <w:pgSz w:w="11900" w:h="16838" w:orient="portrait"/>
          <w:cols w:equalWidth="0" w:num="2">
            <w:col w:w="6520" w:space="720"/>
            <w:col w:w="4120"/>
          </w:cols>
          <w:pgMar w:left="240" w:top="692" w:right="299" w:bottom="0" w:gutter="0" w:footer="0" w:header="0"/>
          <w:type w:val="continuous"/>
        </w:sectPr>
      </w:pP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400" w:right="1460"/>
        <w:spacing w:after="0" w:line="35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Indicated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184" w:lineRule="exact"/>
        <w:rPr>
          <w:sz w:val="24"/>
          <w:szCs w:val="24"/>
          <w:color w:val="auto"/>
        </w:rPr>
      </w:pPr>
    </w:p>
    <w:p>
      <w:pPr>
        <w:ind w:right="220" w:firstLine="395"/>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84" w:lineRule="exact"/>
        <w:rPr>
          <w:sz w:val="24"/>
          <w:szCs w:val="24"/>
          <w:color w:val="auto"/>
        </w:rPr>
      </w:pPr>
    </w:p>
    <w:p>
      <w:pPr>
        <w:jc w:val="both"/>
        <w:ind w:firstLine="395"/>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ectPr>
          <w:pgSz w:w="11900" w:h="16838" w:orient="portrait"/>
          <w:cols w:equalWidth="0" w:num="1">
            <w:col w:w="11360"/>
          </w:cols>
          <w:pgMar w:left="240" w:top="692" w:right="299" w:bottom="0" w:gutter="0" w:footer="0" w:header="0"/>
          <w:type w:val="continuous"/>
        </w:sectPr>
      </w:pPr>
    </w:p>
    <w:bookmarkStart w:id="1" w:name="page2"/>
    <w:bookmarkEnd w:id="1"/>
    <w:p>
      <w:pPr>
        <w:ind w:firstLine="395"/>
        <w:spacing w:after="0" w:line="262"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86" w:lineRule="exact"/>
        <w:rPr>
          <w:sz w:val="20"/>
          <w:szCs w:val="20"/>
          <w:color w:val="auto"/>
        </w:rPr>
      </w:pPr>
    </w:p>
    <w:p>
      <w:pPr>
        <w:ind w:right="180" w:firstLine="395"/>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125" w:right="319" w:bottom="1440" w:gutter="0" w:footer="0" w:header="0"/>
        </w:sectPr>
      </w:pP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90" w:lineRule="exact"/>
        <w:rPr>
          <w:sz w:val="20"/>
          <w:szCs w:val="20"/>
          <w:color w:val="auto"/>
        </w:rPr>
      </w:pPr>
    </w:p>
    <w:p>
      <w:pPr>
        <w:sectPr>
          <w:pgSz w:w="11900" w:h="16838" w:orient="portrait"/>
          <w:cols w:equalWidth="0" w:num="4">
            <w:col w:w="2220" w:space="720"/>
            <w:col w:w="2160" w:space="720"/>
            <w:col w:w="2560" w:space="720"/>
            <w:col w:w="2240"/>
          </w:cols>
          <w:pgMar w:left="240" w:top="125" w:right="319" w:bottom="1440" w:gutter="0" w:footer="0" w:header="0"/>
          <w:type w:val="continuous"/>
        </w:sectPr>
      </w:pPr>
    </w:p>
    <w:p>
      <w:pPr>
        <w:ind w:left="5380"/>
        <w:spacing w:after="0"/>
        <w:rPr>
          <w:sz w:val="20"/>
          <w:szCs w:val="20"/>
          <w:color w:val="auto"/>
        </w:rPr>
      </w:pPr>
      <w:r>
        <w:rPr>
          <w:rFonts w:ascii="Times New Roman" w:cs="Times New Roman" w:eastAsia="Times New Roman" w:hAnsi="Times New Roman"/>
          <w:sz w:val="12"/>
          <w:szCs w:val="12"/>
          <w:color w:val="auto"/>
        </w:rPr>
        <w:t>(Do not check if a smaller reporting company)</w:t>
      </w:r>
    </w:p>
    <w:p>
      <w:pPr>
        <w:sectPr>
          <w:pgSz w:w="11900" w:h="16838" w:orient="portrait"/>
          <w:cols w:equalWidth="0" w:num="1">
            <w:col w:w="11340"/>
          </w:cols>
          <w:pgMar w:left="240" w:top="125" w:right="319" w:bottom="1440" w:gutter="0" w:footer="0" w:header="0"/>
          <w:type w:val="continuous"/>
        </w:sectPr>
      </w:pP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6" w:lineRule="exact"/>
        <w:rPr>
          <w:sz w:val="20"/>
          <w:szCs w:val="20"/>
          <w:color w:val="auto"/>
        </w:rPr>
      </w:pPr>
    </w:p>
    <w:p>
      <w:pPr>
        <w:sectPr>
          <w:pgSz w:w="11900" w:h="16838" w:orient="portrait"/>
          <w:cols w:equalWidth="0" w:num="2">
            <w:col w:w="8120" w:space="180"/>
            <w:col w:w="3040"/>
          </w:cols>
          <w:pgMar w:left="240" w:top="125" w:right="319" w:bottom="1440" w:gutter="0" w:footer="0" w:header="0"/>
          <w:type w:val="continuous"/>
        </w:sectPr>
      </w:pPr>
    </w:p>
    <w:p>
      <w:pPr>
        <w:spacing w:after="0" w:line="48" w:lineRule="exact"/>
        <w:rPr>
          <w:sz w:val="20"/>
          <w:szCs w:val="20"/>
          <w:color w:val="auto"/>
        </w:rPr>
      </w:pPr>
    </w:p>
    <w:p>
      <w:pPr>
        <w:ind w:right="120" w:firstLine="392"/>
        <w:spacing w:after="0" w:line="262" w:lineRule="auto"/>
        <w:rPr>
          <w:sz w:val="20"/>
          <w:szCs w:val="20"/>
          <w:color w:val="auto"/>
        </w:rPr>
      </w:pPr>
      <w:r>
        <w:rPr>
          <w:rFonts w:ascii="Times New Roman" w:cs="Times New Roman" w:eastAsia="Times New Roman" w:hAnsi="Times New Roman"/>
          <w:sz w:val="18"/>
          <w:szCs w:val="18"/>
          <w:color w:val="auto"/>
        </w:rPr>
        <w:t>The aggregate market value of the voting common stock held by non-affiliates of the Registrant as of June 29, 2012 was $71,208,274. For the purposes of the forgoing calculation only, all directors and executive officers of the Registrant and third parties that own 10% or more of the voting common stock are assumed to be affiliates of the Registrant.</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28, 2013, there were 11,638,457 shares of the Registrant's common stock, par value $.01 per share, outstanding.</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Portions of the Registrant's proxy statement for its 2013 Annual Meeting of Stockholders are incorporated by reference into Part III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510540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80" w:type="dxa"/>
            <w:vAlign w:val="bottom"/>
            <w:gridSpan w:val="19"/>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580" w:type="dxa"/>
            <w:vAlign w:val="bottom"/>
            <w:gridSpan w:val="2"/>
            <w:vMerge w:val="restart"/>
          </w:tcPr>
          <w:p>
            <w:pPr>
              <w:jc w:val="center"/>
              <w:spacing w:after="0"/>
              <w:rPr>
                <w:rFonts w:ascii="Times New Roman" w:cs="Times New Roman" w:eastAsia="Times New Roman" w:hAnsi="Times New Roman"/>
                <w:sz w:val="18"/>
                <w:szCs w:val="18"/>
                <w:b w:val="1"/>
                <w:bCs w:val="1"/>
                <w:color w:val="0000EE"/>
                <w:w w:val="95"/>
              </w:rPr>
            </w:pPr>
            <w:hyperlink w:anchor="page4">
              <w:r>
                <w:rPr>
                  <w:rFonts w:ascii="Times New Roman" w:cs="Times New Roman" w:eastAsia="Times New Roman" w:hAnsi="Times New Roman"/>
                  <w:sz w:val="18"/>
                  <w:szCs w:val="18"/>
                  <w:b w:val="1"/>
                  <w:bCs w:val="1"/>
                  <w:color w:val="0000EE"/>
                  <w:w w:val="95"/>
                </w:rPr>
                <w:t>PART I</w:t>
              </w:r>
            </w:hyperlink>
          </w:p>
        </w:tc>
        <w:tc>
          <w:tcPr>
            <w:tcW w:w="3940" w:type="dxa"/>
            <w:vAlign w:val="bottom"/>
            <w:gridSpan w:val="11"/>
            <w:vMerge w:val="restart"/>
          </w:tcPr>
          <w:p>
            <w:pPr>
              <w:spacing w:after="0"/>
              <w:rPr>
                <w:sz w:val="24"/>
                <w:szCs w:val="24"/>
                <w:color w:val="auto"/>
              </w:rPr>
            </w:pP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80" w:type="dxa"/>
            <w:vAlign w:val="bottom"/>
            <w:tcBorders>
              <w:bottom w:val="single" w:sz="8" w:color="0000EE"/>
            </w:tcBorders>
            <w:gridSpan w:val="2"/>
            <w:vMerge w:val="continue"/>
          </w:tcPr>
          <w:p>
            <w:pPr>
              <w:spacing w:after="0"/>
              <w:rPr>
                <w:sz w:val="14"/>
                <w:szCs w:val="14"/>
                <w:color w:val="auto"/>
              </w:rPr>
            </w:pPr>
          </w:p>
        </w:tc>
        <w:tc>
          <w:tcPr>
            <w:tcW w:w="3940" w:type="dxa"/>
            <w:vAlign w:val="bottom"/>
            <w:gridSpan w:val="11"/>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4">
              <w:r>
                <w:rPr>
                  <w:rFonts w:ascii="Times New Roman" w:cs="Times New Roman" w:eastAsia="Times New Roman" w:hAnsi="Times New Roman"/>
                  <w:sz w:val="18"/>
                  <w:szCs w:val="18"/>
                  <w:b w:val="1"/>
                  <w:bCs w:val="1"/>
                  <w:color w:val="0000EE"/>
                  <w:w w:val="96"/>
                </w:rPr>
                <w:t>Item 1.</w:t>
              </w:r>
            </w:hyperlink>
          </w:p>
        </w:tc>
        <w:tc>
          <w:tcPr>
            <w:tcW w:w="240" w:type="dxa"/>
            <w:vAlign w:val="bottom"/>
            <w:gridSpan w:val="2"/>
          </w:tcPr>
          <w:p>
            <w:pPr>
              <w:spacing w:after="0"/>
              <w:rPr>
                <w:sz w:val="24"/>
                <w:szCs w:val="24"/>
                <w:color w:val="auto"/>
              </w:rPr>
            </w:pPr>
          </w:p>
        </w:tc>
        <w:tc>
          <w:tcPr>
            <w:tcW w:w="8020" w:type="dxa"/>
            <w:vAlign w:val="bottom"/>
            <w:gridSpan w:val="30"/>
          </w:tcPr>
          <w:p>
            <w:pPr>
              <w:ind w:left="140"/>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Business</w:t>
              </w:r>
            </w:hyperlink>
          </w:p>
        </w:tc>
        <w:tc>
          <w:tcPr>
            <w:tcW w:w="340" w:type="dxa"/>
            <w:vAlign w:val="bottom"/>
            <w:gridSpan w:val="3"/>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gridSpan w:val="2"/>
          </w:tcPr>
          <w:p>
            <w:pPr>
              <w:spacing w:after="0" w:line="196" w:lineRule="exact"/>
              <w:rPr>
                <w:rFonts w:ascii="Times New Roman" w:cs="Times New Roman" w:eastAsia="Times New Roman" w:hAnsi="Times New Roman"/>
                <w:sz w:val="18"/>
                <w:szCs w:val="18"/>
                <w:b w:val="1"/>
                <w:bCs w:val="1"/>
                <w:color w:val="0000EE"/>
                <w:w w:val="86"/>
              </w:rPr>
            </w:pPr>
            <w:hyperlink w:anchor="page11">
              <w:r>
                <w:rPr>
                  <w:rFonts w:ascii="Times New Roman" w:cs="Times New Roman" w:eastAsia="Times New Roman" w:hAnsi="Times New Roman"/>
                  <w:sz w:val="18"/>
                  <w:szCs w:val="18"/>
                  <w:b w:val="1"/>
                  <w:bCs w:val="1"/>
                  <w:color w:val="0000EE"/>
                  <w:w w:val="86"/>
                </w:rPr>
                <w:t>Item 1A.</w:t>
              </w:r>
            </w:hyperlink>
          </w:p>
        </w:tc>
        <w:tc>
          <w:tcPr>
            <w:tcW w:w="160" w:type="dxa"/>
            <w:vAlign w:val="bottom"/>
          </w:tcPr>
          <w:p>
            <w:pPr>
              <w:spacing w:after="0"/>
              <w:rPr>
                <w:sz w:val="17"/>
                <w:szCs w:val="17"/>
                <w:color w:val="auto"/>
              </w:rPr>
            </w:pPr>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11">
              <w:r>
                <w:rPr>
                  <w:rFonts w:ascii="Times New Roman" w:cs="Times New Roman" w:eastAsia="Times New Roman" w:hAnsi="Times New Roman"/>
                  <w:sz w:val="18"/>
                  <w:szCs w:val="18"/>
                  <w:b w:val="1"/>
                  <w:bCs w:val="1"/>
                  <w:color w:val="0000EE"/>
                </w:rPr>
                <w:t>Risk Factors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gridSpan w:val="2"/>
          </w:tcPr>
          <w:p>
            <w:pPr>
              <w:spacing w:after="0" w:line="196" w:lineRule="exact"/>
              <w:rPr>
                <w:rFonts w:ascii="Times New Roman" w:cs="Times New Roman" w:eastAsia="Times New Roman" w:hAnsi="Times New Roman"/>
                <w:sz w:val="18"/>
                <w:szCs w:val="18"/>
                <w:b w:val="1"/>
                <w:bCs w:val="1"/>
                <w:color w:val="0000EE"/>
                <w:w w:val="87"/>
              </w:rPr>
            </w:pPr>
            <w:hyperlink w:anchor="page23">
              <w:r>
                <w:rPr>
                  <w:rFonts w:ascii="Times New Roman" w:cs="Times New Roman" w:eastAsia="Times New Roman" w:hAnsi="Times New Roman"/>
                  <w:sz w:val="18"/>
                  <w:szCs w:val="18"/>
                  <w:b w:val="1"/>
                  <w:bCs w:val="1"/>
                  <w:color w:val="0000EE"/>
                  <w:w w:val="87"/>
                </w:rPr>
                <w:t>Item 1B.</w:t>
              </w:r>
            </w:hyperlink>
          </w:p>
        </w:tc>
        <w:tc>
          <w:tcPr>
            <w:tcW w:w="160" w:type="dxa"/>
            <w:vAlign w:val="bottom"/>
          </w:tcPr>
          <w:p>
            <w:pPr>
              <w:spacing w:after="0"/>
              <w:rPr>
                <w:sz w:val="17"/>
                <w:szCs w:val="17"/>
                <w:color w:val="auto"/>
              </w:rPr>
            </w:pPr>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Unresolved Staff Comments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Times New Roman" w:cs="Times New Roman" w:eastAsia="Times New Roman" w:hAnsi="Times New Roman"/>
                <w:sz w:val="18"/>
                <w:szCs w:val="18"/>
                <w:b w:val="1"/>
                <w:bCs w:val="1"/>
                <w:color w:val="0000EE"/>
                <w:w w:val="96"/>
              </w:rPr>
            </w:pPr>
            <w:hyperlink w:anchor="page23">
              <w:r>
                <w:rPr>
                  <w:rFonts w:ascii="Times New Roman" w:cs="Times New Roman" w:eastAsia="Times New Roman" w:hAnsi="Times New Roman"/>
                  <w:sz w:val="18"/>
                  <w:szCs w:val="18"/>
                  <w:b w:val="1"/>
                  <w:bCs w:val="1"/>
                  <w:color w:val="0000EE"/>
                  <w:w w:val="96"/>
                </w:rPr>
                <w:t>Item 2.</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Properties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Times New Roman" w:cs="Times New Roman" w:eastAsia="Times New Roman" w:hAnsi="Times New Roman"/>
                <w:sz w:val="18"/>
                <w:szCs w:val="18"/>
                <w:b w:val="1"/>
                <w:bCs w:val="1"/>
                <w:color w:val="0000EE"/>
                <w:w w:val="96"/>
              </w:rPr>
            </w:pPr>
            <w:hyperlink w:anchor="page24">
              <w:r>
                <w:rPr>
                  <w:rFonts w:ascii="Times New Roman" w:cs="Times New Roman" w:eastAsia="Times New Roman" w:hAnsi="Times New Roman"/>
                  <w:sz w:val="18"/>
                  <w:szCs w:val="18"/>
                  <w:b w:val="1"/>
                  <w:bCs w:val="1"/>
                  <w:color w:val="0000EE"/>
                  <w:w w:val="96"/>
                </w:rPr>
                <w:t>Item 3.</w:t>
              </w:r>
            </w:hyperlink>
          </w:p>
        </w:tc>
        <w:tc>
          <w:tcPr>
            <w:tcW w:w="240" w:type="dxa"/>
            <w:vAlign w:val="bottom"/>
            <w:gridSpan w:val="2"/>
          </w:tcPr>
          <w:p>
            <w:pPr>
              <w:spacing w:after="0"/>
              <w:rPr>
                <w:sz w:val="17"/>
                <w:szCs w:val="17"/>
                <w:color w:val="auto"/>
              </w:rPr>
            </w:pPr>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24">
              <w:r>
                <w:rPr>
                  <w:rFonts w:ascii="Times New Roman" w:cs="Times New Roman" w:eastAsia="Times New Roman" w:hAnsi="Times New Roman"/>
                  <w:sz w:val="18"/>
                  <w:szCs w:val="18"/>
                  <w:b w:val="1"/>
                  <w:bCs w:val="1"/>
                  <w:color w:val="0000EE"/>
                </w:rPr>
                <w:t>Legal Proceedings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Times New Roman" w:cs="Times New Roman" w:eastAsia="Times New Roman" w:hAnsi="Times New Roman"/>
                <w:sz w:val="18"/>
                <w:szCs w:val="18"/>
                <w:b w:val="1"/>
                <w:bCs w:val="1"/>
                <w:color w:val="0000EE"/>
                <w:w w:val="96"/>
              </w:rPr>
            </w:pPr>
            <w:hyperlink w:anchor="page25">
              <w:r>
                <w:rPr>
                  <w:rFonts w:ascii="Times New Roman" w:cs="Times New Roman" w:eastAsia="Times New Roman" w:hAnsi="Times New Roman"/>
                  <w:sz w:val="18"/>
                  <w:szCs w:val="18"/>
                  <w:b w:val="1"/>
                  <w:bCs w:val="1"/>
                  <w:color w:val="0000EE"/>
                  <w:w w:val="96"/>
                </w:rPr>
                <w:t>Item 4.</w:t>
              </w:r>
            </w:hyperlink>
          </w:p>
        </w:tc>
        <w:tc>
          <w:tcPr>
            <w:tcW w:w="240" w:type="dxa"/>
            <w:vAlign w:val="bottom"/>
            <w:gridSpan w:val="2"/>
          </w:tcPr>
          <w:p>
            <w:pPr>
              <w:spacing w:after="0"/>
              <w:rPr>
                <w:sz w:val="17"/>
                <w:szCs w:val="17"/>
                <w:color w:val="auto"/>
              </w:rPr>
            </w:pPr>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Mine Safety Disclosures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4"/>
          </w:tcPr>
          <w:p>
            <w:pPr>
              <w:jc w:val="center"/>
              <w:spacing w:after="0"/>
              <w:rPr>
                <w:rFonts w:ascii="Times New Roman" w:cs="Times New Roman" w:eastAsia="Times New Roman" w:hAnsi="Times New Roman"/>
                <w:sz w:val="18"/>
                <w:szCs w:val="18"/>
                <w:b w:val="1"/>
                <w:bCs w:val="1"/>
                <w:color w:val="0000EE"/>
                <w:w w:val="94"/>
              </w:rPr>
            </w:pPr>
            <w:hyperlink w:anchor="page26">
              <w:r>
                <w:rPr>
                  <w:rFonts w:ascii="Times New Roman" w:cs="Times New Roman" w:eastAsia="Times New Roman" w:hAnsi="Times New Roman"/>
                  <w:sz w:val="18"/>
                  <w:szCs w:val="18"/>
                  <w:b w:val="1"/>
                  <w:bCs w:val="1"/>
                  <w:color w:val="0000EE"/>
                  <w:w w:val="94"/>
                </w:rPr>
                <w:t>PART II</w:t>
              </w:r>
            </w:hyperlink>
          </w:p>
        </w:tc>
        <w:tc>
          <w:tcPr>
            <w:tcW w:w="390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26">
              <w:r>
                <w:rPr>
                  <w:rFonts w:ascii="Times New Roman" w:cs="Times New Roman" w:eastAsia="Times New Roman" w:hAnsi="Times New Roman"/>
                  <w:sz w:val="18"/>
                  <w:szCs w:val="18"/>
                  <w:b w:val="1"/>
                  <w:bCs w:val="1"/>
                  <w:color w:val="0000EE"/>
                  <w:w w:val="96"/>
                </w:rPr>
                <w:t>Item 5.</w:t>
              </w:r>
            </w:hyperlink>
          </w:p>
        </w:tc>
        <w:tc>
          <w:tcPr>
            <w:tcW w:w="240" w:type="dxa"/>
            <w:vAlign w:val="bottom"/>
            <w:gridSpan w:val="2"/>
          </w:tcPr>
          <w:p>
            <w:pPr>
              <w:spacing w:after="0"/>
              <w:rPr>
                <w:sz w:val="24"/>
                <w:szCs w:val="24"/>
                <w:color w:val="auto"/>
              </w:rPr>
            </w:pPr>
          </w:p>
        </w:tc>
        <w:tc>
          <w:tcPr>
            <w:tcW w:w="8020" w:type="dxa"/>
            <w:vAlign w:val="bottom"/>
            <w:gridSpan w:val="30"/>
          </w:tcPr>
          <w:p>
            <w:pPr>
              <w:ind w:left="140"/>
              <w:spacing w:after="0"/>
              <w:rPr>
                <w:rFonts w:ascii="Times New Roman" w:cs="Times New Roman" w:eastAsia="Times New Roman" w:hAnsi="Times New Roman"/>
                <w:sz w:val="18"/>
                <w:szCs w:val="18"/>
                <w:b w:val="1"/>
                <w:bCs w:val="1"/>
                <w:color w:val="0000EE"/>
                <w:w w:val="99"/>
              </w:rPr>
            </w:pPr>
            <w:hyperlink w:anchor="page26">
              <w:r>
                <w:rPr>
                  <w:rFonts w:ascii="Times New Roman" w:cs="Times New Roman" w:eastAsia="Times New Roman" w:hAnsi="Times New Roman"/>
                  <w:sz w:val="18"/>
                  <w:szCs w:val="18"/>
                  <w:b w:val="1"/>
                  <w:bCs w:val="1"/>
                  <w:color w:val="0000EE"/>
                  <w:w w:val="99"/>
                </w:rPr>
                <w:t>Market for Registrant's Common Equity, Related Stockholder Matters and Issuer Purchases of Equity</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5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b w:val="1"/>
                <w:bCs w:val="1"/>
                <w:color w:val="0000EE"/>
              </w:rPr>
            </w:pPr>
            <w:hyperlink w:anchor="page26">
              <w:r>
                <w:rPr>
                  <w:rFonts w:ascii="Times New Roman" w:cs="Times New Roman" w:eastAsia="Times New Roman" w:hAnsi="Times New Roman"/>
                  <w:sz w:val="18"/>
                  <w:szCs w:val="18"/>
                  <w:b w:val="1"/>
                  <w:bCs w:val="1"/>
                  <w:color w:val="0000EE"/>
                </w:rPr>
                <w:t>Securities</w:t>
              </w:r>
            </w:hyperlink>
          </w:p>
        </w:tc>
        <w:tc>
          <w:tcPr>
            <w:tcW w:w="200" w:type="dxa"/>
            <w:vAlign w:val="bottom"/>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Times New Roman" w:cs="Times New Roman" w:eastAsia="Times New Roman" w:hAnsi="Times New Roman"/>
                <w:sz w:val="18"/>
                <w:szCs w:val="18"/>
                <w:b w:val="1"/>
                <w:bCs w:val="1"/>
                <w:color w:val="0000EE"/>
                <w:w w:val="96"/>
              </w:rPr>
            </w:pPr>
            <w:hyperlink w:anchor="page27">
              <w:r>
                <w:rPr>
                  <w:rFonts w:ascii="Times New Roman" w:cs="Times New Roman" w:eastAsia="Times New Roman" w:hAnsi="Times New Roman"/>
                  <w:sz w:val="18"/>
                  <w:szCs w:val="18"/>
                  <w:b w:val="1"/>
                  <w:bCs w:val="1"/>
                  <w:color w:val="0000EE"/>
                  <w:w w:val="96"/>
                </w:rPr>
                <w:t>Item 6.</w:t>
              </w:r>
            </w:hyperlink>
          </w:p>
        </w:tc>
        <w:tc>
          <w:tcPr>
            <w:tcW w:w="240" w:type="dxa"/>
            <w:vAlign w:val="bottom"/>
            <w:gridSpan w:val="2"/>
          </w:tcPr>
          <w:p>
            <w:pPr>
              <w:spacing w:after="0"/>
              <w:rPr>
                <w:sz w:val="17"/>
                <w:szCs w:val="17"/>
                <w:color w:val="auto"/>
              </w:rPr>
            </w:pPr>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Selected Financial Data</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Times New Roman" w:cs="Times New Roman" w:eastAsia="Times New Roman" w:hAnsi="Times New Roman"/>
                <w:sz w:val="18"/>
                <w:szCs w:val="18"/>
                <w:b w:val="1"/>
                <w:bCs w:val="1"/>
                <w:color w:val="0000EE"/>
                <w:w w:val="96"/>
              </w:rPr>
            </w:pPr>
            <w:hyperlink w:anchor="page27">
              <w:r>
                <w:rPr>
                  <w:rFonts w:ascii="Times New Roman" w:cs="Times New Roman" w:eastAsia="Times New Roman" w:hAnsi="Times New Roman"/>
                  <w:sz w:val="18"/>
                  <w:szCs w:val="18"/>
                  <w:b w:val="1"/>
                  <w:bCs w:val="1"/>
                  <w:color w:val="0000EE"/>
                  <w:w w:val="96"/>
                </w:rPr>
                <w:t>Item 7.</w:t>
              </w:r>
            </w:hyperlink>
          </w:p>
        </w:tc>
        <w:tc>
          <w:tcPr>
            <w:tcW w:w="240" w:type="dxa"/>
            <w:vAlign w:val="bottom"/>
            <w:gridSpan w:val="2"/>
          </w:tcPr>
          <w:p>
            <w:pPr>
              <w:spacing w:after="0"/>
              <w:rPr>
                <w:sz w:val="17"/>
                <w:szCs w:val="17"/>
                <w:color w:val="auto"/>
              </w:rPr>
            </w:pPr>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gridSpan w:val="2"/>
          </w:tcPr>
          <w:p>
            <w:pPr>
              <w:spacing w:after="0" w:line="196" w:lineRule="exact"/>
              <w:rPr>
                <w:rFonts w:ascii="Times New Roman" w:cs="Times New Roman" w:eastAsia="Times New Roman" w:hAnsi="Times New Roman"/>
                <w:sz w:val="18"/>
                <w:szCs w:val="18"/>
                <w:b w:val="1"/>
                <w:bCs w:val="1"/>
                <w:color w:val="0000EE"/>
                <w:w w:val="86"/>
              </w:rPr>
            </w:pPr>
            <w:hyperlink w:anchor="page40">
              <w:r>
                <w:rPr>
                  <w:rFonts w:ascii="Times New Roman" w:cs="Times New Roman" w:eastAsia="Times New Roman" w:hAnsi="Times New Roman"/>
                  <w:sz w:val="18"/>
                  <w:szCs w:val="18"/>
                  <w:b w:val="1"/>
                  <w:bCs w:val="1"/>
                  <w:color w:val="0000EE"/>
                  <w:w w:val="86"/>
                </w:rPr>
                <w:t>Item 7A.</w:t>
              </w:r>
            </w:hyperlink>
          </w:p>
        </w:tc>
        <w:tc>
          <w:tcPr>
            <w:tcW w:w="160" w:type="dxa"/>
            <w:vAlign w:val="bottom"/>
          </w:tcPr>
          <w:p>
            <w:pPr>
              <w:spacing w:after="0"/>
              <w:rPr>
                <w:sz w:val="17"/>
                <w:szCs w:val="17"/>
                <w:color w:val="auto"/>
              </w:rPr>
            </w:pPr>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Quantitative and Qualitative Disclosures about Market Risk</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Times New Roman" w:cs="Times New Roman" w:eastAsia="Times New Roman" w:hAnsi="Times New Roman"/>
                <w:sz w:val="18"/>
                <w:szCs w:val="18"/>
                <w:b w:val="1"/>
                <w:bCs w:val="1"/>
                <w:color w:val="0000EE"/>
                <w:w w:val="96"/>
              </w:rPr>
            </w:pPr>
            <w:hyperlink w:anchor="page41">
              <w:r>
                <w:rPr>
                  <w:rFonts w:ascii="Times New Roman" w:cs="Times New Roman" w:eastAsia="Times New Roman" w:hAnsi="Times New Roman"/>
                  <w:sz w:val="18"/>
                  <w:szCs w:val="18"/>
                  <w:b w:val="1"/>
                  <w:bCs w:val="1"/>
                  <w:color w:val="0000EE"/>
                  <w:w w:val="96"/>
                </w:rPr>
                <w:t>Item 8.</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Financial Statements and Supplementary Data</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Times New Roman" w:cs="Times New Roman" w:eastAsia="Times New Roman" w:hAnsi="Times New Roman"/>
                <w:sz w:val="18"/>
                <w:szCs w:val="18"/>
                <w:b w:val="1"/>
                <w:bCs w:val="1"/>
                <w:color w:val="0000EE"/>
                <w:w w:val="96"/>
              </w:rPr>
            </w:pPr>
            <w:hyperlink w:anchor="page88">
              <w:r>
                <w:rPr>
                  <w:rFonts w:ascii="Times New Roman" w:cs="Times New Roman" w:eastAsia="Times New Roman" w:hAnsi="Times New Roman"/>
                  <w:sz w:val="18"/>
                  <w:szCs w:val="18"/>
                  <w:b w:val="1"/>
                  <w:bCs w:val="1"/>
                  <w:color w:val="0000EE"/>
                  <w:w w:val="96"/>
                </w:rPr>
                <w:t>Item 9.</w:t>
              </w:r>
            </w:hyperlink>
          </w:p>
        </w:tc>
        <w:tc>
          <w:tcPr>
            <w:tcW w:w="240" w:type="dxa"/>
            <w:vAlign w:val="bottom"/>
            <w:gridSpan w:val="2"/>
          </w:tcPr>
          <w:p>
            <w:pPr>
              <w:spacing w:after="0"/>
              <w:rPr>
                <w:sz w:val="17"/>
                <w:szCs w:val="17"/>
                <w:color w:val="auto"/>
              </w:rPr>
            </w:pPr>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88">
              <w:r>
                <w:rPr>
                  <w:rFonts w:ascii="Times New Roman" w:cs="Times New Roman" w:eastAsia="Times New Roman" w:hAnsi="Times New Roman"/>
                  <w:sz w:val="18"/>
                  <w:szCs w:val="18"/>
                  <w:b w:val="1"/>
                  <w:bCs w:val="1"/>
                  <w:color w:val="0000EE"/>
                </w:rPr>
                <w:t>Changes in and Disagreements With Accountants on Accounting and Financial Disclosure</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85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gridSpan w:val="2"/>
          </w:tcPr>
          <w:p>
            <w:pPr>
              <w:spacing w:after="0" w:line="196" w:lineRule="exact"/>
              <w:rPr>
                <w:rFonts w:ascii="Times New Roman" w:cs="Times New Roman" w:eastAsia="Times New Roman" w:hAnsi="Times New Roman"/>
                <w:sz w:val="18"/>
                <w:szCs w:val="18"/>
                <w:b w:val="1"/>
                <w:bCs w:val="1"/>
                <w:color w:val="0000EE"/>
                <w:w w:val="86"/>
              </w:rPr>
            </w:pPr>
            <w:hyperlink w:anchor="page88">
              <w:r>
                <w:rPr>
                  <w:rFonts w:ascii="Times New Roman" w:cs="Times New Roman" w:eastAsia="Times New Roman" w:hAnsi="Times New Roman"/>
                  <w:sz w:val="18"/>
                  <w:szCs w:val="18"/>
                  <w:b w:val="1"/>
                  <w:bCs w:val="1"/>
                  <w:color w:val="0000EE"/>
                  <w:w w:val="86"/>
                </w:rPr>
                <w:t>Item 9A.</w:t>
              </w:r>
            </w:hyperlink>
          </w:p>
        </w:tc>
        <w:tc>
          <w:tcPr>
            <w:tcW w:w="160" w:type="dxa"/>
            <w:vAlign w:val="bottom"/>
          </w:tcPr>
          <w:p>
            <w:pPr>
              <w:spacing w:after="0"/>
              <w:rPr>
                <w:sz w:val="17"/>
                <w:szCs w:val="17"/>
                <w:color w:val="auto"/>
              </w:rPr>
            </w:pPr>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88">
              <w:r>
                <w:rPr>
                  <w:rFonts w:ascii="Times New Roman" w:cs="Times New Roman" w:eastAsia="Times New Roman" w:hAnsi="Times New Roman"/>
                  <w:sz w:val="18"/>
                  <w:szCs w:val="18"/>
                  <w:b w:val="1"/>
                  <w:bCs w:val="1"/>
                  <w:color w:val="0000EE"/>
                </w:rPr>
                <w:t>Controls and Procedures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85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gridSpan w:val="2"/>
          </w:tcPr>
          <w:p>
            <w:pPr>
              <w:spacing w:after="0" w:line="196" w:lineRule="exact"/>
              <w:rPr>
                <w:rFonts w:ascii="Times New Roman" w:cs="Times New Roman" w:eastAsia="Times New Roman" w:hAnsi="Times New Roman"/>
                <w:sz w:val="18"/>
                <w:szCs w:val="18"/>
                <w:b w:val="1"/>
                <w:bCs w:val="1"/>
                <w:color w:val="0000EE"/>
                <w:w w:val="87"/>
              </w:rPr>
            </w:pPr>
            <w:hyperlink w:anchor="page89">
              <w:r>
                <w:rPr>
                  <w:rFonts w:ascii="Times New Roman" w:cs="Times New Roman" w:eastAsia="Times New Roman" w:hAnsi="Times New Roman"/>
                  <w:sz w:val="18"/>
                  <w:szCs w:val="18"/>
                  <w:b w:val="1"/>
                  <w:bCs w:val="1"/>
                  <w:color w:val="0000EE"/>
                  <w:w w:val="87"/>
                </w:rPr>
                <w:t>Item 9B.</w:t>
              </w:r>
            </w:hyperlink>
          </w:p>
        </w:tc>
        <w:tc>
          <w:tcPr>
            <w:tcW w:w="160" w:type="dxa"/>
            <w:vAlign w:val="bottom"/>
          </w:tcPr>
          <w:p>
            <w:pPr>
              <w:spacing w:after="0"/>
              <w:rPr>
                <w:sz w:val="17"/>
                <w:szCs w:val="17"/>
                <w:color w:val="auto"/>
              </w:rPr>
            </w:pPr>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89">
              <w:r>
                <w:rPr>
                  <w:rFonts w:ascii="Times New Roman" w:cs="Times New Roman" w:eastAsia="Times New Roman" w:hAnsi="Times New Roman"/>
                  <w:sz w:val="18"/>
                  <w:szCs w:val="18"/>
                  <w:b w:val="1"/>
                  <w:bCs w:val="1"/>
                  <w:color w:val="0000EE"/>
                </w:rPr>
                <w:t>Other Information</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86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bottom w:val="single" w:sz="8" w:color="0000EE"/>
            </w:tcBorders>
            <w:gridSpan w:val="8"/>
          </w:tcPr>
          <w:p>
            <w:pPr>
              <w:jc w:val="center"/>
              <w:ind w:right="20"/>
              <w:spacing w:after="0"/>
              <w:rPr>
                <w:rFonts w:ascii="Times New Roman" w:cs="Times New Roman" w:eastAsia="Times New Roman" w:hAnsi="Times New Roman"/>
                <w:sz w:val="18"/>
                <w:szCs w:val="18"/>
                <w:b w:val="1"/>
                <w:bCs w:val="1"/>
                <w:color w:val="0000EE"/>
                <w:w w:val="93"/>
              </w:rPr>
            </w:pPr>
            <w:hyperlink w:anchor="page90">
              <w:r>
                <w:rPr>
                  <w:rFonts w:ascii="Times New Roman" w:cs="Times New Roman" w:eastAsia="Times New Roman" w:hAnsi="Times New Roman"/>
                  <w:sz w:val="18"/>
                  <w:szCs w:val="18"/>
                  <w:b w:val="1"/>
                  <w:bCs w:val="1"/>
                  <w:color w:val="0000EE"/>
                  <w:w w:val="93"/>
                </w:rPr>
                <w:t>PART III</w:t>
              </w:r>
            </w:hyperlink>
          </w:p>
        </w:tc>
        <w:tc>
          <w:tcPr>
            <w:tcW w:w="386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80" w:type="dxa"/>
            <w:vAlign w:val="bottom"/>
            <w:gridSpan w:val="3"/>
          </w:tcPr>
          <w:p>
            <w:pPr>
              <w:spacing w:after="0"/>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Item 10.</w:t>
              </w:r>
            </w:hyperlink>
          </w:p>
        </w:tc>
        <w:tc>
          <w:tcPr>
            <w:tcW w:w="8020" w:type="dxa"/>
            <w:vAlign w:val="bottom"/>
            <w:gridSpan w:val="30"/>
          </w:tcPr>
          <w:p>
            <w:pPr>
              <w:ind w:left="140"/>
              <w:spacing w:after="0"/>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Directors, Executive Officers and Corporate Governance</w:t>
              </w:r>
            </w:hyperlink>
          </w:p>
        </w:tc>
        <w:tc>
          <w:tcPr>
            <w:tcW w:w="340" w:type="dxa"/>
            <w:vAlign w:val="bottom"/>
            <w:gridSpan w:val="3"/>
          </w:tcPr>
          <w:p>
            <w:pPr>
              <w:jc w:val="right"/>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9"/>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gridSpan w:val="2"/>
          </w:tcPr>
          <w:p>
            <w:pPr>
              <w:spacing w:after="0" w:line="196" w:lineRule="exact"/>
              <w:rPr>
                <w:rFonts w:ascii="Times New Roman" w:cs="Times New Roman" w:eastAsia="Times New Roman" w:hAnsi="Times New Roman"/>
                <w:sz w:val="18"/>
                <w:szCs w:val="18"/>
                <w:b w:val="1"/>
                <w:bCs w:val="1"/>
                <w:color w:val="0000EE"/>
                <w:w w:val="92"/>
              </w:rPr>
            </w:pPr>
            <w:hyperlink w:anchor="page90">
              <w:r>
                <w:rPr>
                  <w:rFonts w:ascii="Times New Roman" w:cs="Times New Roman" w:eastAsia="Times New Roman" w:hAnsi="Times New Roman"/>
                  <w:sz w:val="18"/>
                  <w:szCs w:val="18"/>
                  <w:b w:val="1"/>
                  <w:bCs w:val="1"/>
                  <w:color w:val="0000EE"/>
                  <w:w w:val="92"/>
                </w:rPr>
                <w:t>Item 11.</w:t>
              </w:r>
            </w:hyperlink>
          </w:p>
        </w:tc>
        <w:tc>
          <w:tcPr>
            <w:tcW w:w="160" w:type="dxa"/>
            <w:vAlign w:val="bottom"/>
          </w:tcPr>
          <w:p>
            <w:pPr>
              <w:spacing w:after="0"/>
              <w:rPr>
                <w:sz w:val="17"/>
                <w:szCs w:val="17"/>
                <w:color w:val="auto"/>
              </w:rPr>
            </w:pPr>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Executive Compensation</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9"/>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0" w:type="dxa"/>
            <w:vAlign w:val="bottom"/>
            <w:gridSpan w:val="3"/>
          </w:tcPr>
          <w:p>
            <w:pPr>
              <w:spacing w:after="0" w:line="196" w:lineRule="exact"/>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Item 12.</w:t>
              </w:r>
            </w:hyperlink>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Security Ownership of Certain Beneficial Owners and Management and Related Stockholder Matters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0" w:type="dxa"/>
            <w:vAlign w:val="bottom"/>
            <w:gridSpan w:val="3"/>
          </w:tcPr>
          <w:p>
            <w:pPr>
              <w:spacing w:after="0" w:line="196" w:lineRule="exact"/>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Item 13.</w:t>
              </w:r>
            </w:hyperlink>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Certain Relationships and Related Transactions, and Director Independence</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0" w:type="dxa"/>
            <w:vAlign w:val="bottom"/>
            <w:gridSpan w:val="3"/>
          </w:tcPr>
          <w:p>
            <w:pPr>
              <w:spacing w:after="0" w:line="196" w:lineRule="exact"/>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Item 14.</w:t>
              </w:r>
            </w:hyperlink>
          </w:p>
        </w:tc>
        <w:tc>
          <w:tcPr>
            <w:tcW w:w="8020" w:type="dxa"/>
            <w:vAlign w:val="bottom"/>
            <w:gridSpan w:val="30"/>
          </w:tcPr>
          <w:p>
            <w:pPr>
              <w:ind w:left="140"/>
              <w:spacing w:after="0" w:line="196" w:lineRule="exact"/>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Principal Accounting Fees and Services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5"/>
          </w:tcPr>
          <w:p>
            <w:pPr>
              <w:jc w:val="center"/>
              <w:ind w:right="3880"/>
              <w:spacing w:after="0"/>
              <w:rPr>
                <w:rFonts w:ascii="Times New Roman" w:cs="Times New Roman" w:eastAsia="Times New Roman" w:hAnsi="Times New Roman"/>
                <w:sz w:val="18"/>
                <w:szCs w:val="18"/>
                <w:b w:val="1"/>
                <w:bCs w:val="1"/>
                <w:color w:val="0000EE"/>
                <w:w w:val="92"/>
              </w:rPr>
            </w:pPr>
            <w:hyperlink w:anchor="page91">
              <w:r>
                <w:rPr>
                  <w:rFonts w:ascii="Times New Roman" w:cs="Times New Roman" w:eastAsia="Times New Roman" w:hAnsi="Times New Roman"/>
                  <w:sz w:val="18"/>
                  <w:szCs w:val="18"/>
                  <w:b w:val="1"/>
                  <w:bCs w:val="1"/>
                  <w:color w:val="0000EE"/>
                  <w:w w:val="92"/>
                </w:rPr>
                <w:t>PART IV</w:t>
              </w:r>
            </w:hyperlink>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80" w:type="dxa"/>
            <w:vAlign w:val="bottom"/>
            <w:gridSpan w:val="3"/>
          </w:tcPr>
          <w:p>
            <w:pPr>
              <w:spacing w:after="0"/>
              <w:rPr>
                <w:rFonts w:ascii="Times New Roman" w:cs="Times New Roman" w:eastAsia="Times New Roman" w:hAnsi="Times New Roman"/>
                <w:sz w:val="18"/>
                <w:szCs w:val="18"/>
                <w:b w:val="1"/>
                <w:bCs w:val="1"/>
                <w:color w:val="0000EE"/>
              </w:rPr>
            </w:pPr>
            <w:hyperlink w:anchor="page91">
              <w:r>
                <w:rPr>
                  <w:rFonts w:ascii="Times New Roman" w:cs="Times New Roman" w:eastAsia="Times New Roman" w:hAnsi="Times New Roman"/>
                  <w:sz w:val="18"/>
                  <w:szCs w:val="18"/>
                  <w:b w:val="1"/>
                  <w:bCs w:val="1"/>
                  <w:color w:val="0000EE"/>
                </w:rPr>
                <w:t>Item 15.</w:t>
              </w:r>
            </w:hyperlink>
          </w:p>
        </w:tc>
        <w:tc>
          <w:tcPr>
            <w:tcW w:w="3460" w:type="dxa"/>
            <w:vAlign w:val="bottom"/>
            <w:gridSpan w:val="15"/>
          </w:tcPr>
          <w:p>
            <w:pPr>
              <w:ind w:left="140"/>
              <w:spacing w:after="0"/>
              <w:rPr>
                <w:rFonts w:ascii="Times New Roman" w:cs="Times New Roman" w:eastAsia="Times New Roman" w:hAnsi="Times New Roman"/>
                <w:sz w:val="18"/>
                <w:szCs w:val="18"/>
                <w:b w:val="1"/>
                <w:bCs w:val="1"/>
                <w:color w:val="0000EE"/>
              </w:rPr>
            </w:pPr>
            <w:hyperlink w:anchor="page91">
              <w:r>
                <w:rPr>
                  <w:rFonts w:ascii="Times New Roman" w:cs="Times New Roman" w:eastAsia="Times New Roman" w:hAnsi="Times New Roman"/>
                  <w:sz w:val="18"/>
                  <w:szCs w:val="18"/>
                  <w:b w:val="1"/>
                  <w:bCs w:val="1"/>
                  <w:color w:val="0000EE"/>
                </w:rPr>
                <w:t>Exhibits, Financial Statement Schedules</w:t>
              </w:r>
            </w:hyperlink>
          </w:p>
        </w:tc>
        <w:tc>
          <w:tcPr>
            <w:tcW w:w="680" w:type="dxa"/>
            <w:vAlign w:val="bottom"/>
            <w:tcBorders>
              <w:top w:val="single" w:sz="8" w:color="0000EE"/>
            </w:tcBorders>
            <w:gridSpan w:val="6"/>
          </w:tcPr>
          <w:p>
            <w:pPr>
              <w:spacing w:after="0"/>
              <w:rPr>
                <w:sz w:val="24"/>
                <w:szCs w:val="24"/>
                <w:color w:val="auto"/>
              </w:rPr>
            </w:pPr>
          </w:p>
        </w:tc>
        <w:tc>
          <w:tcPr>
            <w:tcW w:w="3880" w:type="dxa"/>
            <w:vAlign w:val="bottom"/>
            <w:gridSpan w:val="9"/>
          </w:tcPr>
          <w:p>
            <w:pPr>
              <w:spacing w:after="0"/>
              <w:rPr>
                <w:sz w:val="24"/>
                <w:szCs w:val="24"/>
                <w:color w:val="auto"/>
              </w:rPr>
            </w:pPr>
          </w:p>
        </w:tc>
        <w:tc>
          <w:tcPr>
            <w:tcW w:w="340" w:type="dxa"/>
            <w:vAlign w:val="bottom"/>
            <w:gridSpan w:val="3"/>
          </w:tcPr>
          <w:p>
            <w:pPr>
              <w:jc w:val="right"/>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88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80" w:type="dxa"/>
            <w:vAlign w:val="bottom"/>
            <w:gridSpan w:val="12"/>
          </w:tcPr>
          <w:p>
            <w:pPr>
              <w:jc w:val="center"/>
              <w:ind w:right="4080"/>
              <w:spacing w:after="0"/>
              <w:rPr>
                <w:sz w:val="20"/>
                <w:szCs w:val="20"/>
                <w:color w:val="auto"/>
              </w:rPr>
            </w:pPr>
            <w:r>
              <w:rPr>
                <w:rFonts w:ascii="Times New Roman" w:cs="Times New Roman" w:eastAsia="Times New Roman" w:hAnsi="Times New Roman"/>
                <w:sz w:val="18"/>
                <w:szCs w:val="18"/>
                <w:color w:val="auto"/>
              </w:rPr>
              <w:t>i</w:t>
            </w: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7" w:lineRule="exact"/>
        <w:rPr>
          <w:sz w:val="20"/>
          <w:szCs w:val="20"/>
          <w:color w:val="auto"/>
        </w:rPr>
      </w:pPr>
    </w:p>
    <w:p>
      <w:pPr>
        <w:ind w:right="60" w:firstLine="348"/>
        <w:spacing w:after="0" w:line="293"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165" w:lineRule="exact"/>
        <w:rPr>
          <w:sz w:val="20"/>
          <w:szCs w:val="20"/>
          <w:color w:val="auto"/>
        </w:rPr>
      </w:pPr>
    </w:p>
    <w:p>
      <w:pPr>
        <w:ind w:right="440" w:firstLine="341"/>
        <w:spacing w:after="0" w:line="275" w:lineRule="auto"/>
        <w:rPr>
          <w:sz w:val="20"/>
          <w:szCs w:val="20"/>
          <w:color w:val="auto"/>
        </w:rPr>
      </w:pPr>
      <w:r>
        <w:rPr>
          <w:rFonts w:ascii="Times New Roman" w:cs="Times New Roman" w:eastAsia="Times New Roman" w:hAnsi="Times New Roman"/>
          <w:sz w:val="18"/>
          <w:szCs w:val="18"/>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below.</w:t>
      </w:r>
    </w:p>
    <w:p>
      <w:pPr>
        <w:spacing w:after="0" w:line="174"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Overview</w:t>
      </w:r>
    </w:p>
    <w:p>
      <w:pPr>
        <w:spacing w:after="0" w:line="227"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Tree.com is the parent of LendingTree, LLC and is the parent of several companies owned by LendingTree, LLC. LendingTree, Inc. was incorporated in the state of Delaware in June 1996 and commenced nationwide operations in July 1998. LendingTree, Inc. was acquired by IAC/InterActiveCorp in 2003 and converted to a Delaware limited liability company (LendingTree, LLC) in December 2004. On August 20, 2008, Tree.com, Inc. (along with its subsidiary, LendingTree, LLC) was spun off from IAC/InterActiveCorp into a separate publicly-traded company. We refer to the separation transaction as the "spin-off" in this report. Tree.com was incorporated as a Delaware corporation in April 2008 in anticipation of the spin-off.</w:t>
      </w:r>
    </w:p>
    <w:p>
      <w:pPr>
        <w:spacing w:after="0" w:line="193" w:lineRule="exact"/>
        <w:rPr>
          <w:sz w:val="20"/>
          <w:szCs w:val="20"/>
          <w:color w:val="auto"/>
        </w:rPr>
      </w:pPr>
    </w:p>
    <w:p>
      <w:pPr>
        <w:ind w:right="60" w:firstLine="348"/>
        <w:spacing w:after="0" w:line="230" w:lineRule="auto"/>
        <w:rPr>
          <w:sz w:val="20"/>
          <w:szCs w:val="20"/>
          <w:color w:val="auto"/>
        </w:rPr>
      </w:pPr>
      <w:r>
        <w:rPr>
          <w:rFonts w:ascii="Times New Roman" w:cs="Times New Roman" w:eastAsia="Times New Roman" w:hAnsi="Times New Roman"/>
          <w:sz w:val="18"/>
          <w:szCs w:val="18"/>
          <w:color w:val="auto"/>
        </w:rPr>
        <w:t>Tree.com is the owner of several brands and businesses that provide information, tools, advice, products and services for critical transactions in consumers' lives. Our family of brands includes: LendingTree®, GetSmart®, DegreeTree®, LendingTreeAutos, DoneRight®, ServiceTree</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and InsuranceTree®. Together, these brands serve as an ally for consumers who are looking to comparison-shop for loans, educational programs, home services providers and other services from multiple businesses and professionals who will compete for their business.</w:t>
      </w:r>
    </w:p>
    <w:p>
      <w:pPr>
        <w:spacing w:after="0" w:line="206"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Over the past two years, as further discussed below, we have made several strategic changes to our business, including exiting and divesting our real estate business in 2011 and completing the sale of substantially all of the operating assets of our former mortgage origination business in 2012. We took these steps in an effort to tighten our business focus on what we believe to be our core competency as a branded performance marketer.</w:t>
      </w:r>
    </w:p>
    <w:p>
      <w:pPr>
        <w:spacing w:after="0" w:line="186" w:lineRule="exact"/>
        <w:rPr>
          <w:sz w:val="20"/>
          <w:szCs w:val="20"/>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On March 10, 2011, our management made the decision and finalized a plan to close all of the field offices of the proprietary full-service real estate brokerage business known as RealEstate.com,</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REALTORS®. We exited all markets by March 31, 2011. In September 2011, we sold the remaining assets of RealEstate.com, which consisted primarily of internet domain names and trademarks, for $8.3 million and recognized a gain on sale of $7.8 million. Accordingly, the businesses of RealEstate.com and RealEstate.com, REALTORS® are presented as discontinued operations in our consolidated financial statements for all periods.</w:t>
      </w:r>
    </w:p>
    <w:p>
      <w:pPr>
        <w:spacing w:after="0" w:line="18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On May 12, 2011, we entered into an asset purchase agreement with Discover Bank, a wholly-owned subsidiary of Discover Financial Services, providing for the sale of substantially all of the operating assets related to our mortgage origination business to Discover Bank. We operated our former mortgage origination business through our wholly-owned subsidiary Home Loan Center, Inc., dba LendingTree Loans®, which we refer to in this report as HLC or LendingTree Loans. We refer to Discover Financial Services and/or any of its affiliates, including Discover Bank and Discover Home Loans, Inc., in this report as Discover. Through HLC, we processed, approved and funded various consumer mortgage loans on a principal basis. On June 6, 2012, we completed the asset sale transaction.</w:t>
      </w:r>
    </w:p>
    <w:p>
      <w:pPr>
        <w:spacing w:after="0" w:line="193"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asset purchase agreement, as amended on February 7, 2012, provided for a purchase price of approximately $55.9 million in cash for the assets, subject to certain conditions. Of this total purchase price, $8.0 million was paid prior to the closing, $37.9 million was paid at the closing and $10.0 million is due on the first anniversary of the closing, subject to certain conditions. Discover generally did not assume liabilities of the LendingTree Loans business that arose before the closing date, except for certain liabilities directly related to assets Discover acquired. Of the initial purchase price payment, $17.1 million is being held in escrow pending the resolution of certain actual and/or contingent liabilities that remain our responsibility following such sale. The escrowed amount is recorded as restricted cash at December 31, 2012.</w:t>
      </w:r>
    </w:p>
    <w:p>
      <w:pPr>
        <w:spacing w:after="0" w:line="193" w:lineRule="exact"/>
        <w:rPr>
          <w:sz w:val="20"/>
          <w:szCs w:val="20"/>
          <w:color w:val="auto"/>
        </w:rPr>
      </w:pPr>
    </w:p>
    <w:p>
      <w:pPr>
        <w:ind w:right="180" w:firstLine="348"/>
        <w:spacing w:after="0" w:line="339" w:lineRule="auto"/>
        <w:rPr>
          <w:sz w:val="20"/>
          <w:szCs w:val="20"/>
          <w:color w:val="auto"/>
        </w:rPr>
      </w:pPr>
      <w:r>
        <w:rPr>
          <w:rFonts w:ascii="Times New Roman" w:cs="Times New Roman" w:eastAsia="Times New Roman" w:hAnsi="Times New Roman"/>
          <w:sz w:val="16"/>
          <w:szCs w:val="16"/>
          <w:color w:val="auto"/>
        </w:rPr>
        <w:t>We also agreed to perform certain services for Discover over a term ending approximately seventeen months following the closing, or such earlier point as the agreed-upon services are satisfactorily completed. Discover has participated as a lender on our lender network since the closing of the transaction.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Effective December 31, 2012, we expanded our reportable segments from one to two, consisting of mortgage and non-mortgage. The change was made as the convergence of economic similarities associated with our mortgage and non-mortgage operating segments was no longer expected. This decision was made in connection with the update of our annual budget and forecast, which occurs in the fourth quarter each year. The non-mortgage reportable segment consists of our auto, education and home services operating segments, which are not yet mature businesses, and have been aggregated. Prior period results have been reclassified to conform with the change in reportable segments.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7"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We operate as a branded performance marketer. In this capacity, we serve as an ally to consumers who are looking to make informed purchase decisions and comparison-shop for loans and other important transactions. We do so by providing consumers with a broad array of information and tools free of charge, conveniently located on our various websites. In addition, we provide consumers with access to offers from multiple providers that can compete for their business, usually through a single inquiry form. We also serve as a valued partner to businesses seeking customer acquisition support services with directly measurable benefits, by matching the consumer inquiries we generate with these businesses.</w:t>
      </w:r>
    </w:p>
    <w:p>
      <w:pPr>
        <w:spacing w:after="0" w:line="193"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Through our strategically designed and executed advertising and marketing campaigns promoting our various brands and offerings, we attract consumers to our websites and toll-free telephone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numbers. Many consumers complete inquiry questions, providing detailed information about themselves and the products or services they are seeking. We refer to such consumer inquiries as leads. We then match these leads with businesses seeking to serve these consumers' needs, in a forum we refer to as an exchange. In so doing, we generate revenue from these businesses, generally at the time of transmitting a lead to them.</w:t>
      </w:r>
    </w:p>
    <w:p>
      <w:pPr>
        <w:spacing w:after="0" w:line="186" w:lineRule="exact"/>
        <w:rPr>
          <w:sz w:val="20"/>
          <w:szCs w:val="20"/>
          <w:color w:val="auto"/>
        </w:rPr>
      </w:pPr>
    </w:p>
    <w:p>
      <w:pPr>
        <w:ind w:right="560" w:firstLine="341"/>
        <w:spacing w:after="0" w:line="339" w:lineRule="auto"/>
        <w:rPr>
          <w:sz w:val="20"/>
          <w:szCs w:val="20"/>
          <w:color w:val="auto"/>
        </w:rPr>
      </w:pPr>
      <w:r>
        <w:rPr>
          <w:rFonts w:ascii="Times New Roman" w:cs="Times New Roman" w:eastAsia="Times New Roman" w:hAnsi="Times New Roman"/>
          <w:sz w:val="16"/>
          <w:szCs w:val="16"/>
          <w:color w:val="auto"/>
        </w:rPr>
        <w:t>At its inception, our original business was to serve consumers seeking home mortgage loans by matching them with various lenders. We launched the LendingTree brand nationally in 1998 and, over the last fifteen years, we believe this brand has gained widespread consumer recognition.</w:t>
      </w:r>
    </w:p>
    <w:p>
      <w:pPr>
        <w:spacing w:after="0" w:line="128" w:lineRule="exact"/>
        <w:rPr>
          <w:sz w:val="20"/>
          <w:szCs w:val="20"/>
          <w:color w:val="auto"/>
        </w:rPr>
      </w:pPr>
    </w:p>
    <w:p>
      <w:pPr>
        <w:ind w:right="220" w:firstLine="351"/>
        <w:spacing w:after="0" w:line="287" w:lineRule="auto"/>
        <w:rPr>
          <w:sz w:val="20"/>
          <w:szCs w:val="20"/>
          <w:color w:val="auto"/>
        </w:rPr>
      </w:pPr>
      <w:r>
        <w:rPr>
          <w:rFonts w:ascii="Times New Roman" w:cs="Times New Roman" w:eastAsia="Times New Roman" w:hAnsi="Times New Roman"/>
          <w:sz w:val="16"/>
          <w:szCs w:val="16"/>
          <w:color w:val="auto"/>
        </w:rPr>
        <w:t>Beginning in 2009, we sought to expand the range of services we provided by leveraging the "Tree" element of the LendingTree brand to attract consumer inquiries for products and services in other industries. Currently, in addition to mortgage, we are focused primarily on the the automotive industry, where we promote our LendingTreeAutos brand, education industry, where we promote our DegreeTree® brand and the home services industry, where we promote our</w:t>
      </w:r>
    </w:p>
    <w:p>
      <w:pPr>
        <w:spacing w:after="0" w:line="1" w:lineRule="exact"/>
        <w:rPr>
          <w:sz w:val="20"/>
          <w:szCs w:val="20"/>
          <w:color w:val="auto"/>
        </w:rPr>
      </w:pPr>
    </w:p>
    <w:p>
      <w:pPr>
        <w:ind w:right="160"/>
        <w:spacing w:after="0" w:line="209" w:lineRule="auto"/>
        <w:rPr>
          <w:sz w:val="20"/>
          <w:szCs w:val="20"/>
          <w:color w:val="auto"/>
        </w:rPr>
      </w:pPr>
      <w:r>
        <w:rPr>
          <w:rFonts w:ascii="Times New Roman" w:cs="Times New Roman" w:eastAsia="Times New Roman" w:hAnsi="Times New Roman"/>
          <w:sz w:val="18"/>
          <w:szCs w:val="18"/>
          <w:color w:val="auto"/>
        </w:rPr>
        <w:t>DoneRight!® and ServiceTree</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brands. We believe that consumers will have a higher propensity to utilize our various services by virtue of their Tree-branded associations than those of other providers whose brands consumers may not recognize.</w:t>
      </w:r>
    </w:p>
    <w:p>
      <w:pPr>
        <w:spacing w:after="0" w:line="206"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Going forward, in addition to operating our core mortgage business, we intend to focus increasingly on growing our existing non-mortgage businesses, seeking to penetrate new industries and developing new product offerings and enhancements to improve the experiences that consumers and businesses have as they interact with us. We intend to capitalize on our expertise in performance marketing, product development and technology, and leverage the LendingTree brand and related extensions to pursue this strategy.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Segment</w:t>
      </w:r>
    </w:p>
    <w:p>
      <w:pPr>
        <w:spacing w:after="0" w:line="227" w:lineRule="exact"/>
        <w:rPr>
          <w:sz w:val="20"/>
          <w:szCs w:val="20"/>
          <w:color w:val="auto"/>
        </w:rPr>
      </w:pPr>
    </w:p>
    <w:p>
      <w:pPr>
        <w:ind w:right="440" w:firstLine="351"/>
        <w:spacing w:after="0" w:line="262" w:lineRule="auto"/>
        <w:rPr>
          <w:sz w:val="20"/>
          <w:szCs w:val="20"/>
          <w:color w:val="auto"/>
        </w:rPr>
      </w:pPr>
      <w:r>
        <w:rPr>
          <w:rFonts w:ascii="Times New Roman" w:cs="Times New Roman" w:eastAsia="Times New Roman" w:hAnsi="Times New Roman"/>
          <w:sz w:val="18"/>
          <w:szCs w:val="18"/>
          <w:color w:val="auto"/>
        </w:rPr>
        <w:t xml:space="preserve">Consumers seeking home mortgage loans can access our nationwide network of more than 200 banks, lenders and loan brokers online (via </w:t>
      </w:r>
      <w:r>
        <w:rPr>
          <w:rFonts w:ascii="Times New Roman" w:cs="Times New Roman" w:eastAsia="Times New Roman" w:hAnsi="Times New Roman"/>
          <w:sz w:val="18"/>
          <w:szCs w:val="18"/>
          <w:i w:val="1"/>
          <w:iCs w:val="1"/>
          <w:color w:val="auto"/>
        </w:rPr>
        <w:t xml:space="preserve">www.lendingtree.com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www.getsmart.com</w:t>
      </w:r>
      <w:r>
        <w:rPr>
          <w:rFonts w:ascii="Times New Roman" w:cs="Times New Roman" w:eastAsia="Times New Roman" w:hAnsi="Times New Roman"/>
          <w:sz w:val="18"/>
          <w:szCs w:val="18"/>
          <w:color w:val="auto"/>
        </w:rPr>
        <w:t>) or by calling 1-800-555-TREE. We refer to these banks, lenders and loan brokers as our network lenders.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offered by network lenders consist primarily of home mortgages (in connection with refinancings and purchases) and home equity loans.</w:t>
      </w:r>
    </w:p>
    <w:p>
      <w:pPr>
        <w:spacing w:after="0" w:line="186"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select lenders throughout the country in an effort to provide full geographic lending coverage and to offer a complete suite of loan offerings available in the market. Typically, before a lender joins our network, we perform credit and financial reviews on the lender. In addition, as a further quality assurance measure, we check new lenders against a national anti-fraud database maintained by the Mortgage Asset Research Institute. All network lenders are required to enter into a contract that generally may be terminated upon notice by either party. For the year ended December 31, 2012, one customer accounted for revenue representing 14% of total revenue and another accounted for 11% of total revenue. No customer accounted for more than 10% of total revenue for the year ended December 31, 2011.</w:t>
      </w:r>
    </w:p>
    <w:p>
      <w:pPr>
        <w:spacing w:after="0" w:line="193"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Consumers seeking mortgage loans through our lender network can receive multiple conditional loan offers from network lenders in response to a single loan request form.</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refer to the process by which we match consumers and network lenders as the matching process. This matching process consists of the following steps:</w:t>
      </w:r>
    </w:p>
    <w:p>
      <w:pPr>
        <w:spacing w:after="0" w:line="260" w:lineRule="exact"/>
        <w:rPr>
          <w:sz w:val="20"/>
          <w:szCs w:val="20"/>
          <w:color w:val="auto"/>
        </w:rPr>
      </w:pPr>
    </w:p>
    <w:p>
      <w:pPr>
        <w:ind w:left="1080" w:right="240" w:hanging="532"/>
        <w:spacing w:after="0" w:line="277"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Credit Request. </w:t>
      </w:r>
      <w:r>
        <w:rPr>
          <w:rFonts w:ascii="Times New Roman" w:cs="Times New Roman" w:eastAsia="Times New Roman" w:hAnsi="Times New Roman"/>
          <w:sz w:val="18"/>
          <w:szCs w:val="18"/>
          <w:color w:val="auto"/>
        </w:rPr>
        <w:t>Consumers complete a single loan request form with information regarding the type of home they are seeking to finance,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preferences and other data. Consumers also consent to an inquiry regarding their credit report.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7" w:lineRule="exact"/>
        <w:rPr>
          <w:sz w:val="20"/>
          <w:szCs w:val="20"/>
          <w:color w:val="auto"/>
        </w:rPr>
      </w:pPr>
    </w:p>
    <w:p>
      <w:pPr>
        <w:ind w:left="1080" w:hanging="532"/>
        <w:spacing w:after="0" w:line="259"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Loan Request Form Matching and Transmission. </w:t>
      </w:r>
      <w:r>
        <w:rPr>
          <w:rFonts w:ascii="Times New Roman" w:cs="Times New Roman" w:eastAsia="Times New Roman" w:hAnsi="Times New Roman"/>
          <w:sz w:val="18"/>
          <w:szCs w:val="18"/>
          <w:color w:val="auto"/>
        </w:rPr>
        <w:t>Our proprietary systems and technology match a given consumer's loan request form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self-reported credit profile and geographic location against certain pre-established criteria of network lenders, which may be modified from time to time. Once a given loan request passes through the matching process, the loan request is automatically transmitted to up to five available network lenders.</w:t>
      </w:r>
    </w:p>
    <w:p>
      <w:pPr>
        <w:spacing w:after="0" w:line="213" w:lineRule="exact"/>
        <w:rPr>
          <w:rFonts w:ascii="Times New Roman" w:cs="Times New Roman" w:eastAsia="Times New Roman" w:hAnsi="Times New Roman"/>
          <w:sz w:val="18"/>
          <w:szCs w:val="18"/>
          <w:color w:val="auto"/>
        </w:rPr>
      </w:pPr>
    </w:p>
    <w:p>
      <w:pPr>
        <w:ind w:left="1080" w:right="80" w:hanging="532"/>
        <w:spacing w:after="0" w:line="26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Lender Evaluation and Response. </w:t>
      </w:r>
      <w:r>
        <w:rPr>
          <w:rFonts w:ascii="Times New Roman" w:cs="Times New Roman" w:eastAsia="Times New Roman" w:hAnsi="Times New Roman"/>
          <w:sz w:val="18"/>
          <w:szCs w:val="18"/>
          <w:color w:val="auto"/>
        </w:rPr>
        <w:t>Network lenders that receive a loan request form evaluate the information contained in it to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to make a conditional loan offer. If a given number of network lenders do not respond with a conditional loan offer, the loan request form is directed through the matching process a second time in an attempt to match the consumer with another network lender.</w:t>
      </w:r>
    </w:p>
    <w:p>
      <w:pPr>
        <w:spacing w:after="0" w:line="194" w:lineRule="exact"/>
        <w:rPr>
          <w:rFonts w:ascii="Times New Roman" w:cs="Times New Roman" w:eastAsia="Times New Roman" w:hAnsi="Times New Roman"/>
          <w:sz w:val="18"/>
          <w:szCs w:val="18"/>
          <w:color w:val="auto"/>
        </w:rPr>
      </w:pPr>
    </w:p>
    <w:p>
      <w:pPr>
        <w:ind w:left="1080" w:right="80" w:hanging="532"/>
        <w:spacing w:after="0" w:line="25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Communication of a Conditional Offer. </w:t>
      </w:r>
      <w:r>
        <w:rPr>
          <w:rFonts w:ascii="Times New Roman" w:cs="Times New Roman" w:eastAsia="Times New Roman" w:hAnsi="Times New Roman"/>
          <w:sz w:val="18"/>
          <w:szCs w:val="18"/>
          <w:color w:val="auto"/>
        </w:rPr>
        <w:t>If one or more network lenders make a conditional offer, the consumer is automatically notified via e-mail to return to our website and log in to a web page that presents the customized loan offers (My Account). Through the My Account web page, consumers may access and compare the proposed terms of each conditional offer, including interest rates, closing costs, monthly payment amounts, lender fees and other information. If a consumer does not have access to e-mail, conditional offers are provided to the consumer by phone or fax.</w:t>
      </w:r>
    </w:p>
    <w:p>
      <w:pPr>
        <w:spacing w:after="0" w:line="201" w:lineRule="exact"/>
        <w:rPr>
          <w:rFonts w:ascii="Times New Roman" w:cs="Times New Roman" w:eastAsia="Times New Roman" w:hAnsi="Times New Roman"/>
          <w:sz w:val="18"/>
          <w:szCs w:val="18"/>
          <w:color w:val="auto"/>
        </w:rPr>
      </w:pPr>
    </w:p>
    <w:p>
      <w:pPr>
        <w:ind w:left="1080" w:right="100" w:hanging="532"/>
        <w:spacing w:after="0" w:line="342" w:lineRule="auto"/>
        <w:tabs>
          <w:tab w:leader="none" w:pos="10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Loan Processing. </w:t>
      </w:r>
      <w:r>
        <w:rPr>
          <w:rFonts w:ascii="Times New Roman" w:cs="Times New Roman" w:eastAsia="Times New Roman" w:hAnsi="Times New Roman"/>
          <w:sz w:val="16"/>
          <w:szCs w:val="16"/>
          <w:color w:val="auto"/>
        </w:rPr>
        <w:t>Consumers may then elect to work offline with relevant network lenders to provide property information and additional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bearing on their creditworthiness. If a network lender approves a consumer's application, it may then underwrite and originate a loan.</w:t>
      </w:r>
    </w:p>
    <w:p>
      <w:pPr>
        <w:spacing w:after="0" w:line="150" w:lineRule="exact"/>
        <w:rPr>
          <w:rFonts w:ascii="Times New Roman" w:cs="Times New Roman" w:eastAsia="Times New Roman" w:hAnsi="Times New Roman"/>
          <w:sz w:val="16"/>
          <w:szCs w:val="16"/>
          <w:color w:val="auto"/>
        </w:rPr>
      </w:pPr>
    </w:p>
    <w:p>
      <w:pPr>
        <w:jc w:val="both"/>
        <w:ind w:left="1080" w:right="620" w:hanging="532"/>
        <w:spacing w:after="0" w:line="26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Ongoing Consumer and Lender Support. </w:t>
      </w:r>
      <w:r>
        <w:rPr>
          <w:rFonts w:ascii="Times New Roman" w:cs="Times New Roman" w:eastAsia="Times New Roman" w:hAnsi="Times New Roman"/>
          <w:sz w:val="18"/>
          <w:szCs w:val="18"/>
          <w:color w:val="auto"/>
        </w:rPr>
        <w:t>Active e-mail and telephone follow-up and support are provided to both network lenders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consumers during the loan transaction process. This follow-up and support is designed to provide technical assistance and increase overall satisfaction of network lenders and consumers.</w:t>
      </w:r>
    </w:p>
    <w:p>
      <w:pPr>
        <w:spacing w:after="0" w:line="183" w:lineRule="exact"/>
        <w:rPr>
          <w:sz w:val="20"/>
          <w:szCs w:val="20"/>
          <w:color w:val="auto"/>
        </w:rPr>
      </w:pPr>
    </w:p>
    <w:p>
      <w:pPr>
        <w:jc w:val="both"/>
        <w:ind w:right="40" w:firstLine="351"/>
        <w:spacing w:after="0" w:line="339" w:lineRule="auto"/>
        <w:rPr>
          <w:sz w:val="20"/>
          <w:szCs w:val="20"/>
          <w:color w:val="auto"/>
        </w:rPr>
      </w:pPr>
      <w:r>
        <w:rPr>
          <w:rFonts w:ascii="Times New Roman" w:cs="Times New Roman" w:eastAsia="Times New Roman" w:hAnsi="Times New Roman"/>
          <w:sz w:val="16"/>
          <w:szCs w:val="16"/>
          <w:color w:val="auto"/>
        </w:rPr>
        <w:t>Our lender network also offers a short-form matching process which provides consumers with lender contact information rather than conditional offers from network lenders. This short-form process typically requires consumers to submit less data than required in connection with the matching process described above.</w:t>
      </w:r>
    </w:p>
    <w:p>
      <w:pPr>
        <w:spacing w:after="0" w:line="128" w:lineRule="exact"/>
        <w:rPr>
          <w:sz w:val="20"/>
          <w:szCs w:val="20"/>
          <w:color w:val="auto"/>
        </w:rPr>
      </w:pPr>
    </w:p>
    <w:p>
      <w:pPr>
        <w:jc w:val="both"/>
        <w:ind w:right="160" w:firstLine="351"/>
        <w:spacing w:after="0" w:line="256" w:lineRule="auto"/>
        <w:rPr>
          <w:sz w:val="20"/>
          <w:szCs w:val="20"/>
          <w:color w:val="auto"/>
        </w:rPr>
      </w:pPr>
      <w:r>
        <w:rPr>
          <w:rFonts w:ascii="Times New Roman" w:cs="Times New Roman" w:eastAsia="Times New Roman" w:hAnsi="Times New Roman"/>
          <w:sz w:val="18"/>
          <w:szCs w:val="18"/>
          <w:color w:val="auto"/>
        </w:rPr>
        <w:t>Our lender network does not charge fees to consumers. Substantially all revenues from our lender network are derived from up-front matching fees paid by network lenders that receive a lead. Previously, network lenders also paid closing fees when they closed a transaction with a consumer, but this closing fee was eliminated in 2011 for all mortgage products, with the exception of home equity loans. The closing fee on home equity loan products was eliminated in January 2013. Because a given loan request form can be matched with more than one network lender, up to five match fees may be generated from a single loan request form.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Non-Mortgage Segment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non-mortgage segment consists of the following businesses: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Auto</w:t>
      </w:r>
    </w:p>
    <w:p>
      <w:pPr>
        <w:spacing w:after="0" w:line="227"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We offer a variety of resources to consumers seeking loans for purchasing new and used automobiles and for refinancing existing auto loans, in order to generate loan inquiries from them and then match those inquiries with a national platform of banks, brokers and credit unions seeking to serve these consumers. Beginning in September 2011, we began to offer prospective automobile buyers the opportunity to search for new and used automobiles through access to more than 3,000 dealerships. We do not charge fees to consumers for use of our auto services; rather, substantially all revenues from</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auto customers—banks, credit unions, dealerships and dealer groups—are derived from up-front matching fees, closed loan and closed sale fees.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Education</w:t>
      </w:r>
    </w:p>
    <w:p>
      <w:pPr>
        <w:spacing w:after="0" w:line="227" w:lineRule="exact"/>
        <w:rPr>
          <w:sz w:val="20"/>
          <w:szCs w:val="20"/>
          <w:color w:val="auto"/>
        </w:rPr>
      </w:pPr>
    </w:p>
    <w:p>
      <w:pPr>
        <w:ind w:right="280" w:firstLine="348"/>
        <w:spacing w:after="0" w:line="256" w:lineRule="auto"/>
        <w:rPr>
          <w:sz w:val="20"/>
          <w:szCs w:val="20"/>
          <w:color w:val="auto"/>
        </w:rPr>
      </w:pPr>
      <w:r>
        <w:rPr>
          <w:rFonts w:ascii="Times New Roman" w:cs="Times New Roman" w:eastAsia="Times New Roman" w:hAnsi="Times New Roman"/>
          <w:sz w:val="18"/>
          <w:szCs w:val="18"/>
          <w:color w:val="auto"/>
        </w:rPr>
        <w:t>We offer referrals to more than 40 top-tier institutions and agencies for prospective students seeking institutions of higher education. Supported programs include Associates, Bachelors and Masters degrees across a broad range of subject categories including Business, Education, Healthcare, Nursing, Psychology and Technology, among others. Our education websites provide information and a variety of resources related to educational opportunities for prospective students. We do not charge fees to prospective students for use of our education services; rather, substantially all revenues from our education customers— educational institutions and agencies to whom we refer prospective students—are derived from up-front matching fees.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Home Services</w:t>
      </w:r>
    </w:p>
    <w:p>
      <w:pPr>
        <w:spacing w:after="0" w:line="227" w:lineRule="exact"/>
        <w:rPr>
          <w:sz w:val="20"/>
          <w:szCs w:val="20"/>
          <w:color w:val="auto"/>
        </w:rPr>
      </w:pPr>
    </w:p>
    <w:p>
      <w:pPr>
        <w:ind w:right="120" w:firstLine="348"/>
        <w:spacing w:after="0" w:line="290" w:lineRule="auto"/>
        <w:rPr>
          <w:sz w:val="20"/>
          <w:szCs w:val="20"/>
          <w:color w:val="auto"/>
        </w:rPr>
      </w:pPr>
      <w:r>
        <w:rPr>
          <w:rFonts w:ascii="Times New Roman" w:cs="Times New Roman" w:eastAsia="Times New Roman" w:hAnsi="Times New Roman"/>
          <w:sz w:val="16"/>
          <w:szCs w:val="16"/>
          <w:color w:val="auto"/>
        </w:rPr>
        <w:t>We offer consumers opportunities to research and find home improvement professional services through our network of both national and local contractors. We have national coverage in the top-30 most popular home improvement categories and a network of more than 650 local professionals. Through our alliances with third parties, we are able to connect consumers with home services professionals in nearly 2,000 locations across the United States. Historically, we sought to generate awareness of our home services offerings with consumers through the distribution our printed DoneRight! Directory® of pre-screened home services professionals, which was distributed periodically in select geographic markets, as well as through digital marketing efforts. In fall 2012, we determined to discontinue the distribution of the printed DoneRight! Directory® and focus exclusively on digital marketing channels. We do not charge fees to consumers for use of our home services offerings; rather, substantially all revenues from our home services customers—independent contractors, national home services and home improvement chains, other lead aggregators and other home services marketing services providers—are derived from up-front matching fees.</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Other Products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non-mortgage segment also includes information, tools and access to:</w:t>
      </w:r>
    </w:p>
    <w:p>
      <w:pPr>
        <w:spacing w:after="0" w:line="239" w:lineRule="exact"/>
        <w:rPr>
          <w:sz w:val="20"/>
          <w:szCs w:val="20"/>
          <w:color w:val="auto"/>
        </w:rPr>
      </w:pPr>
    </w:p>
    <w:p>
      <w:pPr>
        <w:ind w:left="1080" w:right="2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personal loans, through which consumers are matched with multiple lenders using a network-based process similar to the mortgage loan matching process described above;</w:t>
      </w:r>
    </w:p>
    <w:p>
      <w:pPr>
        <w:spacing w:after="0" w:line="200"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consumer insurance products, including home and automobile, through which consumers are linked with licensed insurance agents and insurance lead aggregators to obtain insurance offers;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credit data, through which consumers can gain insights into how prospective lenders and other third parties view their credit profiles;</w:t>
      </w:r>
    </w:p>
    <w:p>
      <w:pPr>
        <w:spacing w:after="0" w:line="238"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repair and debt consolidation services, through which consumers can obtain assistance improving their credit profiles, in order to expand and improve loan opportunities available to them; and</w:t>
      </w:r>
    </w:p>
    <w:p>
      <w:pPr>
        <w:spacing w:after="0" w:line="200" w:lineRule="exact"/>
        <w:rPr>
          <w:rFonts w:ascii="Times New Roman" w:cs="Times New Roman" w:eastAsia="Times New Roman" w:hAnsi="Times New Roman"/>
          <w:sz w:val="18"/>
          <w:szCs w:val="18"/>
          <w:color w:val="auto"/>
        </w:rPr>
      </w:pPr>
    </w:p>
    <w:p>
      <w:pPr>
        <w:ind w:left="360" w:firstLine="188"/>
        <w:spacing w:after="0" w:line="501" w:lineRule="auto"/>
        <w:tabs>
          <w:tab w:leader="none" w:pos="10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brokerage services, through which consumers are matched with local realtors who can assist them in their home purchase or sale efforts. We refer to the various purchasers of leads from our non-mortgage exchanges as lead purchasers.</w:t>
      </w: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Our mortgage and non-mortgage businesses compete with other lead aggregators, including online intermediaries that operate network-type arrangements. We also face competition from lenders that source consumer loan originations directly through their owned and operated websites or by phone. These companies typically operate consumer-branded websites and attract consumers via online banner ads, keyword placement on search engines, partnerships with affiliates and business development arrangements with other properties, including major online portals.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Legal Compliance</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businesses market and provide services in heavily regulated industries through a number of different online and offline channels across the United States (see "Risk Factors—Failure to comply with past, existing or new laws, rules and regulations, or to obtain and maintain required licenses, could adversely affect our business, financial condition and results of operations"). As a result, they are subject to a variety of statutes, rules, regulations, policies and procedures in various jurisdictions in the United States, including:</w:t>
      </w:r>
    </w:p>
    <w:p>
      <w:pPr>
        <w:spacing w:after="0" w:line="204"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amount and nature of fees or interest that may be charged in connection with a loan, such as state usury and fee restrictions;</w:t>
      </w:r>
    </w:p>
    <w:p>
      <w:pPr>
        <w:spacing w:after="0" w:line="252" w:lineRule="exact"/>
        <w:rPr>
          <w:rFonts w:ascii="Times New Roman" w:cs="Times New Roman" w:eastAsia="Times New Roman" w:hAnsi="Times New Roman"/>
          <w:sz w:val="18"/>
          <w:szCs w:val="18"/>
          <w:color w:val="auto"/>
        </w:rPr>
      </w:pPr>
    </w:p>
    <w:p>
      <w:pPr>
        <w:ind w:left="1080" w:right="280" w:hanging="532"/>
        <w:spacing w:after="0" w:line="26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Dodd-Frank Wall Street Reform and Consumer Protection Act and current or future rules promulgated thereunder, including, but not limited to, limitations on fees charged by mortgage lenders, mortgage broker disclosures and rules promulgated by the Consumer Financial Protection Bureau, or CFPB, which was created under the Dodd-Frank Act;</w:t>
      </w:r>
    </w:p>
    <w:p>
      <w:pPr>
        <w:spacing w:after="0" w:line="199"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manner in which consumer loans are marketed and originated, including the making of required consumer disclosures, such as the Federal Trade Commission's Mortgage Advertising Practices (MAP) Rules, federal Truth-in-Lending Act, the federal Equal Credit Opportunity Act, the federal Fair Credit Reporting Act, the federal Fair Housing Act, the federal Real Estate Settlement Procedures Act (RESPA), and similar state laws;</w:t>
      </w:r>
    </w:p>
    <w:p>
      <w:pPr>
        <w:spacing w:after="0" w:line="203"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amount and nature of fees that may be charged to lenders and real estate professionals for providing or obtaining consumer leads, such as RESPA;</w:t>
      </w:r>
    </w:p>
    <w:p>
      <w:pPr>
        <w:spacing w:after="0" w:line="200"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amount and nature of fees that may be charged to consumers for real estate brokerage transactions, including any incentives and rebates that may be offered to consumers by our businesses;</w:t>
      </w:r>
    </w:p>
    <w:p>
      <w:pPr>
        <w:spacing w:after="0" w:line="187" w:lineRule="exact"/>
        <w:rPr>
          <w:rFonts w:ascii="Times New Roman" w:cs="Times New Roman" w:eastAsia="Times New Roman" w:hAnsi="Times New Roman"/>
          <w:sz w:val="18"/>
          <w:szCs w:val="18"/>
          <w:color w:val="auto"/>
        </w:rPr>
      </w:pPr>
    </w:p>
    <w:p>
      <w:pPr>
        <w:jc w:val="both"/>
        <w:ind w:left="1080" w:right="280" w:hanging="532"/>
        <w:spacing w:after="0" w:line="26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relating to the implementation of the Secure and Fair Enforcement of Mortgage Licensing Act of 2008 (SAFE Act) that require us to be licensed in all States and the District of Columbia (licensing requirements are applicable to both individuals and/or businesses engaged in the solicitation of or the brokering of residential mortgage loans and/or the brokering of real estate transactions);</w:t>
      </w:r>
    </w:p>
    <w:p>
      <w:pPr>
        <w:spacing w:after="0" w:line="199" w:lineRule="exact"/>
        <w:rPr>
          <w:rFonts w:ascii="Times New Roman" w:cs="Times New Roman" w:eastAsia="Times New Roman" w:hAnsi="Times New Roman"/>
          <w:sz w:val="18"/>
          <w:szCs w:val="18"/>
          <w:color w:val="auto"/>
        </w:rPr>
      </w:pPr>
    </w:p>
    <w:p>
      <w:pPr>
        <w:ind w:left="1080" w:right="60" w:hanging="532"/>
        <w:spacing w:after="0" w:line="26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restrictions on the marketing activities conducted by telephone, mail, email, mobile device or the internet, including the Telemarketing Sales Rule (TSR), Telephone Consumer Protection Act (TCPA), state telemarketing laws, federal and state privacy laws, the CAN-SPAM Act, and the Federal Trade Commission Act and their accompanying regulations and guidelines; and</w:t>
      </w:r>
    </w:p>
    <w:p>
      <w:pPr>
        <w:spacing w:after="0" w:line="213"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regulations promulgated by the Department of Education with respect to marketing activities and compensation and incentive payments in connection the recruitment and enrollment of students in higher education programs.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believe that our intellectual property rights are vital to our success. To protect our intellectual property rights in our technology, products, improvements and inventions, we rely on a combination of patents, trademarks, trade secret and other laws, and contractual restrictions on disclosure, including confidentiality agreements with strategic partners, employees, consultants and other third parties. As new or improved proprietary technologies are developed or inventions are identified, we seek patent protection in the United States and abroad, as appropriate. We have two issued U.S. patents relating to our technologies, including those relating to the method and network for coordinating a loan over the internet. Our various patents expire in 2018. We also have four pending U.S. patent applications.</w:t>
      </w:r>
    </w:p>
    <w:p>
      <w:pPr>
        <w:spacing w:after="0" w:line="193"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Many of our services are offered under proprietary trademarks and service marks. We generally apply to register or secure by contract our principal trademarks and service marks as they are developed and used. We have 37 trademarks and service marks registered with the United States Patent and Trademark Office. These registrations can typically be renewed at 10-year intervals. We reserve and register domain names when and where we deem appropriate and we currently have approximately 1,600 registered domain names. We also have agreements with third parties that provide for the licensing of patented and proprietary technology used in our business.</w:t>
      </w:r>
    </w:p>
    <w:p>
      <w:pPr>
        <w:spacing w:after="0" w:line="193"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From time to time, we are subjected to legal proceedings and claims, or threatened legal proceedings or claims, including allegations of infringement of third-party trademarks, copyrights, patents and other intellectual property rights of third parties. In addition, the use of litigation may be necessary for us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See Item 3 "Legal Proceedings"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ind w:right="140" w:firstLine="341"/>
        <w:spacing w:after="0" w:line="339" w:lineRule="auto"/>
        <w:rPr>
          <w:sz w:val="20"/>
          <w:szCs w:val="20"/>
          <w:color w:val="auto"/>
        </w:rPr>
      </w:pPr>
      <w:r>
        <w:rPr>
          <w:rFonts w:ascii="Times New Roman" w:cs="Times New Roman" w:eastAsia="Times New Roman" w:hAnsi="Times New Roman"/>
          <w:sz w:val="16"/>
          <w:szCs w:val="16"/>
          <w:color w:val="auto"/>
        </w:rPr>
        <w:t>As of December 31, 2012, we had approximately 174 employees, of which approximately 153 are full-time and 21 are temporary or part-time. None of our employees are represented under collective bargaining agreements and we consider our relations with employees and independent contractors to be good.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jc w:val="both"/>
        <w:ind w:right="60" w:firstLine="351"/>
        <w:spacing w:after="0" w:line="262" w:lineRule="auto"/>
        <w:rPr>
          <w:sz w:val="20"/>
          <w:szCs w:val="20"/>
          <w:color w:val="auto"/>
        </w:rPr>
      </w:pPr>
      <w:r>
        <w:rPr>
          <w:rFonts w:ascii="Times New Roman" w:cs="Times New Roman" w:eastAsia="Times New Roman" w:hAnsi="Times New Roman"/>
          <w:sz w:val="18"/>
          <w:szCs w:val="18"/>
          <w:color w:val="auto"/>
        </w:rPr>
        <w:t>Revenue in our mortgage business is subject to the cyclical and seasonal trends of the U.S. housing market. Home sales typically rise during the spring and summer months and decline during the fall and winter months, while refinancing and home equity activity is principally driven by mortgage interest rates as well as real estate values. However, these trends are not absolute and there have been exceptions to them.</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our non-mortgage businesses:</w:t>
      </w:r>
    </w:p>
    <w:p>
      <w:pPr>
        <w:spacing w:after="0" w:line="239"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 business tends to have a seasonal increase in the spring;</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education business tends to increase preceding the commencement of new semesters;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home improvement services business tends to increase during the summer.</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However, these trends are not absolute and there have been exceptions to them.</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Website and Public Filings</w:t>
      </w:r>
    </w:p>
    <w:p>
      <w:pPr>
        <w:spacing w:after="0" w:line="225" w:lineRule="exact"/>
        <w:rPr>
          <w:sz w:val="20"/>
          <w:szCs w:val="20"/>
          <w:color w:val="auto"/>
        </w:rPr>
      </w:pPr>
    </w:p>
    <w:p>
      <w:pPr>
        <w:ind w:right="420" w:firstLine="348"/>
        <w:spacing w:after="0" w:line="27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www.tree.com</w:t>
      </w:r>
      <w:r>
        <w:rPr>
          <w:rFonts w:ascii="Times New Roman" w:cs="Times New Roman" w:eastAsia="Times New Roman" w:hAnsi="Times New Roman"/>
          <w:sz w:val="18"/>
          <w:szCs w:val="18"/>
          <w:color w:val="auto"/>
        </w:rPr>
        <w:t xml:space="preserve"> and an investor relations website at </w:t>
      </w:r>
      <w:r>
        <w:rPr>
          <w:rFonts w:ascii="Times New Roman" w:cs="Times New Roman" w:eastAsia="Times New Roman" w:hAnsi="Times New Roman"/>
          <w:sz w:val="18"/>
          <w:szCs w:val="18"/>
          <w:i w:val="1"/>
          <w:iCs w:val="1"/>
          <w:color w:val="auto"/>
        </w:rPr>
        <w:t>www.investor-relations.tree.com</w:t>
      </w:r>
      <w:r>
        <w:rPr>
          <w:rFonts w:ascii="Times New Roman" w:cs="Times New Roman" w:eastAsia="Times New Roman" w:hAnsi="Times New Roman"/>
          <w:sz w:val="18"/>
          <w:szCs w:val="18"/>
          <w:color w:val="auto"/>
        </w:rPr>
        <w:t>. None of the information on our website is incorporated by reference in this report, or in any other filings with, or in any information furnished or submitted to, the SEC.</w:t>
      </w:r>
    </w:p>
    <w:p>
      <w:pPr>
        <w:spacing w:after="0" w:line="172"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make available, free of charge through our website, our annual reports on Form 10-K, quarterly reports on Form 10-Q, current reports on Form 8-K, proxy statement for the annual shareholders' meeting and beneficial ownership reports on Forms 3, 4 and 5 as soon as reasonably practicable after they have been electronically filed with, or furnished to, the SEC.</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Code of Business Conduct and Ethics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 xml:space="preserve">Our code of business conduct and ethics, which applies to all employees, including all executive officers and senior financial officers and directors, is posted on our website at </w:t>
      </w:r>
      <w:r>
        <w:rPr>
          <w:rFonts w:ascii="Times New Roman" w:cs="Times New Roman" w:eastAsia="Times New Roman" w:hAnsi="Times New Roman"/>
          <w:sz w:val="18"/>
          <w:szCs w:val="18"/>
          <w:i w:val="1"/>
          <w:iCs w:val="1"/>
          <w:color w:val="auto"/>
        </w:rPr>
        <w:t>investor-relations.tree.com/governance.cfm</w:t>
      </w:r>
      <w:r>
        <w:rPr>
          <w:rFonts w:ascii="Times New Roman" w:cs="Times New Roman" w:eastAsia="Times New Roman" w:hAnsi="Times New Roman"/>
          <w:sz w:val="18"/>
          <w:szCs w:val="18"/>
          <w:color w:val="auto"/>
        </w:rPr>
        <w:t>. This is our code of ethics pursuant to Item 406 of SEC Regulation S-K and the rules of The NASDAQ Stock Market. Any amendments to or waivers of the code of business conduct and ethics that are of the type described in Item 406(b) and (d) of Regulation S-K, will be disclosed on our website.</w:t>
      </w:r>
    </w:p>
    <w:p>
      <w:pPr>
        <w:spacing w:after="0" w:line="18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i w:val="1"/>
          <w:iCs w:val="1"/>
          <w:color w:val="auto"/>
        </w:rPr>
        <w:t>Risk Factors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business, financial condition and results of operations are subject to certain risks that are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in the past and we may not be able to generate sufficient revenue to be profitable over the long term.</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incurred significant operating losses during 2011 and for the first half of 2012, and as of December 31, 2012, we had an accumulated deficit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$811.5 million. If we fail to maintain or grow our revenue and manage our expenses, we may incur significant losses in the future and not be able to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profitability.</w:t>
      </w:r>
    </w:p>
    <w:p>
      <w:pPr>
        <w:spacing w:after="0" w:line="209"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Adverse conditions in the primary and secondary mortgage markets, as well as the economy generally, could materially and adversely affect our business, financial condition and results of operations.</w:t>
      </w:r>
    </w:p>
    <w:p>
      <w:pPr>
        <w:spacing w:after="0" w:line="169" w:lineRule="exact"/>
        <w:rPr>
          <w:sz w:val="20"/>
          <w:szCs w:val="20"/>
          <w:color w:val="auto"/>
        </w:rPr>
      </w:pPr>
    </w:p>
    <w:p>
      <w:pPr>
        <w:ind w:firstLine="348"/>
        <w:spacing w:after="0" w:line="290" w:lineRule="auto"/>
        <w:rPr>
          <w:sz w:val="20"/>
          <w:szCs w:val="20"/>
          <w:color w:val="auto"/>
        </w:rPr>
      </w:pPr>
      <w:r>
        <w:rPr>
          <w:rFonts w:ascii="Times New Roman" w:cs="Times New Roman" w:eastAsia="Times New Roman" w:hAnsi="Times New Roman"/>
          <w:sz w:val="16"/>
          <w:szCs w:val="16"/>
          <w:color w:val="auto"/>
        </w:rPr>
        <w:t>The primary and secondary mortgage markets have been experiencing continued constraints, which have in the past had, and may in the future have, an adverse effect on our business, financial condition and results of operations. These conditions, coupled with economic conditions that are still recovering and residential real estate prices which, despite recent improvements, are still at substantially reduced levels from their last peak in 2006, have resulted in and are expected to continue to result in decreased demand for purchase loans and greater difficulty qualifying for refinance and home equity loans. Generally, increases in interest rates adversely affect the ability of our network lenders to close loans, and adverse economic trends limit the ability of our network lenders to offer home loans other than low-margin conforming loans. Our businesses may experience a decline in demand for their offerings due to decreased consumer demand as a result of the conditions described above, now or in the future. Conversely, during periods with decreased interest rates, network lenders have less incentive to use our networks, or in the case of sudden increases in consumer demand, our network lenders may lack the ability to support sudden increases in volume.</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 market conditions have adversely affected the mortgage industry.</w:t>
      </w:r>
    </w:p>
    <w:p>
      <w:pPr>
        <w:spacing w:after="0" w:line="229"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Declines in the housing market since 2006, with falling home prices and increasing foreclosures, unemployment and under-employment, have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spreading to other asset-backed securities, credit default swaps and other derivative and cash securities, in turn, caused many financial institutions to seek additional capital, merge with larger and stronger institutions and, in some cases, to fail.</w:t>
      </w:r>
    </w:p>
    <w:p>
      <w:pPr>
        <w:spacing w:after="0" w:line="193" w:lineRule="exact"/>
        <w:rPr>
          <w:sz w:val="20"/>
          <w:szCs w:val="20"/>
          <w:color w:val="auto"/>
        </w:rPr>
      </w:pPr>
    </w:p>
    <w:p>
      <w:pPr>
        <w:ind w:right="20" w:firstLine="351"/>
        <w:spacing w:after="0" w:line="301" w:lineRule="auto"/>
        <w:rPr>
          <w:sz w:val="20"/>
          <w:szCs w:val="20"/>
          <w:color w:val="auto"/>
        </w:rPr>
      </w:pPr>
      <w:r>
        <w:rPr>
          <w:rFonts w:ascii="Times New Roman" w:cs="Times New Roman" w:eastAsia="Times New Roman" w:hAnsi="Times New Roman"/>
          <w:sz w:val="16"/>
          <w:szCs w:val="16"/>
          <w:color w:val="auto"/>
        </w:rPr>
        <w:t>Reflecting concern about the stability of the housing markets generally and the strength of counterparties, many lenders and institutional investors reduced or ceased providing funding to borrowers, including to other financial institutions. This market disruption and tightening of credit led to an increased level of commercial and consumer delinquencies, lack of consumer confidence and increased market volatility. The resulting economic pressure on consumers and lack of confidence in the financial markets has had in the past and may have in the future an adverse effect on our business, financial condition and results of operations.</w:t>
      </w:r>
    </w:p>
    <w:p>
      <w:pPr>
        <w:spacing w:after="0" w:line="157"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While conditions in the housing markets have generally improved in the last twelve months, the failure to sustain such improvements and, thereby, a worsening of these conditions could have adverse effects on us and our network lenders. Further, our business could be adversely affected by the actions and commercial soundness of other businesses in the financial services sector. As a result, defaults by, or even rumors or questions about, one or more of these entities, or the financial services industry generally, have in the past led to market-wide liquidity problems and could lead to disruptions in the mortgage industry. Any such disruption could have an adverse effect on our business, financial condition and results of operations.</w:t>
      </w:r>
    </w:p>
    <w:p>
      <w:pPr>
        <w:spacing w:after="0" w:line="18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fluctuate as a result of seasonality, which may make it difficult to predict our future performance and may adversely affect our common stock price.</w:t>
      </w:r>
    </w:p>
    <w:p>
      <w:pPr>
        <w:spacing w:after="0" w:line="169"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Our mortgage business is historically subject to seasonal trends. These trends reflect the general patterns of housing sales, which typically peak in the spring and summer seasons. In recent periods, broader cyclical trends in interest rates, as well as the mortgage and real estate markets, have upset the customary seasonal trends. However, seasonal trends may resume and our quarterly operating results may fluctuate. Our non-mortgage businesses have various seasonality trends which may create further uncertainty in our quarterly operating results if these business become more significant components of our total revenue. Any of these seasonal trends, or the combination of them, may negatively impact the price of our common stock.</w:t>
      </w:r>
    </w:p>
    <w:p>
      <w:pPr>
        <w:spacing w:after="0" w:line="18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Litigation and indemnification of secondary market purchasers could have a material adverse effect on our business, financial condition, results of operations and liquidity. If we cannot settle any then-existing and certain future contingent liabilities to secondary market purchasers, a substantial portion of the purchase price for the sale of LendingTree Loans' assets will remain in escrow indefinitely.</w:t>
      </w:r>
    </w:p>
    <w:p>
      <w:pPr>
        <w:spacing w:after="0" w:line="18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connection with the sale of loans to secondary market purchasers, HLC may be liable for certain indemnification, repurchase and premium repayment obligations. In connection with the sale of loans to secondary market purchasers, HLC made certain representations regarding related borrower credit information, loan documentation and collateral. To the extent that these representations were incorrect, HLC may be required to repurchase loans or indemnify secondary market purchasers for losses due to borrower defaults. HLC also agreed to repurchase loans or indemnify secondary market purchasers for losses due to early payment defaults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late payments during a limited time period immediately following HLC's origination of the loan). Further, HLC agreed to repay all or a portion of the initial premiums paid by secondary market purchasers in instances where the borrower prepays the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within a specified period of time. HLC has made payments for these liabilities in the past and expects to make payments for these liabilities in the future.</w:t>
      </w:r>
    </w:p>
    <w:p>
      <w:pPr>
        <w:spacing w:after="0" w:line="225"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continue to be liable for these indemnification obligations, repurchase obligations and premium repayment obligations following the sale of substantially all of the operating assets of our LendingTree Loans business. Approximately $17.1 million of the purchase price paid at closing is being held in escrow pending resolution of certain of these contingent liabilities. We plan to negotiate with secondary market purchasers to settle any then-existing and future contingent liabilities, but we cannot assure you we will be able to do so on terms acceptable to us, or at all. The occurrence of indemnification claims, repurchase obligations or premium repayments beyond our reserves for these contingencies, or our inability to settle with secondary market purchasers, may have a material adverse effect on our business, financial condition and results of operations.</w:t>
      </w:r>
    </w:p>
    <w:p>
      <w:pPr>
        <w:spacing w:after="0" w:line="189"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asset purchase agreement for the sale of substantially all of the operating assets of our LendingTree Loans business may expose us to contingent liabilities.</w:t>
      </w:r>
    </w:p>
    <w:p>
      <w:pPr>
        <w:spacing w:after="0" w:line="169"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Under the asset purchase agreement, we have agreed to indemnify Discover for a breach or inaccuracy of any representation, warranty or covenant made by us in the asset purchase agreement, for any liability of ours that was not assumed, for any claims by our stockholders against Discover and for our failure to comply with any applicable bulk sales law, subject to certain limitations. Discover has submitted a claim for indemnification relating to our sale prior to the closing of certain loans that were listed in the asset purchase agreement as to be conveyed to Discover at closing. See Note 7—Discontinued Operations to the consolidated financial statements included in this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compete in the business of originating, funding or selling of mortgages until June 2015.</w:t>
      </w:r>
    </w:p>
    <w:p>
      <w:pPr>
        <w:spacing w:after="0" w:line="229" w:lineRule="exact"/>
        <w:rPr>
          <w:sz w:val="20"/>
          <w:szCs w:val="20"/>
          <w:color w:val="auto"/>
        </w:rPr>
      </w:pPr>
    </w:p>
    <w:p>
      <w:pPr>
        <w:ind w:right="260" w:firstLine="351"/>
        <w:spacing w:after="0" w:line="258" w:lineRule="auto"/>
        <w:rPr>
          <w:sz w:val="20"/>
          <w:szCs w:val="20"/>
          <w:color w:val="auto"/>
        </w:rPr>
      </w:pPr>
      <w:r>
        <w:rPr>
          <w:rFonts w:ascii="Times New Roman" w:cs="Times New Roman" w:eastAsia="Times New Roman" w:hAnsi="Times New Roman"/>
          <w:sz w:val="18"/>
          <w:szCs w:val="18"/>
          <w:color w:val="auto"/>
        </w:rPr>
        <w:t>Subject to specified exceptions, we have agreed we will not establish, own, manage, operate, control, invest in or otherwise engage in the business of origination, funding or sales of mortgages within the United States for three years from the closing of the sale of substantially all of the operating assets of our LendingTree Loans business. Should market conditions or our strategic direction change, we will not be able to re-establish mortgage lending as part of our business during the restricted period.</w:t>
      </w:r>
    </w:p>
    <w:p>
      <w:pPr>
        <w:spacing w:after="0" w:line="18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on relationships with network lenders and any adverse changes in these relationships could adversely affect our business, financial condition and results of operations.</w:t>
      </w:r>
    </w:p>
    <w:p>
      <w:pPr>
        <w:spacing w:after="0" w:line="169" w:lineRule="exact"/>
        <w:rPr>
          <w:sz w:val="20"/>
          <w:szCs w:val="20"/>
          <w:color w:val="auto"/>
        </w:rPr>
      </w:pPr>
    </w:p>
    <w:p>
      <w:pPr>
        <w:jc w:val="both"/>
        <w:ind w:right="80" w:firstLine="351"/>
        <w:spacing w:after="0" w:line="258" w:lineRule="auto"/>
        <w:rPr>
          <w:sz w:val="20"/>
          <w:szCs w:val="20"/>
          <w:color w:val="auto"/>
        </w:rPr>
      </w:pPr>
      <w:r>
        <w:rPr>
          <w:rFonts w:ascii="Times New Roman" w:cs="Times New Roman" w:eastAsia="Times New Roman" w:hAnsi="Times New Roman"/>
          <w:sz w:val="18"/>
          <w:szCs w:val="18"/>
          <w:color w:val="auto"/>
        </w:rPr>
        <w:t>Our success depends in significant part on the financial strength of lenders participating in our networks. Network lenders could, for any reason, experience financial difficulties and cease participating on our lender network, fail to pay matching and/or closing fees when due and/or drop the quality of their services to consumers. The occurrence of one or more of these events with a significant number of network lenders could, alone or in combination,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 lenders affiliated with our networks are not precluded from offering products and services outside of our exchanges.</w:t>
      </w:r>
    </w:p>
    <w:p>
      <w:pPr>
        <w:spacing w:after="0" w:line="229"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Because our businesses do not have exclusive relationships with network lenders, consumers may obtain loans directly from these third-party service providers without having to use our exchanges. Network lenders can offer loans directly to consumers through marketing campaigns or other traditional methods of distribution, such as referral arrangements, physical store-front operations or broker agreements. Network lenders may also offer loans and services to prospective customers online directly, through one or more online competitors of our businesses, or both. If a significant number of consumers seek loans and services directly from network lenders as opposed to through our exchanges, our business, financial condition and results of operations would be adversely affected.</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non-mortgage businesses (other than our automobile business) are new to the market, have lower margins and may fail to achieve or maintain customer acceptance and profitability.</w:t>
      </w:r>
    </w:p>
    <w:p>
      <w:pPr>
        <w:spacing w:after="0" w:line="169"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introduced our education business in 2009 and our home services business in 2009. We do not have as much experience with these businesses as with the mortgage business. Accordingly, these businesses may be subject to greater risks than our more mature mortgage exchange. As a result, we expect our non-mortgage segment to experience lower margins than our mortgage segment for the foreseeable future.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success of our non-mortgage businesses and other new products we may offer will depend on a number of factors, including:</w:t>
      </w:r>
    </w:p>
    <w:p>
      <w:pPr>
        <w:spacing w:after="0" w:line="239"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at an acceptable cost product features expected by consumers and lead purchasers;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by consumers and lead purchasers;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by current and future competitors;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management and other skilled personnel for these businesses;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successful and cost-effective marketing campaigns; and</w:t>
      </w:r>
    </w:p>
    <w:p>
      <w:pPr>
        <w:spacing w:after="0" w:line="238"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adjust marketing expenditures in relation to changes in demand for the underlying products and services offered by our lead purchasers.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results of operations may suffer if we fail to successfully anticipate and manage these issues associated with our non-mortgage segment.</w:t>
      </w:r>
    </w:p>
    <w:p>
      <w:pPr>
        <w:spacing w:after="0" w:line="221"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on the performance of highly skilled personnel and if we are unable to attract, retain and motivate well-qualified employees, our business could be harmed.</w:t>
      </w:r>
    </w:p>
    <w:p>
      <w:pPr>
        <w:spacing w:after="0" w:line="169"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management team and our highly skilled employees, including our software engineers, statisticians, marketing professionals and sales staff. Our future success depends on our continuing ability to attract, develop, motivate and retain highly qualified and skilled employees. The loss of any of our senior management or key employees could materially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 If we do not succeed in attracting well-qualified employees or retaining and motivating existing employees, our business and results of operations could be harmed.</w:t>
      </w:r>
    </w:p>
    <w:p>
      <w:pPr>
        <w:spacing w:after="0" w:line="18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Network lenders and lead purchasers on our exchanges may not provide competitive levels of service to consumers, which could adversely affect our brands and businesses and their ability to attract consumers.</w:t>
      </w:r>
    </w:p>
    <w:p>
      <w:pPr>
        <w:spacing w:after="0" w:line="169" w:lineRule="exact"/>
        <w:rPr>
          <w:sz w:val="20"/>
          <w:szCs w:val="20"/>
          <w:color w:val="auto"/>
        </w:rPr>
      </w:pPr>
    </w:p>
    <w:p>
      <w:pPr>
        <w:ind w:right="200" w:firstLine="348"/>
        <w:spacing w:after="0" w:line="256" w:lineRule="auto"/>
        <w:rPr>
          <w:sz w:val="20"/>
          <w:szCs w:val="20"/>
          <w:color w:val="auto"/>
        </w:rPr>
      </w:pPr>
      <w:r>
        <w:rPr>
          <w:rFonts w:ascii="Times New Roman" w:cs="Times New Roman" w:eastAsia="Times New Roman" w:hAnsi="Times New Roman"/>
          <w:sz w:val="18"/>
          <w:szCs w:val="18"/>
          <w:color w:val="auto"/>
        </w:rPr>
        <w:t>The ability of our businesses to provide consumers with a high-quality experience depends, in part, on consumers receiving competitive levels of convenience, customer service, price and responsiveness from network lenders and lead purchasers participating on our other exchanges with whom they are matched. If these providers do not provide consumers with competitive levels of convenience, customer service, price and responsiveness, the value of our various brands may be harmed, the ability of our businesses to attract consumers to our websites may be limited and the number of consumers matched through our exchanges may decline, which could have a material adverse effect on our business, financial condition and results of operations.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brand recognition and attract and retain customers in a cost-effective manner could adversely affect our business, financial condition and results of operations.</w:t>
      </w:r>
    </w:p>
    <w:p>
      <w:pPr>
        <w:spacing w:after="0" w:line="169"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In order to attract visitors to our websites, convert these visitors into leads for our network lenders and lead purchasers and generate repeat visits from consumers, our businesses must promote and maintain their various brands successfully. Brand promotion and maintenance requires the expenditure of considerable money and resources for online and offline advertising, marketing and related efforts, as well as the continued provision and introduction of high-quality products and services.</w:t>
      </w:r>
    </w:p>
    <w:p>
      <w:pPr>
        <w:spacing w:after="0" w:line="190"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of operating capital on, and devote significant resources to, branding, advertising and other marketing initiatives, which may not be successful or cost-effective. The failure of our businesses to maintain the recognition of their respective brands and attract and retain customers in a cost-effective manner could adversely affect our business, financial condition and results of operations.</w:t>
      </w:r>
    </w:p>
    <w:p>
      <w:pPr>
        <w:spacing w:after="0" w:line="193" w:lineRule="exact"/>
        <w:rPr>
          <w:sz w:val="20"/>
          <w:szCs w:val="20"/>
          <w:color w:val="auto"/>
        </w:rPr>
      </w:pPr>
    </w:p>
    <w:p>
      <w:pPr>
        <w:jc w:val="both"/>
        <w:ind w:firstLine="341"/>
        <w:spacing w:after="0" w:line="310" w:lineRule="auto"/>
        <w:rPr>
          <w:sz w:val="20"/>
          <w:szCs w:val="20"/>
          <w:color w:val="auto"/>
        </w:rPr>
      </w:pPr>
      <w:r>
        <w:rPr>
          <w:rFonts w:ascii="Times New Roman" w:cs="Times New Roman" w:eastAsia="Times New Roman" w:hAnsi="Times New Roman"/>
          <w:sz w:val="16"/>
          <w:szCs w:val="16"/>
          <w:color w:val="auto"/>
        </w:rPr>
        <w:t>Adverse publicity from legal proceedings against us or our businesses, including governmental proceedings and consumer class action litigation, or from the disclosure of information security breaches, could negatively impact our various brands, which could adversely affect our business, financial condition and results of operations. In addition, the actions of our third-party marketing partners who engage in advertising on our behalf could negatively impact our various brands.</w:t>
      </w:r>
    </w:p>
    <w:p>
      <w:pPr>
        <w:spacing w:after="0" w:line="147"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on search engines and other online sources to attract visitors to our websites, and if we are unable to attract these visitors and convert them into leads for our network lenders and lead purchasers in a cost-effective manner, our business and financial results may be harmed.</w:t>
      </w:r>
    </w:p>
    <w:p>
      <w:pPr>
        <w:spacing w:after="0" w:line="169" w:lineRule="exact"/>
        <w:rPr>
          <w:sz w:val="20"/>
          <w:szCs w:val="20"/>
          <w:color w:val="auto"/>
        </w:rPr>
      </w:pPr>
    </w:p>
    <w:p>
      <w:pPr>
        <w:ind w:right="260" w:firstLine="351"/>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attract online consumers to our websites and convert them into customers in a cost-effective manner. We depend, in part, on search engines and other online sources for our website traffic. We are included in search results as a result of both paid search listings, where we purchase specific search terms that result in the inclusion of our listing, and algorithmic searches that depend upon the searchable content on our sites. Search engines and other online sources revise their algorithms from time to time in an attempt to optimize their search results.</w:t>
      </w:r>
    </w:p>
    <w:p>
      <w:pPr>
        <w:spacing w:after="0" w:line="190"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If one or more of the search engines or other online sources on which we rely for website traffic were to modify its general methodology for how it displays our websites, resulting in fewer consumers clicking through to our websites, our business, could suffer. If any free search engine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adverse effect on our business, financial condition and results of operations.</w:t>
      </w:r>
    </w:p>
    <w:p>
      <w:pPr>
        <w:spacing w:after="0" w:line="1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continually enhance our products and services and adapt them to technological changes and consumer and customer needs, including the emergence of new computing devices and more sophisticated online services, we may lose market share and revenue and our business could suffer.</w:t>
      </w:r>
    </w:p>
    <w:p>
      <w:pPr>
        <w:spacing w:after="0" w:line="169"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need to anticipate, develop and introduce new products, services and applications on a timely and cost-effective basis that keep pace with technological developments and changing consumer and customer needs. For example, the number of individuals who access the internet through devices other than a personal computer, such as personal digital assistants, mobile telephones, televisions and set-top box devices has increased significantly and this trend is likely to continue. Because each manufacturer or distributor may establish unique technical standards for its devices, our websites may not be functional or viewable on these devices. Additionally, new devices and new platforms are continually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being released. Consumers access many traditional web services on mobile devices through applications, or apps. We do not currently offer apps on any mobile platform.</w:t>
      </w:r>
    </w:p>
    <w:p>
      <w:pPr>
        <w:spacing w:after="0" w:line="174"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It is difficult to predict the problems we may encounter in improving our websites' functionality with these alternative devices or developing apps for mobile platforms. If we fail to develop our websites or apps to respond to these or other technological developments and changing consumer and customer needs cost effectively, we may lose market share, which could adversely affect our business, financial condition and results of operations.</w:t>
      </w:r>
    </w:p>
    <w:p>
      <w:pPr>
        <w:spacing w:after="0" w:line="182"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past, existing or new laws, rules and regulations, or to obtain and maintain required licenses, could adversely affect our business, financial condition and results of operations.</w:t>
      </w:r>
    </w:p>
    <w:p>
      <w:pPr>
        <w:spacing w:after="0" w:line="169"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We market and provide services in heavily regulated industries through a number of different channels across the United States. As a result, our businesses have been and remain subject to a variety of statutes, rules, regulations, policies and procedures in various jurisdictions in the United States, which are subject to change at any time. The failure of our businesses to comply with past, existing or new laws, rules and regulations, or to obtain and maintain required licenses, could result in administrative fines and/or proceedings against us or our businesses by governmental agencies and/or litigation by consumers, which could adversely affect our business, financial condition and results of operations and our brand.</w:t>
      </w:r>
    </w:p>
    <w:p>
      <w:pPr>
        <w:spacing w:after="0" w:line="193" w:lineRule="exact"/>
        <w:rPr>
          <w:sz w:val="20"/>
          <w:szCs w:val="20"/>
          <w:color w:val="auto"/>
        </w:rPr>
      </w:pPr>
    </w:p>
    <w:p>
      <w:pPr>
        <w:jc w:val="both"/>
        <w:ind w:right="320" w:firstLine="351"/>
        <w:spacing w:after="0" w:line="262" w:lineRule="auto"/>
        <w:rPr>
          <w:sz w:val="20"/>
          <w:szCs w:val="20"/>
          <w:color w:val="auto"/>
        </w:rPr>
      </w:pPr>
      <w:r>
        <w:rPr>
          <w:rFonts w:ascii="Times New Roman" w:cs="Times New Roman" w:eastAsia="Times New Roman" w:hAnsi="Times New Roman"/>
          <w:sz w:val="18"/>
          <w:szCs w:val="18"/>
          <w:color w:val="auto"/>
        </w:rPr>
        <w:t>Our businesses conduct marketing activities via the telephone, the mail and/or through online marketing channels, which general marketing activities are governed by numerous federal and state regulations, such as the Telemarketing Sales Rule, state telemarketing laws, federal and state privacy laws, the CAN-SPAM Act, and the Federal Trade Commission Act and its accompanying regulations and guidelines, among others.</w:t>
      </w:r>
    </w:p>
    <w:p>
      <w:pPr>
        <w:spacing w:after="0" w:line="186" w:lineRule="exact"/>
        <w:rPr>
          <w:sz w:val="20"/>
          <w:szCs w:val="20"/>
          <w:color w:val="auto"/>
        </w:rPr>
      </w:pPr>
    </w:p>
    <w:p>
      <w:pPr>
        <w:ind w:right="100" w:firstLine="341"/>
        <w:spacing w:after="0" w:line="256" w:lineRule="auto"/>
        <w:rPr>
          <w:sz w:val="20"/>
          <w:szCs w:val="20"/>
          <w:color w:val="auto"/>
        </w:rPr>
      </w:pPr>
      <w:r>
        <w:rPr>
          <w:rFonts w:ascii="Times New Roman" w:cs="Times New Roman" w:eastAsia="Times New Roman" w:hAnsi="Times New Roman"/>
          <w:sz w:val="18"/>
          <w:szCs w:val="18"/>
          <w:color w:val="auto"/>
        </w:rPr>
        <w:t>Additional federal, state and in some instances, local, laws regulate residential lending activities. These laws generally regulate the manner in which lending and lending-related activities are marketed or made available, including advertising and other consumer disclosures, payments for services and record keeping requirements; these laws include the Real Estate Settlement Procedures Act (RESPA), the Fair Credit Reporting Act, the Truth in Lending Act, the Equal Credit Opportunity Act, the Fair Housing Act and various state laws. State laws often restrict the amount of interest and fees that may be charged by a lender or mortgage broker, or otherwise regulate the manner in which lenders or mortgage brokers operate or advertise.</w:t>
      </w:r>
    </w:p>
    <w:p>
      <w:pPr>
        <w:spacing w:after="0" w:line="193" w:lineRule="exact"/>
        <w:rPr>
          <w:sz w:val="20"/>
          <w:szCs w:val="20"/>
          <w:color w:val="auto"/>
        </w:rPr>
      </w:pPr>
    </w:p>
    <w:p>
      <w:pPr>
        <w:jc w:val="both"/>
        <w:ind w:right="160" w:firstLine="351"/>
        <w:spacing w:after="0" w:line="262" w:lineRule="auto"/>
        <w:rPr>
          <w:sz w:val="20"/>
          <w:szCs w:val="20"/>
          <w:color w:val="auto"/>
        </w:rPr>
      </w:pPr>
      <w:r>
        <w:rPr>
          <w:rFonts w:ascii="Times New Roman" w:cs="Times New Roman" w:eastAsia="Times New Roman" w:hAnsi="Times New Roman"/>
          <w:sz w:val="18"/>
          <w:szCs w:val="18"/>
          <w:color w:val="auto"/>
        </w:rPr>
        <w:t>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spacing w:after="0" w:line="186"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In 2008, Congress mandated that all states adopt certain minimum standards for the licensing of individuals involved in mortgage lending or loan brokering, and many state legislatures and state agencies are in the process of adopting or implementing additional licensing, continuing education and similar requirements on mortgage lenders, brokers and their employees. Compliance with these new requirements may render it more difficult to operate or may raise our internal costs.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Likewise, states or municipalities may adopt statutes or regulations making it unattractive, impracticable or infeasible for our businesses to continue to conduct business in such jurisdictions. The withdrawal from any jurisdiction due to emerging legal requirements could adversely affect our business, financial condition and results of operations.</w:t>
      </w:r>
    </w:p>
    <w:p>
      <w:pPr>
        <w:spacing w:after="0" w:line="186"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the ability to conduct marketing and referral activities.</w:t>
      </w:r>
    </w:p>
    <w:p>
      <w:pPr>
        <w:spacing w:after="0" w:line="195" w:lineRule="exact"/>
        <w:rPr>
          <w:sz w:val="20"/>
          <w:szCs w:val="20"/>
          <w:color w:val="auto"/>
        </w:rPr>
      </w:pPr>
    </w:p>
    <w:p>
      <w:pPr>
        <w:ind w:right="660" w:firstLine="348"/>
        <w:spacing w:after="0" w:line="262" w:lineRule="auto"/>
        <w:rPr>
          <w:sz w:val="20"/>
          <w:szCs w:val="20"/>
          <w:color w:val="auto"/>
        </w:rPr>
      </w:pPr>
      <w:r>
        <w:rPr>
          <w:rFonts w:ascii="Times New Roman" w:cs="Times New Roman" w:eastAsia="Times New Roman" w:hAnsi="Times New Roman"/>
          <w:sz w:val="18"/>
          <w:szCs w:val="18"/>
          <w:color w:val="auto"/>
        </w:rPr>
        <w:t>Various federal, state and in some instances, local, laws also prohibit unfair and deceptive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186" w:lineRule="exact"/>
        <w:rPr>
          <w:sz w:val="20"/>
          <w:szCs w:val="20"/>
          <w:color w:val="auto"/>
        </w:rPr>
      </w:pPr>
    </w:p>
    <w:p>
      <w:pPr>
        <w:ind w:right="560" w:firstLine="351"/>
        <w:spacing w:after="0" w:line="275" w:lineRule="auto"/>
        <w:rPr>
          <w:sz w:val="20"/>
          <w:szCs w:val="20"/>
          <w:color w:val="auto"/>
        </w:rPr>
      </w:pPr>
      <w:r>
        <w:rPr>
          <w:rFonts w:ascii="Times New Roman" w:cs="Times New Roman" w:eastAsia="Times New Roman" w:hAnsi="Times New Roman"/>
          <w:sz w:val="18"/>
          <w:szCs w:val="18"/>
          <w:color w:val="auto"/>
        </w:rPr>
        <w:t>Compliance with these laws, rules and regulations is a significant component of our internal costs, and new laws, rules and regulations are frequently proposed and adopted, requiring us to adopt new procedures and practices.</w:t>
      </w:r>
    </w:p>
    <w:p>
      <w:pPr>
        <w:spacing w:after="0" w:line="174"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Parties through which our businesses conduct business similarly may be subject to federal and state regulation. These parties typically act as independent contractors and not as agents in their solicitations and transactions with consumers. We cannot ensure that these entities will comply with applicable laws and regulations at all times. Failure on the part of a lender, secondary market purchaser, website operator or other third party to comply with these laws or regulations could result in, among other things, claims of vicarious liability or a negative impact on our reputation and business.</w:t>
      </w:r>
    </w:p>
    <w:p>
      <w:pPr>
        <w:spacing w:after="0" w:line="190"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Regulatory authorities and private plaintiffs may allege that we failed to comply with applicable laws, rules and regulations where we believe we have complied. These allegations may relate to past conduct and/or past business operations, such as our discontinued real estate brokerage operation (which was subject to various state and local laws, rules and regulations). Even allegations that our activities have not complied or do not comply with all applicable laws and regulations may have an adverse effect on our business, financial condition and results of operations. Such allegations typically require legal fee expenditures to defend.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an adverse effect on our business, financial condition and results of operations.</w:t>
      </w:r>
    </w:p>
    <w:p>
      <w:pPr>
        <w:spacing w:after="0" w:line="188"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Dodd-Frank Wall Street Reform and Consumer Protection Act and related legislative and regulatory actions may have a significant impact on our business, results of operations and financial condition.</w:t>
      </w:r>
    </w:p>
    <w:p>
      <w:pPr>
        <w:spacing w:after="0" w:line="169"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In July 2010, the President signed into law the Dodd-Frank Act, which contains a comprehensive set of provisions designed to govern the practices and oversight of financial institutions and other participants in the financial markets. The Dodd-Frank Act requires various federal agencies to adopt a broad range of new rules and regulations, and to prepare numerous studies and reports for Congress,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which could result in additional legislative or regulatory action. The federal agencies are given significant discretion in drafting the rules and regulations and, consequently, many of the details and much of the impact of the Dodd-Frank Act may not be known for many months or years.</w:t>
      </w:r>
    </w:p>
    <w:p>
      <w:pPr>
        <w:spacing w:after="0" w:line="174"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Dodd-Frank Act, as well as other legislative and regulatory changes, could have a significant impact on us by, for example, requiring us to change our business practices, limiting our ability to pursue business opportunities, imposing additional costs on us, limiting fees we can charge, impacting the value of our assets, or otherwise adversely affecting our businesses. Among other things, the Dodd-Frank Act established the Bureau of Consumer Financial Protection to regulate consumer financial services and products, including credit, savings and payment products. The effect of the Dodd-Frank Act on our business and operations could be significant, depending upon final implementing regulations, the actions of our competitors and the behavior of other marketplace participants. In addition, we may be required to invest significant management time and resources to address the various provisions of the Dodd-Frank Act and the numerous regulations that are required to be issued under it.</w:t>
      </w:r>
    </w:p>
    <w:p>
      <w:pPr>
        <w:spacing w:after="0" w:line="195"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 light of recent conditions in the U.S. financial markets and economy, as well as a heightened regulatory and Congressional focus on consumer lending, regulators have increased their scrutiny of the financial services industry, the result of which has included new regulations and guidance. We are unable to predict the long-term impact of this enhanced scrutiny. We are also unable to predict whether any additional or similar changes to statutes or regulations, including the interpretation or implementation thereof, will occur in the future.</w:t>
      </w:r>
    </w:p>
    <w:p>
      <w:pPr>
        <w:spacing w:after="0" w:line="18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network lenders fail to produce required documents for examination by, or other affiliated parties fail to make certain filings with, state regulators, we may be subject to fines, forfeitures and the revocation of required licenses.</w:t>
      </w:r>
    </w:p>
    <w:p>
      <w:pPr>
        <w:spacing w:after="0" w:line="169"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Some of the states in which our businesses maintain licenses require them to collect various loan documents from network lenders and produce these documents for examination by state regulators. While network lenders are contractually obligated to provide these documents upon request, these measures may be insufficient. Failure to produce required documents for examination could result in fines, as well as the revocation of our licenses to operate in certain states, which could have a material adverse effect on our business, financial condition and results of operations.</w:t>
      </w:r>
    </w:p>
    <w:p>
      <w:pPr>
        <w:spacing w:after="0" w:line="190"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Regulations promulgated by some states may impose compliance obligations on directors, executive officers, large customers and any person who acquires a certain percentage (for example, 10% or more) of our common stock,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have a material adverse effect on our business, financial condition and results of operations.</w:t>
      </w:r>
    </w:p>
    <w:p>
      <w:pPr>
        <w:spacing w:after="0" w:line="189"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integrity of our systems and infrastructures. System interruption and the lack of integration and redundancy in these systems and infrastructures may have an adverse impact on our business, financial condition and results of operations.</w:t>
      </w:r>
    </w:p>
    <w:p>
      <w:pPr>
        <w:spacing w:after="0" w:line="169"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adverse events were to occur, it could adversely affect our business, financial condition and results of operations.</w:t>
      </w:r>
    </w:p>
    <w:p>
      <w:pPr>
        <w:spacing w:after="0" w:line="191" w:lineRule="exact"/>
        <w:rPr>
          <w:sz w:val="20"/>
          <w:szCs w:val="20"/>
          <w:color w:val="auto"/>
        </w:rPr>
      </w:pPr>
    </w:p>
    <w:p>
      <w:pPr>
        <w:ind w:right="6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 breach of our network security or the misappropriation or misuse of personal consumer information may have an adverse impact on our business, financial condition and results of operations.</w:t>
      </w:r>
    </w:p>
    <w:p>
      <w:pPr>
        <w:spacing w:after="0" w:line="169"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Any penetration of network security or other misappropriation or misuse of personal consumer information maintained by us or our third-party marketing partners could cause interruptions in the operations of our businesses and subject us to increased costs, litigation and other liabilities. Claims could also be made against us or our third-party marketing partners for other misuse of personal information, such as for unauthorized purposes or identity theft, which could result in litigation and financial liabilities, as well as administrative action from governmental authorities. Security breaches could also significantly damage our reputation with consumers and third parties with whom we do business. In that regard, in 2008, we announced that several mortgage companies had gained unauthorized access to our customer information database and had used the information to solicit mortgage loans directly from our customers. We promptly reported the situation to the Federal Bureau of Investigation and have been cooperating fully with the FBI's investigation. While we do not believe this situation resulted in any fraud on the consumer or identity theft, we notified affected consumers as required by applicable law. Notwithstanding the foregoing, following our announcement, several putative class action lawsuits were filed against us, seeking to recover damages for consumers allegedly injured by this incident. All of these lawsuits have been dismissed or withdrawn (see "Legal Proceedings" in our 2011 Form 10-K).</w:t>
      </w:r>
    </w:p>
    <w:p>
      <w:pPr>
        <w:spacing w:after="0" w:line="195" w:lineRule="exact"/>
        <w:rPr>
          <w:sz w:val="20"/>
          <w:szCs w:val="20"/>
          <w:color w:val="auto"/>
        </w:rPr>
      </w:pPr>
    </w:p>
    <w:p>
      <w:pPr>
        <w:ind w:right="40" w:firstLine="348"/>
        <w:spacing w:after="0" w:line="301" w:lineRule="auto"/>
        <w:rPr>
          <w:sz w:val="20"/>
          <w:szCs w:val="20"/>
          <w:color w:val="auto"/>
        </w:rPr>
      </w:pPr>
      <w:r>
        <w:rPr>
          <w:rFonts w:ascii="Times New Roman" w:cs="Times New Roman" w:eastAsia="Times New Roman" w:hAnsi="Times New Roman"/>
          <w:sz w:val="16"/>
          <w:szCs w:val="16"/>
          <w:color w:val="auto"/>
        </w:rPr>
        <w:t>We may be required to expend significant capital and other resources to protect against and remedy any potential or existing security breaches and their consequences. We also face risks associated with security breaches affecting third parties with whom we are affiliated or otherwise conduct business with online. Consumers are generally concerned with security and privacy of the Internet, and any publicized security problems affecting our businesses and/or those of third parties may discourage consumers from doing business with us, which could have an adverse effect on our business, financial condition and results of operations.</w:t>
      </w:r>
    </w:p>
    <w:p>
      <w:pPr>
        <w:spacing w:after="0" w:line="153"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collection, processing, storage, use and disclosure of personal data could give rise to liabilities as a result of governmental regulation, conflicting legal requirements or differing views of personal privacy rights.</w:t>
      </w:r>
    </w:p>
    <w:p>
      <w:pPr>
        <w:spacing w:after="0" w:line="169"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In the processing of consumer transactions, our businesses receive, transmit and store a large volume of personally identifiable information and other user data. The collection, sharing, use, disclosure and protection of this information are governed by the privacy and data security policies maintained by us and our businesses. Moreover, there are federal, state and international laws regarding privacy and the storing, sharing, use, disclosure and protection of personally identifiable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information and user data. Specifically, personally identifiable information is increasingly subject to legislation and regulations in numerous jurisdictions around the world, the intent of which is to protect the privacy of personal information that is collected, processed and transmitted in or from the governing jurisdiction. We could be adversely affected if legislation or regulations are expanded to require changes in business practices or privacy policies, or if governing jurisdictions interpret or implement their legislation or regulations in ways that negatively affect our business, financial condition and results of operations.</w:t>
      </w:r>
    </w:p>
    <w:p>
      <w:pPr>
        <w:spacing w:after="0" w:line="157"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Our businesses may also become exposed to potential liabilities as a result of differing views on the privacy of consumer and other user data collected by these businesses. Our failure, and/or the failure by the various third-party vendors and service providers with whom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these businesses, discourage potential users from our products and services and/or result in fines and/or proceedings by governmental agencies and/or consumers, one or all of which could adversely affect our business,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adequately protect our intellectual property rights or may be accused of infringing intellectual property rights of third parties.</w:t>
      </w:r>
    </w:p>
    <w:p>
      <w:pPr>
        <w:spacing w:after="0" w:line="229"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regard our intellectual property rights, including patents, service marks, trademarks and domain names, copyrights, trade secrets and similar intellectual property (as applicable), as critical to our success. Our businesses also rely heavily upon software codes, informational databases and other components that make up their products and services.</w:t>
      </w:r>
    </w:p>
    <w:p>
      <w:pPr>
        <w:spacing w:after="0" w:line="186" w:lineRule="exact"/>
        <w:rPr>
          <w:sz w:val="20"/>
          <w:szCs w:val="20"/>
          <w:color w:val="auto"/>
        </w:rPr>
      </w:pPr>
    </w:p>
    <w:p>
      <w:pPr>
        <w:ind w:right="420" w:firstLine="348"/>
        <w:spacing w:after="0" w:line="258" w:lineRule="auto"/>
        <w:rPr>
          <w:sz w:val="20"/>
          <w:szCs w:val="20"/>
          <w:color w:val="auto"/>
        </w:rPr>
      </w:pPr>
      <w:r>
        <w:rPr>
          <w:rFonts w:ascii="Times New Roman" w:cs="Times New Roman" w:eastAsia="Times New Roman" w:hAnsi="Times New Roman"/>
          <w:sz w:val="18"/>
          <w:szCs w:val="18"/>
          <w:color w:val="auto"/>
        </w:rPr>
        <w:t>We rely on a combination of laws and contractual restrictions with employees, customers, suppliers, affiliates and others to establish and protect these proprietary rights. Despite these precautions, it may be possible for a third party to copy or otherwise obtain and use trade secrets or copyrighted intellectual property without authorization which, if discovered, might require legal action to correct. In addition, third parties may independently and lawfully develop substantially similar intellectual properties.</w:t>
      </w:r>
    </w:p>
    <w:p>
      <w:pPr>
        <w:spacing w:after="0" w:line="190"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vigorously protect our trademarks, service marks and domain names, effective trademark protection may not be available or may not be sought in every country in which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brand names and limit our ability to control marketing on or through the Internet using our various domain names or otherwise, which could adversely affect our business, financial condition and results of operations.</w:t>
      </w:r>
    </w:p>
    <w:p>
      <w:pPr>
        <w:spacing w:after="0" w:line="19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have been granted patents and we have patent applications pending with the United States Patent and Trademark Office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In addition, third parties may create new products or methods that achieve similar results without infringing upon patents that we own.</w:t>
      </w:r>
    </w:p>
    <w:p>
      <w:pPr>
        <w:spacing w:after="0" w:line="193"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Likewise, the issuance of a patent to us does not mean that our processes or inventions will be found not to infringe upon patents or other rights previously issued to third parties.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351"/>
        <w:spacing w:after="0" w:line="255" w:lineRule="auto"/>
        <w:rPr>
          <w:sz w:val="20"/>
          <w:szCs w:val="20"/>
          <w:color w:val="auto"/>
        </w:rPr>
      </w:pPr>
      <w:r>
        <w:rPr>
          <w:rFonts w:ascii="Times New Roman" w:cs="Times New Roman" w:eastAsia="Times New Roman" w:hAnsi="Times New Roman"/>
          <w:sz w:val="18"/>
          <w:szCs w:val="18"/>
          <w:color w:val="auto"/>
        </w:rPr>
        <w:t>From time to time, in the ordinary course of business we are subjected to legal proceedings, claims and counterclaims, or threatened legal proceedings, claims or counterclaims, including allegations of infringement of the trademarks, copyrights, patents and other intellectual property rights of third parties. In addition, litigation may be necessary in the future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Patent litigation tends to be particularly protracted and expensive.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framework for managing risks may not be effective in mitigating our risk of loss.</w:t>
      </w:r>
    </w:p>
    <w:p>
      <w:pPr>
        <w:spacing w:after="0" w:line="229"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Our risk management framework seeks to mitigate risk and appropriately balance risk and return. We have established processes and procedures intended to identify, measure, monitor and report the types of risk to which we are subject, including credit risk, market risk, liquidity risk, operational risk, legal and compliance risk, and strategic risk. We seek to monitor and control our risk exposure through a framework of policies, procedures and reporting requirements. Management of our risks in some cases depends upon the use of analytical and/or forecasting models. If the models that we use to mitigate these risks are inadequate, we may incur increased losses. In addition, there may be risks that exist, or that develop in the future, that we have not appropriately anticipated, identified or mitigated. If our risk management framework does not effectively identify or mitigate our risks, we could suffer unexpected losses and could be materially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or strategic investments that we pursue may not be successful and could disrupt our business and harm our financial condition.</w:t>
      </w:r>
    </w:p>
    <w:p>
      <w:pPr>
        <w:spacing w:after="0" w:line="229"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We may consider or undertake strategic acquisitions of, or material investments in, businesses, products or technologies. We may not be able to identify suitable acquisition or 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it would reduce our cash balances, which may have an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an adverse effect on our financial condition.</w:t>
      </w:r>
    </w:p>
    <w:p>
      <w:pPr>
        <w:spacing w:after="0" w:line="195"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amortizable intangible assets become impaired we may be required to record a significant charge to earnings.</w:t>
      </w:r>
    </w:p>
    <w:p>
      <w:pPr>
        <w:spacing w:after="0" w:line="229" w:lineRule="exact"/>
        <w:rPr>
          <w:sz w:val="20"/>
          <w:szCs w:val="20"/>
          <w:color w:val="auto"/>
        </w:rPr>
      </w:pPr>
    </w:p>
    <w:p>
      <w:pPr>
        <w:ind w:right="300" w:firstLine="351"/>
        <w:spacing w:after="0" w:line="339" w:lineRule="auto"/>
        <w:rPr>
          <w:sz w:val="20"/>
          <w:szCs w:val="20"/>
          <w:color w:val="auto"/>
        </w:rPr>
      </w:pPr>
      <w:r>
        <w:rPr>
          <w:rFonts w:ascii="Times New Roman" w:cs="Times New Roman" w:eastAsia="Times New Roman" w:hAnsi="Times New Roman"/>
          <w:sz w:val="16"/>
          <w:szCs w:val="16"/>
          <w:color w:val="auto"/>
        </w:rPr>
        <w:t>Under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or our customers' industries. We may be required to record a significant charge in our financial statements during the period in which any impairment of our goodwill or indefinite-lived intangible assets is determined, negatively impacting our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and may face negative pressure.</w:t>
      </w:r>
    </w:p>
    <w:p>
      <w:pPr>
        <w:spacing w:after="0" w:line="229"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market price for our common stock has been volatile since our spin-off. The market price for our common stock could continue to fluctuate significantly for many reasons, including the risks identified in this report or reasons unrelated to our performance. These factors may result in short- or long-term negative pressure on the value of our common stock.</w:t>
      </w:r>
    </w:p>
    <w:p>
      <w:pPr>
        <w:spacing w:after="0" w:line="182"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69" w:lineRule="exact"/>
        <w:rPr>
          <w:sz w:val="20"/>
          <w:szCs w:val="20"/>
          <w:color w:val="auto"/>
        </w:rPr>
      </w:pPr>
    </w:p>
    <w:p>
      <w:pPr>
        <w:ind w:right="180" w:firstLine="348"/>
        <w:spacing w:after="0" w:line="256" w:lineRule="auto"/>
        <w:rPr>
          <w:sz w:val="20"/>
          <w:szCs w:val="20"/>
          <w:color w:val="auto"/>
        </w:rPr>
      </w:pPr>
      <w:r>
        <w:rPr>
          <w:rFonts w:ascii="Times New Roman" w:cs="Times New Roman" w:eastAsia="Times New Roman" w:hAnsi="Times New Roman"/>
          <w:sz w:val="18"/>
          <w:szCs w:val="18"/>
          <w:color w:val="auto"/>
        </w:rPr>
        <w:t>The trading market for internet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spacing w:after="0" w:line="189" w:lineRule="exact"/>
        <w:rPr>
          <w:sz w:val="20"/>
          <w:szCs w:val="20"/>
          <w:color w:val="auto"/>
        </w:rPr>
      </w:pPr>
    </w:p>
    <w:p>
      <w:pPr>
        <w:ind w:right="10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a material weakness in our internal control over financial reporting and we may be unable to develop, implement and maintain appropriate controls in future periods. If the material weakness is not remediated, then it could result in a material misstatement to the financial statements.</w:t>
      </w:r>
    </w:p>
    <w:p>
      <w:pPr>
        <w:spacing w:after="0" w:line="123"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We have identified a material weakness in our internal control over financial reporting and, as a result of such weakness, our management, with the participation of our principal executive officer and principal financial officer, concluded that our disclosure controls and procedures and internal control over financial reporting were not effective as of December 31, 2012. The material weakness related to the maintenance of effective controls over the application and monitoring of our accounting for income taxes.</w:t>
      </w:r>
    </w:p>
    <w:p>
      <w:pPr>
        <w:spacing w:after="0" w:line="190"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With respect to our controls over the application and monitoring of our accounting for income taxes, we did not have controls designed and in place to ensure effective oversight of the work performed by, and the accuracy of, financial information provided by third-party tax advisors. This material weakness was identified in connection with our assessment of the effectiveness of internal control over financial reporting as of December 31, 2010, and was determined not to have been remediated as of December 31, 2012.</w:t>
      </w:r>
    </w:p>
    <w:p>
      <w:pPr>
        <w:spacing w:after="0" w:line="190"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Until remediated, this material weakness could result in material misstatements to our interim or annual consolidated financial statements and disclosures that may not be prevented or detected on a timely basis. In addition, we may be unable to meet our reporting obligations or comply with SEC rules and regulations, which could result in delisting actions by the NASDAQ Stock Market and investigation and sanctions by regulatory authorities. Any of these results could adversely affect our business and the trading price of our common stock.</w:t>
      </w:r>
    </w:p>
    <w:p>
      <w:pPr>
        <w:spacing w:after="0" w:line="186"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Two holders of our common stock own a substantial portion of our outstanding common stock, which concentrates voting control and limits your ability to influence corporate matters.</w:t>
      </w:r>
    </w:p>
    <w:p>
      <w:pPr>
        <w:spacing w:after="0" w:line="169" w:lineRule="exact"/>
        <w:rPr>
          <w:sz w:val="20"/>
          <w:szCs w:val="20"/>
          <w:color w:val="auto"/>
        </w:rPr>
      </w:pPr>
    </w:p>
    <w:p>
      <w:pPr>
        <w:ind w:right="220" w:firstLine="341"/>
        <w:spacing w:after="0" w:line="275" w:lineRule="auto"/>
        <w:rPr>
          <w:sz w:val="20"/>
          <w:szCs w:val="20"/>
          <w:color w:val="auto"/>
        </w:rPr>
      </w:pPr>
      <w:r>
        <w:rPr>
          <w:rFonts w:ascii="Times New Roman" w:cs="Times New Roman" w:eastAsia="Times New Roman" w:hAnsi="Times New Roman"/>
          <w:sz w:val="18"/>
          <w:szCs w:val="18"/>
          <w:color w:val="auto"/>
        </w:rPr>
        <w:t>As of March 28, 2013, Douglas Lebda, our Chairman and Chief Executive Officer, and Liberty Interactive Corporation beneficially owned approximately 23% and 24%, respectively, of our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outstanding common stock. Liberty Interactive also has the right to nominate 20% of the total number of directors serving on the board, rounded up. Liberty Interactive has nominated one director, Mark Sanford, and presently has the right to nominate a second director if it chooses to do so.</w:t>
      </w:r>
    </w:p>
    <w:p>
      <w:pPr>
        <w:spacing w:after="0" w:line="174"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Therefore, for the foreseeable future, Mr. Lebda and Liberty Interactive will each have influence over our management and affairs and all matters requiring shareholder approval, including the election or removal (with or without cause) of directors and approval of any significant corporate transaction, such as a merger or other sale of us or our assets.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1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shareholders to replace or remove our management and affect the market price of our common stock.</w:t>
      </w:r>
    </w:p>
    <w:p>
      <w:pPr>
        <w:spacing w:after="0" w:line="169"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Provisions in our certificate of incorporation and bylaws, as amended and restated, may have the effect of delaying or preventing a change of control or changes in our management. Our amended and restated articles of incorporation and/or amended and restated bylaws include provisions that:</w:t>
      </w:r>
    </w:p>
    <w:p>
      <w:pPr>
        <w:spacing w:after="0" w:line="187"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our shareholders, up to five million shares of undesignated preferred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the affirmative vote of a majority of directors then in office or by the sole remaining director;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only our board of directors may change the size of our board of directors;</w:t>
      </w:r>
    </w:p>
    <w:p>
      <w:pPr>
        <w:spacing w:after="0" w:line="252"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taking action by written consent.</w:t>
      </w:r>
    </w:p>
    <w:p>
      <w:pPr>
        <w:spacing w:after="0" w:line="225"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In addition, because we are incorporated in the State of Delaware, we are governed by the provisions of the Delaware General Corporation Law, which prohibits certain business combinations between us and certain significant shareholders unless specified conditions are met. These provisions may also have the effect of delaying or preventing a change of control of our company, even if stockholders support such a change of control.</w:t>
      </w:r>
    </w:p>
    <w:p>
      <w:pPr>
        <w:spacing w:after="0" w:line="18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i w:val="1"/>
          <w:iCs w:val="1"/>
          <w:color w:val="auto"/>
        </w:rPr>
        <w:t>Unresolved Staff Comments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Properties</w:t>
      </w:r>
    </w:p>
    <w:p>
      <w:pPr>
        <w:spacing w:after="0" w:line="229" w:lineRule="exact"/>
        <w:rPr>
          <w:sz w:val="20"/>
          <w:szCs w:val="20"/>
          <w:color w:val="auto"/>
        </w:rPr>
      </w:pPr>
    </w:p>
    <w:p>
      <w:pPr>
        <w:ind w:right="340" w:firstLine="351"/>
        <w:spacing w:after="0" w:line="262" w:lineRule="auto"/>
        <w:rPr>
          <w:sz w:val="20"/>
          <w:szCs w:val="20"/>
          <w:color w:val="auto"/>
        </w:rPr>
      </w:pPr>
      <w:r>
        <w:rPr>
          <w:rFonts w:ascii="Times New Roman" w:cs="Times New Roman" w:eastAsia="Times New Roman" w:hAnsi="Times New Roman"/>
          <w:sz w:val="18"/>
          <w:szCs w:val="18"/>
          <w:color w:val="auto"/>
        </w:rPr>
        <w:t>Our principal executive offices are currently located in approximately 37,800 square feet of office space in Charlotte, North Carolina under a lease that expires in July 2015. Personnel for both our mortgage and non-mortgage segments are located in our office space in Charlotte, North Carolina as well as approximately 6,100 square feet of office space in Burlingame, California under a lease that expires in March 2015.</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22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In the ordinary course of business, we are party to litigation involving property, contract, intellectual property and a variety of other claims. The amounts that may be recovered in such matters may be subject to insurance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Litigation</w:t>
      </w:r>
    </w:p>
    <w:p>
      <w:pPr>
        <w:spacing w:after="0" w:line="223"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LendingTree v. Zillow, Inc., et al. Civil Action No. 3:10-cv-439. </w:t>
      </w:r>
      <w:r>
        <w:rPr>
          <w:rFonts w:ascii="Times New Roman" w:cs="Times New Roman" w:eastAsia="Times New Roman" w:hAnsi="Times New Roman"/>
          <w:sz w:val="16"/>
          <w:szCs w:val="16"/>
          <w:color w:val="auto"/>
        </w:rPr>
        <w:t>On September 8, 2010, we filed an action for patent infringement in the US District Court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Western District of NC against Zillow, Inc., Nextag, Inc., Quinstreet, Inc., Quinstreet Media, Inc., and Adchemy, Inc. The complaint was amended to include Leadpoint, Inc. d/b/a Securerights on September 24, 2010. The complaint alleges that each of the defendants infringe one or both of U.S. Patent</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 6,385,594, entitled "Method and Computer Network for Co-Ordinating a Loan over the Internet," and U.S. Patent No. 6,611,816, entitled "Method and Computer Network for Co-Ordinating a Loan over the Internet." Collectively, the asserted patents cover computer hardware and software used in facilitating business between computer users and multiple lenders on the internet. The defendants in this action asserted various counterclaims against us, including the assertion by certain of the defendants of counterclaims alleging illegal monopolization via our maintenance of the asserted patents. In July 2011, we reached a settlement agreement with Leadpoint, Inc. On July 20, 2011, all claims against Leadpoint, Inc. and all counter-claims against us by Leadpoint, Inc. were dismissed. In November 2012, we reached a settlement agreement with Quinstreet, Inc. and Quinstreet Media, Inc. (collectively, the Quinstreet Parties); all claims against the QuinStreet Parties and all counterclaims against us by the Quinstreet Parties were dismissed. The remaining parties are presently involved in discovery. Trial is currently expected in early 2014. We intend to vigorously defend all remaining counterclaims.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Litigation</w:t>
      </w:r>
    </w:p>
    <w:p>
      <w:pPr>
        <w:spacing w:after="0" w:line="223"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Boschma v. Home Loan Center, Inc., No. SACV07-613 (U.S. Dist. Ct., C.D. Cal.). </w:t>
      </w:r>
      <w:r>
        <w:rPr>
          <w:rFonts w:ascii="Times New Roman" w:cs="Times New Roman" w:eastAsia="Times New Roman" w:hAnsi="Times New Roman"/>
          <w:sz w:val="18"/>
          <w:szCs w:val="18"/>
          <w:color w:val="auto"/>
        </w:rPr>
        <w:t>On May 25, 2007, Plaintiffs filed this putative class action against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HLC in the U.S. District Court for the Central District of California.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Plaintiffs asserted violations of the federal Truth in Lending Act, violations of the Unfair Competition Law, breach of contract, and breach of the covenant of good faith and fair dealing. Plaintiffs purport to represent a class of all individuals who between June 1, 2003 and May 31, 2007 obtained through HLC an option ARM loan on their primary residence located in California, and seek rescission, damages, attorneys' fees and injunctive relief. Plaintiffs have not yet filed a motion for class certification. Plaintiffs have filed a total of eight complaints in connection with this lawsuit. Each of the first seven complaints has been dismissed by the federal and state courts. Plaintiffs filed the eighth complaint (a Second Amended Complaint) in Orange County (California) Superior Court on March 4, 2010 alleging only the fraud and Unfair Competition Law claims. As with each of the seven previous versions of Plaintiffs' complaint, the Second Amended Complaint was dismissed in April 2010. Plaintiffs appealed the dismissal and on August 10, 2011, the appellate court reversed the trial court's dismissal and directed the trial court to overrule the demurrer. The case has been remanded to superior court and the parties are presently involved in discovery. The class certification hearing is currently scheduled for September 2013. We believe Plaintiffs' allegations lack merit and we intend to defend against this action vigorously.</w:t>
      </w:r>
    </w:p>
    <w:p>
      <w:pPr>
        <w:spacing w:after="0" w:line="189" w:lineRule="exact"/>
        <w:rPr>
          <w:sz w:val="20"/>
          <w:szCs w:val="20"/>
          <w:color w:val="auto"/>
        </w:rPr>
      </w:pPr>
    </w:p>
    <w:p>
      <w:pPr>
        <w:jc w:val="both"/>
        <w:ind w:right="4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Store, Inc. v. LendingTree Loans d/b/a Home Loan Center, Inc., No. 06CC00250 (Cal. Super. Ct., Orange Cty.). </w:t>
      </w:r>
      <w:r>
        <w:rPr>
          <w:rFonts w:ascii="Times New Roman" w:cs="Times New Roman" w:eastAsia="Times New Roman" w:hAnsi="Times New Roman"/>
          <w:sz w:val="18"/>
          <w:szCs w:val="18"/>
          <w:color w:val="auto"/>
        </w:rPr>
        <w:t>On November 30, 2006,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Mortgage Store, Inc. and Castleview Home Loans, Inc. filed this putative class action against HLC in the California Superior Court for Orange County. Plaintiffs, two former network lenders, alleged that HLC interfered with LendingTree's contracts with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network lenders by taking referrals from LendingTree without adequately disclose the relationship between them and that HLC charged Plaintiffs higher rates and fees than they otherwise would have been charged. Based upon these factual allegations, Plaintiffs assert claims for intentional interference with contractual relations, intentional interference with prospective economic advantage, and violation of the California Unfair Competition Law and California Business and Professions Code § 17500. Plaintiffs purport to represent all network lenders from December 14, 2004 to date, and seek damages, restitution, attorneys' fees and punitive damages.</w:t>
      </w:r>
    </w:p>
    <w:p>
      <w:pPr>
        <w:spacing w:after="0" w:line="193" w:lineRule="exact"/>
        <w:rPr>
          <w:sz w:val="20"/>
          <w:szCs w:val="20"/>
          <w:color w:val="auto"/>
        </w:rPr>
      </w:pPr>
    </w:p>
    <w:p>
      <w:pPr>
        <w:jc w:val="both"/>
        <w:ind w:right="20" w:firstLine="351"/>
        <w:spacing w:after="0" w:line="262" w:lineRule="auto"/>
        <w:rPr>
          <w:sz w:val="20"/>
          <w:szCs w:val="20"/>
          <w:color w:val="auto"/>
        </w:rPr>
      </w:pPr>
      <w:r>
        <w:rPr>
          <w:rFonts w:ascii="Times New Roman" w:cs="Times New Roman" w:eastAsia="Times New Roman" w:hAnsi="Times New Roman"/>
          <w:sz w:val="18"/>
          <w:szCs w:val="18"/>
          <w:color w:val="auto"/>
        </w:rPr>
        <w:t>Plaintiffs' motion for class certification was granted April 29, 2010. On October 17, 2011, the Court granted HLC's motion for summary judgment. Judgment was entered in favor of HLC on April 9, 2012. On June 15, 2012, Plaintiffs filed a Notice of Appeal. Plaintiffs filed their opening appellate brief on December 17, 2012. We believe Plaintiffs' allegations lack merit and we intend to defend against this action vigorously.</w:t>
      </w:r>
    </w:p>
    <w:p>
      <w:pPr>
        <w:spacing w:after="0" w:line="182"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Lijkel Dijkstra v. Harry Carenbauer, Home Loan Center, Inc. et al., No. 5:11-cv-152-JPB (U.S. Dist. Ct., N.D.WV). </w:t>
      </w:r>
      <w:r>
        <w:rPr>
          <w:rFonts w:ascii="Times New Roman" w:cs="Times New Roman" w:eastAsia="Times New Roman" w:hAnsi="Times New Roman"/>
          <w:sz w:val="18"/>
          <w:szCs w:val="18"/>
          <w:color w:val="auto"/>
        </w:rPr>
        <w:t>On November 7, 2008 Plaintiff filed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putative class action in Circuit Court of Ohio County, West Virginia against Harry Carenbauer, Home Loan Center, Inc.,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includes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Discovery in this matter is ongoing. We believe Plaintiff's allegations lack merit and we intend to defend against this action vigorously.</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Massachusetts Division of Banks</w:t>
      </w:r>
    </w:p>
    <w:p>
      <w:pPr>
        <w:spacing w:after="0" w:line="229"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Massachusetts Division of Banks (the "Division") delivered to LendingTree, LLC on February 11, 2011 a Report of Examination/Inspection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As of the date of this report, none of the Joining Regulators have asserted any such allegations.</w:t>
      </w:r>
    </w:p>
    <w:p>
      <w:pPr>
        <w:spacing w:after="0" w:line="19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proposed Consent Agreement and Order calls for a fine to be allocated among the Division and the Joining Regulators and for LendingTree, LLC to adopt various new procedures and practices. LendingTree and the Joining Regulators have commenced negotiations toward an acceptable Consent Agreement and Order. We do not believe our mortgage business violates any federal or state mortgage lending laws; nor do we believe that any past operations of the mortgage business have resulted in a material violation of any such laws. Should the Division or any Joining Regulator bring any actions relating to the matters alleged in the February 2011 Report of Examination/Inspection, we intend to defend against such actions vigorously.</w:t>
      </w:r>
    </w:p>
    <w:p>
      <w:pPr>
        <w:spacing w:after="0" w:line="18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Mine Safety Disclosures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3" w:lineRule="exact"/>
        <w:rPr>
          <w:sz w:val="20"/>
          <w:szCs w:val="20"/>
          <w:color w:val="auto"/>
        </w:rPr>
      </w:pPr>
    </w:p>
    <w:p>
      <w:pPr>
        <w:ind w:right="246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for Registrant's Common Equity and Related Stockholder Matters</w:t>
      </w:r>
    </w:p>
    <w:p>
      <w:pPr>
        <w:spacing w:after="0" w:line="1"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Tree.com common stock is quoted on the NASDAQ Global Market under the ticker symbol "TREE." The table below sets forth, for the calendar periods indicated, the high and low sales prices per share for Tree.com common stock on the NASDAQ Global Market.</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2011</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5.64</w:t>
            </w:r>
          </w:p>
        </w:tc>
      </w:tr>
      <w:tr>
        <w:trPr>
          <w:trHeight w:val="851"/>
        </w:trPr>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2012</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5.37</w:t>
            </w:r>
          </w:p>
        </w:tc>
      </w:tr>
    </w:tbl>
    <w:p>
      <w:pPr>
        <w:spacing w:after="0" w:line="202"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On December 26, 2012, we paid a special dividend of $1.00 per share to our shareholders of record on December 17, 2012. Other than the special dividend, we have not declared or paid a cash dividend on our common stock during the two most recent fiscal years. We have no current intention to declare or pay cash dividends on our common stock in the foreseeable future. The declaration, payment and amount of future cash dividends, if any, will be at the discretion of our board of directors.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28, 2013 there were approximately 1,000 holders of record of our common stock and the closing price of the common stock was $18.49.</w:t>
      </w:r>
    </w:p>
    <w:p>
      <w:pPr>
        <w:spacing w:after="0" w:line="225"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2012, we did not issue or sell any shares of our common stock or other equity securities in transactions that were not registered under the Securities Act of 1933.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information about our repurchases of equity securities during the quarter ended December 31, 2012.</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Purchased as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 the Plans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Price Paid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Announced Plans or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Programs</w:t>
            </w:r>
          </w:p>
        </w:tc>
        <w:tc>
          <w:tcPr>
            <w:tcW w:w="0" w:type="dxa"/>
            <w:vAlign w:val="bottom"/>
          </w:tcPr>
          <w:p>
            <w:pPr>
              <w:spacing w:after="0"/>
              <w:rPr>
                <w:sz w:val="1"/>
                <w:szCs w:val="1"/>
                <w:color w:val="auto"/>
              </w:rPr>
            </w:pPr>
          </w:p>
        </w:tc>
      </w:tr>
      <w:tr>
        <w:trPr>
          <w:trHeight w:val="165"/>
        </w:trPr>
        <w:tc>
          <w:tcPr>
            <w:tcW w:w="3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Purchased(1)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Programs(2)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10/01/12 – 10/31/12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11/01/12 – 11/30/12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12/01/12 – 12/31/12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860" w:type="dxa"/>
            <w:vAlign w:val="bottom"/>
            <w:gridSpan w:val="4"/>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68,927</w:t>
            </w:r>
          </w:p>
        </w:tc>
        <w:tc>
          <w:tcPr>
            <w:tcW w:w="1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60" w:type="dxa"/>
            <w:vAlign w:val="bottom"/>
            <w:vMerge w:val="continue"/>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35,782</w:t>
            </w:r>
          </w:p>
        </w:tc>
        <w:tc>
          <w:tcPr>
            <w:tcW w:w="1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right="220" w:hanging="531"/>
        <w:spacing w:after="0" w:line="262" w:lineRule="auto"/>
        <w:tabs>
          <w:tab w:leader="none" w:pos="1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2012, 33,145 shares of our common stock were delivered by employees to satisfy federal and state withholding obligations upon the vesting of restricted stock awards granted to those individuals under the Third Amended and Restated Tree.com 2008</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680" w:right="480"/>
        <w:spacing w:after="0" w:line="275" w:lineRule="auto"/>
        <w:rPr>
          <w:sz w:val="20"/>
          <w:szCs w:val="20"/>
          <w:color w:val="auto"/>
        </w:rPr>
      </w:pPr>
      <w:r>
        <w:rPr>
          <w:rFonts w:ascii="Times New Roman" w:cs="Times New Roman" w:eastAsia="Times New Roman" w:hAnsi="Times New Roman"/>
          <w:sz w:val="18"/>
          <w:szCs w:val="18"/>
          <w:color w:val="auto"/>
        </w:rPr>
        <w:t>Stock and Award Incentive Plan. The withholding of those shares does not affect the dollar amount or number of shares that may be purchased under the publicly announced plans or programs described in footnote (2) below.</w:t>
      </w:r>
    </w:p>
    <w:p>
      <w:pPr>
        <w:spacing w:after="0" w:line="187" w:lineRule="exact"/>
        <w:rPr>
          <w:sz w:val="20"/>
          <w:szCs w:val="20"/>
          <w:color w:val="auto"/>
        </w:rPr>
      </w:pPr>
    </w:p>
    <w:p>
      <w:pPr>
        <w:ind w:left="1680" w:hanging="531"/>
        <w:spacing w:after="0" w:line="256" w:lineRule="auto"/>
        <w:tabs>
          <w:tab w:leader="none" w:pos="1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11, 2010, we announced that our board of directors approved a stock repurchase program for an amount up to $10 million. The program authorizes repurchases of common shares in the open market or through privately-negotiated transactions. We began this program in February 2010 and expect to use available cash to finance these repurchases. We will determine the timing and amount of such repurchases based on our evaluation of market conditions, applicable SEC guidelines and regulations, and other factors. This program may be suspended or discontinued at any time at the discretion of our board of directors</w:t>
      </w:r>
    </w:p>
    <w:p>
      <w:pPr>
        <w:spacing w:after="0" w:line="18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Selected Financial Data</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the rules and regulations of the SEC, as a smaller reporting company we are not required to provide the information required by this item.</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100" w:firstLine="348"/>
        <w:spacing w:after="0" w:line="301" w:lineRule="auto"/>
        <w:rPr>
          <w:sz w:val="20"/>
          <w:szCs w:val="20"/>
          <w:color w:val="auto"/>
        </w:rPr>
      </w:pPr>
      <w:r>
        <w:rPr>
          <w:rFonts w:ascii="Times New Roman" w:cs="Times New Roman" w:eastAsia="Times New Roman" w:hAnsi="Times New Roman"/>
          <w:sz w:val="16"/>
          <w:szCs w:val="16"/>
          <w:color w:val="auto"/>
        </w:rPr>
        <w:t>The following Management's Discussion and Analysis of Financial Condition and Results of Operations should be read together with our consolidated financial statements and accompanying notes included elsewhere within this report. This discussion includes both historical information and forward-looking information that involves risks, uncertainties and assumptions. Our actual results may differ materially from management's expectations as a result of various factors, including but not limited to those discussed in the sections entitled "Risk Factors" and "Cautionary Statement Regarding Forward-Looking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7" w:lineRule="exact"/>
        <w:rPr>
          <w:sz w:val="20"/>
          <w:szCs w:val="20"/>
          <w:color w:val="auto"/>
        </w:rPr>
      </w:pPr>
    </w:p>
    <w:p>
      <w:pPr>
        <w:ind w:right="340" w:firstLine="348"/>
        <w:spacing w:after="0" w:line="289" w:lineRule="auto"/>
        <w:rPr>
          <w:sz w:val="20"/>
          <w:szCs w:val="20"/>
          <w:color w:val="auto"/>
        </w:rPr>
      </w:pPr>
      <w:r>
        <w:rPr>
          <w:rFonts w:ascii="Times New Roman" w:cs="Times New Roman" w:eastAsia="Times New Roman" w:hAnsi="Times New Roman"/>
          <w:sz w:val="16"/>
          <w:szCs w:val="16"/>
          <w:color w:val="auto"/>
        </w:rPr>
        <w:t>Tree.com is the parent of LendingTree, LLC which owns several brands and businesses that provide information, tools, advice, products and services for critical transactions in consumers' lives. Our family of brands includes: LendingTree®, GetSmart®, DegreeTree®, LendingTreeAutos, DoneRight®,</w:t>
      </w:r>
    </w:p>
    <w:p>
      <w:pPr>
        <w:spacing w:after="0" w:line="1" w:lineRule="exact"/>
        <w:rPr>
          <w:sz w:val="20"/>
          <w:szCs w:val="20"/>
          <w:color w:val="auto"/>
        </w:rPr>
      </w:pPr>
    </w:p>
    <w:p>
      <w:pPr>
        <w:ind w:right="80"/>
        <w:spacing w:after="0" w:line="209" w:lineRule="auto"/>
        <w:rPr>
          <w:sz w:val="20"/>
          <w:szCs w:val="20"/>
          <w:color w:val="auto"/>
        </w:rPr>
      </w:pPr>
      <w:r>
        <w:rPr>
          <w:rFonts w:ascii="Times New Roman" w:cs="Times New Roman" w:eastAsia="Times New Roman" w:hAnsi="Times New Roman"/>
          <w:sz w:val="18"/>
          <w:szCs w:val="18"/>
          <w:color w:val="auto"/>
        </w:rPr>
        <w:t>ServiceTree</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and InsuranceTree®. Together, these brands serve as an ally for consumers who are looking to comparison-shop for loans and other services from multiple businesses and professionals that will compete for their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7"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Effective December 31, 2012, we expanded our reportable segments from one to two, consisting of mortgage and non-mortgage. The change was made as the convergence of economic similarities associated with our mortgage and non-mortgage operating segments was no longer expected. This decision was made in connection with the update of our annual budget and forecast, which occurs in the fourth quarter each year. The non-mortgage reportable segment consists of our auto, education and home services operating segments, which are not yet mature businesses, and have been aggregated. Prior period results have been reclassified to conform with the change in reportable segments.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maintain operations solely in the United States.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7" w:lineRule="exact"/>
        <w:rPr>
          <w:sz w:val="20"/>
          <w:szCs w:val="20"/>
          <w:color w:val="auto"/>
        </w:rPr>
      </w:pPr>
    </w:p>
    <w:p>
      <w:pPr>
        <w:ind w:right="20" w:firstLine="348"/>
        <w:spacing w:after="0" w:line="339" w:lineRule="auto"/>
        <w:rPr>
          <w:sz w:val="20"/>
          <w:szCs w:val="20"/>
          <w:color w:val="auto"/>
        </w:rPr>
      </w:pPr>
      <w:r>
        <w:rPr>
          <w:rFonts w:ascii="Times New Roman" w:cs="Times New Roman" w:eastAsia="Times New Roman" w:hAnsi="Times New Roman"/>
          <w:sz w:val="16"/>
          <w:szCs w:val="16"/>
          <w:color w:val="auto"/>
        </w:rPr>
        <w:t>The businesses of RealEstate.com and RealEstate.com, REALTORS® and LendingTree Loans are presented as discontinued operations in the accompanying consolidated balance sheets and consolidated statements of operations and cash flows for all periods presented. The analysis within Management's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reflects our continuing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Overview</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discussion, unless otherwise noted, excludes information related to our discontinued operations.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Recent Mortgage Interest Rate Trends</w:t>
      </w:r>
    </w:p>
    <w:p>
      <w:pPr>
        <w:spacing w:after="0" w:line="227"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Interest rate and market risks can be substantial in the mortgage lead generation business. 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leads, as there are fewer consumers in the marketplace and the overall supply of mortgage leads decreases.</w:t>
      </w:r>
    </w:p>
    <w:p>
      <w:pPr>
        <w:spacing w:after="0" w:line="193"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According to Freddie Mac, 30-year fixed mortgage rates have experienced a relatively consistent decline since early 2011. The year 2012 began at what were then record low rates of approximately 3.9% and continued to decline throughout the year to new lows, reaching an average 3.35% in December. As a result, according to Mortgage Bankers Association data, mortgage originations are estimated to have increased by 22% during 2012 as compared with 2011. However, stringent qualification guidelines on the part of lenders and governmental agencies have made it difficult for many consumers seeking mortgage financings to obtain them, notwithstanding the favorable interest rate environment.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Real Estate Market</w:t>
      </w:r>
    </w:p>
    <w:p>
      <w:pPr>
        <w:spacing w:after="0" w:line="227"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In 2011, our operations, cash flows and financial position were negatively impacted by the continued deterioration in the housing market. In particular, revenue was negatively impacted by falling home prices and a continued high level of foreclosures.</w:t>
      </w:r>
    </w:p>
    <w:p>
      <w:pPr>
        <w:spacing w:after="0" w:line="174"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2012, nationwide sales of existing homes rose by 9% compared with 2011, according to the National Association of Realtors, while total housing inventory tightened. The demand for homes generally increased as mortgage rates dropped to their lowest levels in the past 60 years, whereas the number of homes for sale did not keep pace with actual sales during 2012. Prices of existing home sales increased during 2012, with the national median existing home price up 11.5% in December 2012 as compared with the year prior. However, notwithstanding recent improvements, average home prices are still down substantially from the market's peak in the summer of 2006 and, according to the S&amp;P/Case-Schiller U.S. National Home Price Index, are currently similar to levels last seen in Fall 2003. While distressed homes continue to account for a significant portion of overall home sales, representing 24% in December 2012, this figure was down from 32% as compared with the year prior period.</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2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contemplation of the divestiture of our LendingTree Loans business, we focused on expense savings and took various initiatives to reduce costs. During the first quarter of 2011, we commenced a voluntary severance plan for certain corporate employees. In addition, we took steps during the first half of 2011 to minimize ineffective marketing expenditures and dynamically align marketing expenses with lender demand for leads on our mortgage exchange. We continue to focus on marketing efficiency.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Sale of Assets of LendingTree Loans</w:t>
      </w:r>
    </w:p>
    <w:p>
      <w:pPr>
        <w:spacing w:after="0" w:line="227"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On May 12, 2011, we entered into an asset purchase agreement, which was amended on February 7, 2012, for the sale of substantially all of the operating assets of our LendingTree Loans business. We completed the sale on June 6, 2012.</w:t>
      </w:r>
    </w:p>
    <w:p>
      <w:pPr>
        <w:spacing w:after="0" w:line="174"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The asset purchase agreement, as amended, provided for a purchase price of approximately $55.9 million in cash for the assets, subject to certain conditions. Of this total purchase price, $8.0 million was paid prior to the closing, $37.9 million was paid at the closing and $10.0 million is due on the first anniversary of the closing, subject to certain conditions.</w:t>
      </w:r>
    </w:p>
    <w:p>
      <w:pPr>
        <w:spacing w:after="0" w:line="186" w:lineRule="exact"/>
        <w:rPr>
          <w:sz w:val="20"/>
          <w:szCs w:val="20"/>
          <w:color w:val="auto"/>
        </w:rPr>
      </w:pPr>
    </w:p>
    <w:p>
      <w:pPr>
        <w:jc w:val="both"/>
        <w:ind w:right="440" w:firstLine="351"/>
        <w:spacing w:after="0" w:line="262" w:lineRule="auto"/>
        <w:rPr>
          <w:sz w:val="20"/>
          <w:szCs w:val="20"/>
          <w:color w:val="auto"/>
        </w:rPr>
      </w:pPr>
      <w:r>
        <w:rPr>
          <w:rFonts w:ascii="Times New Roman" w:cs="Times New Roman" w:eastAsia="Times New Roman" w:hAnsi="Times New Roman"/>
          <w:sz w:val="18"/>
          <w:szCs w:val="18"/>
          <w:color w:val="auto"/>
        </w:rPr>
        <w:t>Discover generally did not assume liabilities of the LendingTree Loans business that arose before the closing date, except for certain liabilities directly related to assets Discover acquired. Of the initial purchase price payment, $17.1 million is being held in escrow pending resolution of certain actual and/or contingent liabilities that remain with us following the sale. The escrowed amount is recorded as restricted cash at December 31, 2012.</w:t>
      </w:r>
    </w:p>
    <w:p>
      <w:pPr>
        <w:spacing w:after="0" w:line="186"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also agreed to provide certain services to Discover over a term ending approximately seventeen months following the closing, or such earlier point as the agreed-upon services are satisfactorily completed. Discover has participated as a network lender since closing of the transaction.</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On March 10, 2011, management made the decision and finalized a plan to close all of the field offices of the proprietary full service real estate brokerage business known as RealEstate.com, REALTORS®. We exited all markets by March 31, 2011. In September 2011, we sold the remaining assets of RealEstate.com, which consisted primarily of internet domain names and trademarks, for $8.3 million and recognized a gain on sale of $7.8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years ended December 31, 2012 and 2011:</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3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61,176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40,253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Non-mortgage</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(3,035)</w:t>
            </w: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17,655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7"/>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77,443</w:t>
            </w:r>
          </w:p>
        </w:tc>
        <w:tc>
          <w:tcPr>
            <w:tcW w:w="20" w:type="dxa"/>
            <w:vAlign w:val="bottom"/>
            <w:tcBorders>
              <w:bottom w:val="single" w:sz="8" w:color="auto"/>
            </w:tcBorders>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16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54,617</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Following the closing of the sale on June 6, 2012, of our LendingTree Loans business to Discover, leads that would previously have been provided to LendingTree Loans became available for sale on our mortgage exchange and such leads, therefore, added to revenue in our mortgage business, with an associated increase in selling and marketing expense. Prior to the sale of our LendingTree Loans business, we did not record revenue in our mortgage business for leads provided to LendingTree Loans. Instead, we used a cost-sharing approach for marketing expenses, whereby the mortgage business and LendingTree Loans shared marketing expenses on a pro rata basis, based on the quantity of leads sold to network lenders versus matched with LendingTree Loans.</w:t>
      </w:r>
    </w:p>
    <w:p>
      <w:pPr>
        <w:spacing w:after="0" w:line="162"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Mortgage matched requests increased by 49% to 0.8 million in 2012, from 0.5 million in 2011. Additionally, as compared to 2011, the average match fee for mortgage matches increased by 9%. The increase in both matched requests and match fees in our mortgage business is primarily attributable to selling leads at market prices on our mortgage exchange that would formerly have been provided to LendingTree Loans.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firstLine="341"/>
        <w:spacing w:after="0" w:line="275" w:lineRule="auto"/>
        <w:rPr>
          <w:sz w:val="20"/>
          <w:szCs w:val="20"/>
          <w:color w:val="auto"/>
        </w:rPr>
      </w:pPr>
      <w:r>
        <w:rPr>
          <w:rFonts w:ascii="Times New Roman" w:cs="Times New Roman" w:eastAsia="Times New Roman" w:hAnsi="Times New Roman"/>
          <w:sz w:val="18"/>
          <w:szCs w:val="18"/>
          <w:color w:val="auto"/>
        </w:rPr>
        <w:t>As an offset to the above, we eliminated the closed loan fees in our mortgage business during 2011 for all mortgage products, with the exception of home equity loans, for which the closing fee was eliminated in January 2013. This caused a decrease in mortgage revenue of $0.4 million during 2012.</w:t>
      </w:r>
    </w:p>
    <w:p>
      <w:pPr>
        <w:spacing w:after="0" w:line="174"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Revenue from our non-mortgage segment, which includes our auto, education and home services businesses, decreased in 2012. Non-mortgage matched requests decreased by 19% to 0.5 million in 2012, from 0.6 million in 2011. Additionally, as compared to 2011, the average match fee for non-mortgage matches decreased by 2%.</w:t>
      </w:r>
    </w:p>
    <w:p>
      <w:pPr>
        <w:spacing w:after="0" w:line="186"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Particular trends contributing to these results include the impact to our education business of increased regulation affecting its clients engaged in for-profit post-secondary education services which, in turn, affected their marketing practices. Partly offsetting this decline, our home services business benefitted from two marketing distributions of printed directories of home services providers in 2012 as compared with one in 2011, in addition to its online marketing efforts. However, we decided to discontinue printed directories in 2013 and our revenue from home services may be adversely affected.</w:t>
      </w:r>
    </w:p>
    <w:p>
      <w:pPr>
        <w:spacing w:after="0" w:line="190"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Corporate revenue of $1.6 million in 2012 is primarily related to fees for certain marketing-related services provided to Discover. We have agreed to provide these services to Discover in connection with its mortgage origination business for approximately seventeen months following the closing of the LendingTree Loans sale transaction, or such earlier point as the agreed-upon services are satisfactorily completed. These marketing-related services are expected to contribute to revenue through the first half of 2013. Corporate revenue in 2011 reflects the elimination of inter-segment revenue.</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Cost of revenue consists primarily of costs associated with compensation and other employee-related costs (including stock-based compensation) relating to internally operated customer call centers, third-party customer call center fees, credit scoring fees, consumer incentive costs and website network hosting and server fees.</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Non-mortgage</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8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60" w:type="dxa"/>
            <w:vAlign w:val="bottom"/>
            <w:vMerge w:val="continue"/>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As a percentage of total revenue</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Mortgage cost of revenue decreased in 2012, primarily due to a decrease of $0.9 million in consumer incentive rebates related to fewer loan closings and the discontinuance of many of these incentive programs in 2012, partially offset by an increase of $0.4 million in credit scoring and third-party customer service fees. The decreased mortgage cost of revenue was spread over significantly greater revenue in 2012 compared to 2011, due to our sale of leads on the mortgage exchange that were previously provided to LendingTree Loans without recognition of revenue.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Non-mortgage cost of revenue increased in 2012 from 2011, primarily due to increases in third-party customer service and lead verification service fees.</w:t>
      </w:r>
    </w:p>
    <w:p>
      <w:pPr>
        <w:spacing w:after="0" w:line="225"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Corporate cost of revenue increased in 2012, primarily due to costs associated with the marketing-related services provided to Discover, as discussed in the revenue section above.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w:t>
      </w:r>
    </w:p>
    <w:p>
      <w:pPr>
        <w:spacing w:after="0" w:line="229"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242"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60" w:type="dxa"/>
            <w:vAlign w:val="bottom"/>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31,759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Non-mortgage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14,490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7"/>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48,934</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6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46,662</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As a percentage of total revenue</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During the first half of 2012, we significantly reduced advertising expense as compared to 2011, in response to differing interest rate environments in the two periods. Interest rates were higher through the first four months of 2011, to which we responded by increasing advertising expense in order to generate a sufficient quantity of mortgage leads. Interest rates were significantly lower in 2012, which allowed us to decrease our advertising expense compared to 2011, while still generating a sufficient quantity of mortgage leads. In a low interest rate environment, the incentive for consumers to refinance existing mortgages increases, resulting in a reduced need to drive traffic to our mortgage exchange through advertising, as well as lower network lender demand for externally-generated leads, further reducing the return on advertising expenditures.</w:t>
      </w:r>
    </w:p>
    <w:p>
      <w:pPr>
        <w:spacing w:after="0" w:line="193" w:lineRule="exact"/>
        <w:rPr>
          <w:sz w:val="20"/>
          <w:szCs w:val="20"/>
          <w:color w:val="auto"/>
        </w:rPr>
      </w:pPr>
    </w:p>
    <w:p>
      <w:pPr>
        <w:ind w:right="20" w:firstLine="351"/>
        <w:spacing w:after="0" w:line="339" w:lineRule="auto"/>
        <w:rPr>
          <w:sz w:val="20"/>
          <w:szCs w:val="20"/>
          <w:color w:val="auto"/>
        </w:rPr>
      </w:pPr>
      <w:r>
        <w:rPr>
          <w:rFonts w:ascii="Times New Roman" w:cs="Times New Roman" w:eastAsia="Times New Roman" w:hAnsi="Times New Roman"/>
          <w:sz w:val="16"/>
          <w:szCs w:val="16"/>
          <w:color w:val="auto"/>
        </w:rPr>
        <w:t>Mortgage selling and marketing expense increased immediately following the sale of substantially all of the operating assets of our LendingTree Loans business on June 6, 2012 and throughout the remainder of 2012, primarily due to the elimination of allocation of portions of such expenses to LendingTree Loans.</w:t>
      </w:r>
    </w:p>
    <w:p>
      <w:pPr>
        <w:spacing w:after="0" w:line="128"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Non-mortgage selling and marketing expense increased in 2012, primarily due to increased expense in our home services business, primarily due to an extra distribution of printed directories in 2012 as compared to 2011, partially offset by a reduction in online advertising in our education business.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expense is the largest component of selling and marketing expense and is comprised of the following:</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9,509</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23,655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Broadcast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(9,262)</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12,737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4,347</w:t>
            </w:r>
          </w:p>
        </w:tc>
        <w:tc>
          <w:tcPr>
            <w:tcW w:w="0" w:type="dxa"/>
            <w:vAlign w:val="bottom"/>
          </w:tcPr>
          <w:p>
            <w:pPr>
              <w:spacing w:after="0"/>
              <w:rPr>
                <w:sz w:val="1"/>
                <w:szCs w:val="1"/>
                <w:color w:val="auto"/>
              </w:rPr>
            </w:pPr>
          </w:p>
        </w:tc>
      </w:tr>
      <w:tr>
        <w:trPr>
          <w:trHeight w:val="27"/>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advertising expense</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4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40,755</w:t>
            </w:r>
          </w:p>
        </w:tc>
        <w:tc>
          <w:tcPr>
            <w:tcW w:w="1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40,739</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firstLine="348"/>
        <w:spacing w:after="0" w:line="262" w:lineRule="auto"/>
        <w:rPr>
          <w:sz w:val="20"/>
          <w:szCs w:val="20"/>
          <w:color w:val="auto"/>
        </w:rPr>
      </w:pPr>
      <w:r>
        <w:rPr>
          <w:rFonts w:ascii="Times New Roman" w:cs="Times New Roman" w:eastAsia="Times New Roman" w:hAnsi="Times New Roman"/>
          <w:sz w:val="18"/>
          <w:szCs w:val="18"/>
          <w:color w:val="auto"/>
        </w:rPr>
        <w:t>Total advertising in 2012 was consistent with 2011. However, in 2012, we significantly shifted the mix of our advertising expense to online media from broadcast, to capitalize on the flexibility and measurability of these marketing channels, as well as the expertise of new marketing personnel hired during this time.</w:t>
      </w:r>
    </w:p>
    <w:p>
      <w:pPr>
        <w:spacing w:after="0" w:line="186"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While 2012 advertising expense was consistent with 2011, total mortgage and non-mortgage matched requests increased 13%, reflecting greater efficiency in our marketing expenditures. The increase in 2012 of non-advertising and related expenses was driven primarily by the expansion and performance of our marketing and sales teams.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above, selling and marketing expense as a percentage of revenue declined to 63% in 2012 from 85% in 2011.</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continue to adjust selling and marketing expenditures dynamically in relation to revenue producing opportunities.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560" w:firstLine="351"/>
        <w:spacing w:after="0" w:line="262"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Non-Mortgage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14,377</w:t>
            </w:r>
          </w:p>
        </w:tc>
        <w:tc>
          <w:tcPr>
            <w:tcW w:w="0" w:type="dxa"/>
            <w:vAlign w:val="bottom"/>
          </w:tcPr>
          <w:p>
            <w:pPr>
              <w:spacing w:after="0"/>
              <w:rPr>
                <w:sz w:val="1"/>
                <w:szCs w:val="1"/>
                <w:color w:val="auto"/>
              </w:rPr>
            </w:pPr>
          </w:p>
        </w:tc>
      </w:tr>
      <w:tr>
        <w:trPr>
          <w:trHeight w:val="27"/>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22,231</w:t>
            </w:r>
          </w:p>
        </w:tc>
        <w:tc>
          <w:tcPr>
            <w:tcW w:w="1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80" w:type="dxa"/>
            <w:vAlign w:val="bottom"/>
            <w:gridSpan w:val="3"/>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19,751</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As a percentage of total revenue</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41"/>
        <w:spacing w:after="0" w:line="258" w:lineRule="auto"/>
        <w:rPr>
          <w:sz w:val="20"/>
          <w:szCs w:val="20"/>
          <w:color w:val="auto"/>
        </w:rPr>
      </w:pPr>
      <w:r>
        <w:rPr>
          <w:rFonts w:ascii="Times New Roman" w:cs="Times New Roman" w:eastAsia="Times New Roman" w:hAnsi="Times New Roman"/>
          <w:sz w:val="18"/>
          <w:szCs w:val="18"/>
          <w:color w:val="auto"/>
        </w:rPr>
        <w:t>Although our mortgage revenues increased substantially in 2012, owing to selling leads on our mortgage exchange that previously would have been provided to LendingTree Loans, our mortgage exchange had not previously shared its general and administrative costs with LendingTree Loans but, rather, fully absorbed the attendant costs of all mortgage leads generated. The increase in mortgage general and administrative expense in 2012 resulted primarily from losses on disposals of fixed assets.</w:t>
      </w:r>
    </w:p>
    <w:p>
      <w:pPr>
        <w:spacing w:after="0" w:line="190"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Non-mortgage general and administrative expense increased in 2012, primarily due to the absence in 2012 of a reduction of expense of $0.7 million in 2011 representing post-acquisition adjustments, which were the result of changes in fair value of the estimated contingent consideration to be paid for business acquisitions that were completed in 2009. These adjustments are recorded as reductions of general and administrative expense, and are excluded from Adjusted EBITDA. See "Adjusted Earnings Before Interest, Taxes, Depreciation and Amortization" below. In addition, in 2012 the non-mortgage businesses had an increase in bad debt expense of $0.4 million.</w:t>
      </w:r>
    </w:p>
    <w:p>
      <w:pPr>
        <w:spacing w:after="0" w:line="193"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Corporate general and administrative expense increased in 2012 primarily due to an increase in incentive compensation of $1.8 million based on company performance.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above, general and administrative expense as a percentage of revenue declined to 29% in 2012 from 36% in 2011.</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229" w:lineRule="exact"/>
        <w:rPr>
          <w:sz w:val="20"/>
          <w:szCs w:val="20"/>
          <w:color w:val="auto"/>
        </w:rPr>
      </w:pPr>
    </w:p>
    <w:p>
      <w:pPr>
        <w:ind w:right="540" w:firstLine="351"/>
        <w:spacing w:after="0" w:line="275" w:lineRule="auto"/>
        <w:rPr>
          <w:sz w:val="20"/>
          <w:szCs w:val="20"/>
          <w:color w:val="auto"/>
        </w:rPr>
      </w:pPr>
      <w:r>
        <w:rPr>
          <w:rFonts w:ascii="Times New Roman" w:cs="Times New Roman" w:eastAsia="Times New Roman" w:hAnsi="Times New Roman"/>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848</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Non-mortgage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1,258</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Product development</w:t>
            </w:r>
          </w:p>
        </w:tc>
        <w:tc>
          <w:tcPr>
            <w:tcW w:w="13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00" w:type="dxa"/>
            <w:vAlign w:val="bottom"/>
            <w:gridSpan w:val="2"/>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60" w:type="dxa"/>
            <w:vAlign w:val="bottom"/>
            <w:vMerge w:val="continue"/>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6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0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As a percentage of total revenue</w:t>
            </w: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Increased expense in our mortgage business for projects intended to enhance the experiences that consumers and customers have when they interact with us, as well as an expansion of offerings we provide, was offset in part by a reduction in similar efforts in our non-mortgage businesses.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above, product development expense as a percentage of revenue declined slightly to 5% in 2012 from 6% in 2011.</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320" w:firstLine="351"/>
        <w:spacing w:after="0" w:line="275" w:lineRule="auto"/>
        <w:rPr>
          <w:sz w:val="20"/>
          <w:szCs w:val="20"/>
          <w:color w:val="auto"/>
        </w:rPr>
      </w:pPr>
      <w:r>
        <w:rPr>
          <w:rFonts w:ascii="Times New Roman" w:cs="Times New Roman" w:eastAsia="Times New Roman" w:hAnsi="Times New Roman"/>
          <w:sz w:val="18"/>
          <w:szCs w:val="18"/>
          <w:color w:val="auto"/>
        </w:rPr>
        <w:t>Depreciation expense decreased $0.9 million to $4.1 million in 2012 from $5.0 million in 2011. This decrease is primarily due to certain fixed assets that fully depreciated in 2011.</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Severance</w:t>
      </w:r>
    </w:p>
    <w:p>
      <w:pPr>
        <w:spacing w:after="0" w:line="229" w:lineRule="exact"/>
        <w:rPr>
          <w:sz w:val="20"/>
          <w:szCs w:val="20"/>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Restructuring and severance expense during 2011 of $1.1 million primarily relates to severance for headcount reductions in corporate infrastructure departments.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Litigation settlements and contingencies</w:t>
      </w:r>
    </w:p>
    <w:p>
      <w:pPr>
        <w:spacing w:after="0" w:line="229" w:lineRule="exact"/>
        <w:rPr>
          <w:sz w:val="20"/>
          <w:szCs w:val="20"/>
          <w:color w:val="auto"/>
        </w:rPr>
      </w:pPr>
    </w:p>
    <w:p>
      <w:pPr>
        <w:jc w:val="both"/>
        <w:ind w:right="160" w:firstLine="351"/>
        <w:spacing w:after="0" w:line="262" w:lineRule="auto"/>
        <w:rPr>
          <w:sz w:val="20"/>
          <w:szCs w:val="20"/>
          <w:color w:val="auto"/>
        </w:rPr>
      </w:pPr>
      <w:r>
        <w:rPr>
          <w:rFonts w:ascii="Times New Roman" w:cs="Times New Roman" w:eastAsia="Times New Roman" w:hAnsi="Times New Roman"/>
          <w:sz w:val="18"/>
          <w:szCs w:val="18"/>
          <w:color w:val="auto"/>
        </w:rPr>
        <w:t>During 2012 and 2011, income of $3.1 million and expense of $5.7 million, respectively, were reported for litigation settlements and contingencies. During 2012, we recognized net litigation income due to the settlement or our estimation of loss on various cases. The 2011 litigation expense was due primarily to the settlement of the South Carolina mortgage broker litigation.</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229"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performed an interim impairment test in the second quarter of 2011 and our annual test as of October 1, 2011, and recorded impairment charges related to indefinite-lived trade names and trademarks of $29.0 million and definite-lived intangible assets of $0.3 million. These impairments resulted from a lower observed market value of our common stock at June 30, 2011 and lower anticipated revenues related to our trademarks as a result of the anticipated sale of substantially all of the operating assets of LendingTree Loans. The impairment of definite-lived assets was recorded in the second quarter of 2011. See Note 4— Goodwill and Intangible Assets to the consolidated financial statements included in this report and "Controls and Procedures" below. No additional impairments were recorded as of October 1, 2011 or in 2012.</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3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2011</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17,851</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Non-mortgage</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(6,099)</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(4,017)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(12,137)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42,488</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(54,625)</w:t>
            </w:r>
          </w:p>
        </w:tc>
        <w:tc>
          <w:tcPr>
            <w:tcW w:w="0" w:type="dxa"/>
            <w:vAlign w:val="bottom"/>
          </w:tcPr>
          <w:p>
            <w:pPr>
              <w:spacing w:after="0"/>
              <w:rPr>
                <w:sz w:val="1"/>
                <w:szCs w:val="1"/>
                <w:color w:val="auto"/>
              </w:rPr>
            </w:pPr>
          </w:p>
        </w:tc>
      </w:tr>
      <w:tr>
        <w:trPr>
          <w:trHeight w:val="27"/>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34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58,257</w:t>
            </w:r>
          </w:p>
        </w:tc>
        <w:tc>
          <w:tcPr>
            <w:tcW w:w="16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(61,108)</w:t>
            </w:r>
          </w:p>
        </w:tc>
        <w:tc>
          <w:tcPr>
            <w:tcW w:w="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As a percentage of total revenue</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firstLine="351"/>
        <w:spacing w:after="0" w:line="275" w:lineRule="auto"/>
        <w:rPr>
          <w:sz w:val="20"/>
          <w:szCs w:val="20"/>
          <w:color w:val="auto"/>
        </w:rPr>
      </w:pPr>
      <w:r>
        <w:rPr>
          <w:rFonts w:ascii="Times New Roman" w:cs="Times New Roman" w:eastAsia="Times New Roman" w:hAnsi="Times New Roman"/>
          <w:sz w:val="18"/>
          <w:szCs w:val="18"/>
          <w:color w:val="auto"/>
        </w:rPr>
        <w:t>Operating loss decreased significantly in 2012 compared to 2011, primarily due to the increase in revenue in 2012 of $22.8 million, the absence of the impairment charge incurred in 2011 of $29.3 million and the change in litigation settlements and contingencies of $8.8 million.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Adjusted Earnings Before Interest, Taxes, Depreciation and Amortization</w:t>
      </w:r>
    </w:p>
    <w:p>
      <w:pPr>
        <w:spacing w:after="0" w:line="229" w:lineRule="exact"/>
        <w:rPr>
          <w:sz w:val="20"/>
          <w:szCs w:val="20"/>
          <w:color w:val="auto"/>
        </w:rPr>
      </w:pPr>
    </w:p>
    <w:p>
      <w:pPr>
        <w:jc w:val="center"/>
        <w:spacing w:after="0" w:line="339" w:lineRule="auto"/>
        <w:rPr>
          <w:sz w:val="20"/>
          <w:szCs w:val="20"/>
          <w:color w:val="auto"/>
        </w:rPr>
      </w:pPr>
      <w:r>
        <w:rPr>
          <w:rFonts w:ascii="Times New Roman" w:cs="Times New Roman" w:eastAsia="Times New Roman" w:hAnsi="Times New Roman"/>
          <w:sz w:val="16"/>
          <w:szCs w:val="16"/>
          <w:color w:val="auto"/>
        </w:rPr>
        <w:t>Adjusted Earnings Before Interest, Taxes, Depreciation and Amortization ("Adjusted EBITDA") is a non-GAAP measure and is defined in "Tree.com's Principles of Financial Reporting" below. The following table is a reconciliation of Adjusted EBITDA to net income (loss) for continuing operations by segment.</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2012:</w:t>
      </w:r>
    </w:p>
    <w:p>
      <w:pPr>
        <w:spacing w:after="0" w:line="279" w:lineRule="exact"/>
        <w:rPr>
          <w:sz w:val="20"/>
          <w:szCs w:val="20"/>
          <w:color w:val="auto"/>
        </w:rPr>
      </w:pPr>
    </w:p>
    <w:tbl>
      <w:tblPr>
        <w:tblLayout w:type="fixed"/>
        <w:tblInd w:w="540" w:type="dxa"/>
        <w:tblCellMar>
          <w:top w:w="0" w:type="dxa"/>
          <w:left w:w="0" w:type="dxa"/>
          <w:bottom w:w="0" w:type="dxa"/>
          <w:right w:w="0" w:type="dxa"/>
        </w:tblCellMar>
      </w:tblPr>
      <w:tr>
        <w:trPr>
          <w:trHeight w:val="165"/>
        </w:trPr>
        <w:tc>
          <w:tcPr>
            <w:tcW w:w="6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Non-Mortgage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6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by segment</w:t>
            </w:r>
          </w:p>
        </w:tc>
        <w:tc>
          <w:tcPr>
            <w:tcW w:w="132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(2,887)</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(11,650)</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60" w:type="dxa"/>
            <w:vAlign w:val="bottom"/>
            <w:shd w:val="clear" w:color="auto" w:fill="CCEEFF"/>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to net loss: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6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(4,105)</w:t>
            </w:r>
          </w:p>
        </w:tc>
      </w:tr>
      <w:tr>
        <w:trPr>
          <w:trHeight w:val="216"/>
        </w:trPr>
        <w:tc>
          <w:tcPr>
            <w:tcW w:w="6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6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compensation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(4,587)</w:t>
            </w:r>
          </w:p>
        </w:tc>
      </w:tr>
      <w:tr>
        <w:trPr>
          <w:trHeight w:val="216"/>
        </w:trPr>
        <w:tc>
          <w:tcPr>
            <w:tcW w:w="6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6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r>
      <w:tr>
        <w:trPr>
          <w:trHeight w:val="237"/>
        </w:trPr>
        <w:tc>
          <w:tcPr>
            <w:tcW w:w="6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60" w:type="dxa"/>
            <w:vAlign w:val="bottom"/>
          </w:tcPr>
          <w:p>
            <w:pPr>
              <w:spacing w:after="0"/>
              <w:rPr>
                <w:sz w:val="20"/>
                <w:szCs w:val="20"/>
                <w:color w:val="auto"/>
              </w:rPr>
            </w:pPr>
          </w:p>
        </w:tc>
      </w:tr>
      <w:tr>
        <w:trPr>
          <w:trHeight w:val="216"/>
        </w:trPr>
        <w:tc>
          <w:tcPr>
            <w:tcW w:w="6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32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15,385</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(11,535)</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r>
      <w:tr>
        <w:trPr>
          <w:trHeight w:val="430"/>
        </w:trPr>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0"/>
              </w:rPr>
              <w:t>2011:</w:t>
            </w:r>
          </w:p>
        </w:tc>
        <w:tc>
          <w:tcPr>
            <w:tcW w:w="4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1"/>
        </w:trPr>
        <w:tc>
          <w:tcPr>
            <w:tcW w:w="6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160" w:type="dxa"/>
            <w:vAlign w:val="bottom"/>
            <w:gridSpan w:val="2"/>
          </w:tcPr>
          <w:p>
            <w:pPr>
              <w:spacing w:after="0"/>
              <w:rPr>
                <w:sz w:val="24"/>
                <w:szCs w:val="24"/>
                <w:color w:val="auto"/>
              </w:rPr>
            </w:pPr>
          </w:p>
        </w:tc>
        <w:tc>
          <w:tcPr>
            <w:tcW w:w="10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Non-Mortgage</w:t>
            </w:r>
          </w:p>
        </w:tc>
        <w:tc>
          <w:tcPr>
            <w:tcW w:w="160" w:type="dxa"/>
            <w:vAlign w:val="bottom"/>
            <w:gridSpan w:val="2"/>
          </w:tcPr>
          <w:p>
            <w:pPr>
              <w:spacing w:after="0"/>
              <w:rPr>
                <w:sz w:val="24"/>
                <w:szCs w:val="24"/>
                <w:color w:val="auto"/>
              </w:rPr>
            </w:pPr>
          </w:p>
        </w:tc>
        <w:tc>
          <w:tcPr>
            <w:tcW w:w="7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4"/>
                <w:szCs w:val="24"/>
                <w:color w:val="auto"/>
              </w:rPr>
            </w:pPr>
          </w:p>
        </w:tc>
      </w:tr>
      <w:tr>
        <w:trPr>
          <w:trHeight w:val="210"/>
        </w:trPr>
        <w:tc>
          <w:tcPr>
            <w:tcW w:w="6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by segment</w:t>
            </w:r>
          </w:p>
        </w:tc>
        <w:tc>
          <w:tcPr>
            <w:tcW w:w="132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(15,577)</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(15,696)</w:t>
            </w:r>
          </w:p>
        </w:tc>
      </w:tr>
      <w:tr>
        <w:trPr>
          <w:trHeight w:val="216"/>
        </w:trPr>
        <w:tc>
          <w:tcPr>
            <w:tcW w:w="6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to net loss: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6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6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(1,080)</w:t>
            </w:r>
          </w:p>
        </w:tc>
      </w:tr>
      <w:tr>
        <w:trPr>
          <w:trHeight w:val="216"/>
        </w:trPr>
        <w:tc>
          <w:tcPr>
            <w:tcW w:w="6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 impairments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(29,000)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(29,250)</w:t>
            </w:r>
          </w:p>
        </w:tc>
      </w:tr>
      <w:tr>
        <w:trPr>
          <w:trHeight w:val="216"/>
        </w:trPr>
        <w:tc>
          <w:tcPr>
            <w:tcW w:w="6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6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compensation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(3,777)</w:t>
            </w:r>
          </w:p>
        </w:tc>
      </w:tr>
      <w:tr>
        <w:trPr>
          <w:trHeight w:val="216"/>
        </w:trPr>
        <w:tc>
          <w:tcPr>
            <w:tcW w:w="6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(5,731)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(5,732)</w:t>
            </w:r>
          </w:p>
        </w:tc>
      </w:tr>
      <w:tr>
        <w:trPr>
          <w:trHeight w:val="216"/>
        </w:trPr>
        <w:tc>
          <w:tcPr>
            <w:tcW w:w="6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Post-acquisition adjustments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237"/>
        </w:trPr>
        <w:tc>
          <w:tcPr>
            <w:tcW w:w="6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160" w:type="dxa"/>
            <w:vAlign w:val="bottom"/>
          </w:tcPr>
          <w:p>
            <w:pPr>
              <w:spacing w:after="0"/>
              <w:rPr>
                <w:sz w:val="20"/>
                <w:szCs w:val="20"/>
                <w:color w:val="auto"/>
              </w:rPr>
            </w:pPr>
          </w:p>
        </w:tc>
      </w:tr>
      <w:tr>
        <w:trPr>
          <w:trHeight w:val="216"/>
        </w:trPr>
        <w:tc>
          <w:tcPr>
            <w:tcW w:w="6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32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(2,466)</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(43,219)</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(49,710)</w:t>
            </w: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For the years ended December 31, 2012 and 2011, we recorded tax benefits of $1.5 million and $11.8 million, which represent effective tax rates of 39.7% and 19.1%, respectively. The 2012 tax rate is higher than the federal statutory rate of 35% due principally to the effect of state taxes. The 2011 tax rate is lower than the federal statutory rate of 35% due principally to providing a full valuation allowance against our deferred tax assets.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2012 and 2011 we had no material, unrecognized tax benefits and no material accruals.</w:t>
      </w:r>
    </w:p>
    <w:p>
      <w:pPr>
        <w:spacing w:after="0" w:line="225"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We are subject to audits by federal, state and local authorities in the area of income tax. These audits include questioning the timing and the amount of deductions and the allocation of income</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us are recorded in the period they become known.</w:t>
      </w:r>
    </w:p>
    <w:p>
      <w:pPr>
        <w:spacing w:after="0" w:line="186"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are indemnified by our previous owner for any federal and/or combined state income tax liabilities resulting from years prior to the spin-off in 2008. The Internal Revenue Service has substantially completed its review of our predecessor IAC/InterActiveCorp's tax returns for the years ended December 31, 2001 through 2006. The IRS began its review of the IAC/InterActiveCorp and Tree.com federal tax returns for the years ended December 31, 2007 through 2009 in July 2011. The statute of limitations for the years 2001 through 2008 has been extended to December 31, 2012. Various state and local jurisdictions are also currently under examination, the most significant of which are California, New York and New York City for various tax years beginning with 2005.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7"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During 2012, income from discontinued operations of $48.9 million is due to the LendingTree Loans business. We completed the sale of the Lending Tree Loans business on June 6, 2012. As a result, the results of discontinued operations for 2012 include approximately five months of results of operations. In addition, we recorded a gain on the sale of the business of $24.4 million, net of tax</w:t>
      </w:r>
    </w:p>
    <w:p>
      <w:pPr>
        <w:spacing w:after="0" w:line="186"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During 2011, the loss from discontinued operations of $9.8 million is due primarily to the Real Estate business. We exited all markets by March 31, 2011. In September 2011, we sold the remaining assets of RealEstate.com, which consisted primarily of internet domain names and trademarks, for $8.3 million and recognized a gain on sale of $7.8 million, net of tax. During 2011, we incurred impairment charges on goodwill of $8.0 million and trademarks of $4.1 million in addition to a restructuring expense for $2.6 million.</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7" w:lineRule="exact"/>
        <w:rPr>
          <w:sz w:val="20"/>
          <w:szCs w:val="20"/>
          <w:color w:val="auto"/>
        </w:rPr>
      </w:pPr>
    </w:p>
    <w:p>
      <w:pPr>
        <w:ind w:right="640" w:firstLine="341"/>
        <w:spacing w:after="0" w:line="262" w:lineRule="auto"/>
        <w:rPr>
          <w:sz w:val="20"/>
          <w:szCs w:val="20"/>
          <w:color w:val="auto"/>
        </w:rPr>
      </w:pPr>
      <w:r>
        <w:rPr>
          <w:rFonts w:ascii="Times New Roman" w:cs="Times New Roman" w:eastAsia="Times New Roman" w:hAnsi="Times New Roman"/>
          <w:sz w:val="18"/>
          <w:szCs w:val="18"/>
          <w:color w:val="auto"/>
        </w:rPr>
        <w:t>As of December 31, 2012, we had $80.2 million of cash and cash equivalents and $29.4 million of restricted cash and cash equivalents, compared to $45.5 million of cash and cash equivalents and $12.5 million of restricted cash and cash equivalents as of December 31, 2011. Except for cash and cash equivalents, we have no material sources of liquidity.</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Continuing Operations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cash flows attributable to continuing operations are as follows: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120" w:type="dxa"/>
            <w:vAlign w:val="bottom"/>
            <w:gridSpan w:val="3"/>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1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(4,722)</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(28,052)</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9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(3,717)</w:t>
            </w: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(8,091)</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(11,923)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(3,287)</w:t>
            </w:r>
          </w:p>
        </w:tc>
      </w:tr>
    </w:tbl>
    <w:p>
      <w:pPr>
        <w:spacing w:after="0" w:line="202" w:lineRule="exact"/>
        <w:rPr>
          <w:sz w:val="20"/>
          <w:szCs w:val="20"/>
          <w:color w:val="auto"/>
        </w:rPr>
      </w:pPr>
    </w:p>
    <w:p>
      <w:pPr>
        <w:ind w:right="320" w:firstLine="351"/>
        <w:spacing w:after="0" w:line="262" w:lineRule="auto"/>
        <w:rPr>
          <w:sz w:val="20"/>
          <w:szCs w:val="20"/>
          <w:color w:val="auto"/>
        </w:rPr>
      </w:pPr>
      <w:r>
        <w:rPr>
          <w:rFonts w:ascii="Times New Roman" w:cs="Times New Roman" w:eastAsia="Times New Roman" w:hAnsi="Times New Roman"/>
          <w:sz w:val="18"/>
          <w:szCs w:val="18"/>
          <w:color w:val="auto"/>
        </w:rPr>
        <w:t>Net cash used in operating activities attributable to continuing operations in 2012 was $4.7 million and consisted of losses from continuing operations of $2.2 million, positive adjustments for non-cash items of $9.7 million and cash used for working capital of $12.2 million. Adjustments for non-cash items primarily consisted of $4.1 million of depreciation and $4.6 million of non-cash compensation expense.</w:t>
      </w:r>
    </w:p>
    <w:p>
      <w:pPr>
        <w:spacing w:after="0" w:line="186"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attributable to continuing operations in 2011 was $28.1 million and consisted of losses from continuing operations of $49.7 million, positive adjustments for non-cash items of $27.1 million and cash used for working capital of $5.5 million. Adjustments for non-cash items primarily consisted of $29.3 million of intangible impairment, $5.0 million of depreciation and $3.8 million of non-cash compensation expense, partially offset by $11.6 million of deferred income taxes.</w:t>
      </w:r>
    </w:p>
    <w:p>
      <w:pPr>
        <w:spacing w:after="0" w:line="190" w:lineRule="exact"/>
        <w:rPr>
          <w:sz w:val="20"/>
          <w:szCs w:val="20"/>
          <w:color w:val="auto"/>
        </w:rPr>
      </w:pPr>
    </w:p>
    <w:p>
      <w:pPr>
        <w:jc w:val="both"/>
        <w:ind w:right="80" w:firstLine="351"/>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in 2012 of $3.7 million primarily resulted from an increase in restricted cash of $1.1 million and capital expenditures of $2.6 million. Net cash used in investing activities in 2011 of $8.1 million primarily resulted from capital expenditures of $6.1 million, reflecting new technology platforms built for both the mortgage and non-mortgage businesses.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cash used by financing activities in 2012 of $11.9 million was primarily due to a special dividend of $11.4 million, the purchase of treasury stock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$0.9 million and the issuance of common stock to employees (less withholding taxes) of $0.8 million, partially offset by a decrease in restricted cash requirements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$1.2 million related to warehouse lines of credit. Net cash used in financing activities in 2011 of $3.3 million was primarily due to increased restricted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of $2.3 million related to warehouse lines of credit and the vesting and issuance of stock to employees (less withholding taxes) of $1.0 million.</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Warehouse Lines of Credit for LendingTree Loans</w:t>
      </w:r>
    </w:p>
    <w:p>
      <w:pPr>
        <w:spacing w:after="0" w:line="229" w:lineRule="exact"/>
        <w:rPr>
          <w:sz w:val="20"/>
          <w:szCs w:val="20"/>
          <w:color w:val="auto"/>
        </w:rPr>
      </w:pPr>
    </w:p>
    <w:p>
      <w:pPr>
        <w:ind w:right="280" w:firstLine="341"/>
        <w:spacing w:after="0" w:line="310" w:lineRule="auto"/>
        <w:rPr>
          <w:sz w:val="20"/>
          <w:szCs w:val="20"/>
          <w:color w:val="auto"/>
        </w:rPr>
      </w:pPr>
      <w:r>
        <w:rPr>
          <w:rFonts w:ascii="Times New Roman" w:cs="Times New Roman" w:eastAsia="Times New Roman" w:hAnsi="Times New Roman"/>
          <w:sz w:val="16"/>
          <w:szCs w:val="16"/>
          <w:color w:val="auto"/>
        </w:rPr>
        <w:t>As a result of the closing of the sale of substantially all of the operating assets of our LendingTree Loans business on June 6, 2012, all three then-existing warehouse lines of credit expired and terminated on July 21, 2012. Borrowings under these lines of credit were used to fund, and were secured by, consumer residential loans that were held for sale. Loans under these lines of credit were repaid using proceeds from the sales of loans by LendingTree Loans.</w:t>
      </w:r>
    </w:p>
    <w:p>
      <w:pPr>
        <w:spacing w:after="0" w:line="15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6"/>
          <w:szCs w:val="16"/>
          <w:color w:val="auto"/>
        </w:rPr>
        <w:t>We expect our cash and cash equivalents and cash flows from operations to be sufficient to fund our operating needs for the next twelve months and beyond.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41"/>
        <w:spacing w:after="0" w:line="254" w:lineRule="auto"/>
        <w:rPr>
          <w:sz w:val="20"/>
          <w:szCs w:val="20"/>
          <w:color w:val="auto"/>
        </w:rPr>
      </w:pPr>
      <w:r>
        <w:rPr>
          <w:rFonts w:ascii="Times New Roman" w:cs="Times New Roman" w:eastAsia="Times New Roman" w:hAnsi="Times New Roman"/>
          <w:sz w:val="18"/>
          <w:szCs w:val="18"/>
          <w:color w:val="auto"/>
        </w:rPr>
        <w:t>As discussed in Item 9A—Controls and Procedures, we have identified a material weakness in our internal control over financial reporting related to income taxes. Until remediated, this material weakness could result in a misstatement in tax-related accounts that could result in a material misstatement to our interim or annual consolidated financial statements and disclosures that may not be prevented or detected on a timely basis. With the oversight of our management and the audit committee of our board of directors, we have begun taking steps and plan to take additional measures to remediate the underlying causes of this material weakness. We have also undertaken an evaluation of our available resources to provide effective oversight of the work performed by our third-party tax advisors and are in the process of identifying necessary changes to our processes as required. Additionally, we are evaluating the resources available and provided to us by the third-party tax advisor and identifying changes as required. However, the deficiencies have not been remediated as of the date of this filing. We do not believe this will have a significant impact on liquidity.</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The following disclosure is provided to supplement the description of our accounting policies contained in Note 2 to the consolidated financial statements in regard to significant areas of judgment. This disclosure includes accounting policies related to both continuing operations and discontinued operations. Management is required to make certain estimates and assumptions during the preparation 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Loan Loss Obligations</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make estimates as to our exposure related to our obligation to repurchase loans previously sold to investors or to repay premiums paid by investors in purchasing loans, and reserve for such contingencies accordingly. Such payments to investors may be required in cases where underwriting deficiencies, borrower fraud, documentation defects, early payment defaults and early loan payoffs occurred.</w:t>
      </w:r>
    </w:p>
    <w:p>
      <w:pPr>
        <w:spacing w:after="0" w:line="186" w:lineRule="exact"/>
        <w:rPr>
          <w:sz w:val="20"/>
          <w:szCs w:val="20"/>
          <w:color w:val="auto"/>
        </w:rPr>
      </w:pPr>
    </w:p>
    <w:p>
      <w:pPr>
        <w:ind w:right="100" w:firstLine="351"/>
        <w:spacing w:after="0" w:line="301" w:lineRule="auto"/>
        <w:rPr>
          <w:sz w:val="20"/>
          <w:szCs w:val="20"/>
          <w:color w:val="auto"/>
        </w:rPr>
      </w:pPr>
      <w:r>
        <w:rPr>
          <w:rFonts w:ascii="Times New Roman" w:cs="Times New Roman" w:eastAsia="Times New Roman" w:hAnsi="Times New Roman"/>
          <w:sz w:val="16"/>
          <w:szCs w:val="16"/>
          <w:color w:val="auto"/>
        </w:rPr>
        <w:t>Our HLC subsidiary continues to be liable for these indemnification obligations, repurchase obligations and premium repayment obligations following the sale of substantially all of the operating assets of our LendingTree Loans business in the second quarter of 2012. Approximately $17.1 million of the purchase price paid at closing is being held in escrow pending resolution of certain of these contingent liabilities. We have been negotiating with certain secondary market purchasers to settle any existing and future contingent liabilities, but we may not be able to complete such negotiations on acceptable terms, or at all.</w:t>
      </w:r>
    </w:p>
    <w:p>
      <w:pPr>
        <w:spacing w:after="0" w:line="15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obligation for losses related to the representations and warranties and other provisions discussed above is initially recorded at its estimated fair value, which includes a projection of expected future losses as well as a market-based premium. Because we do not service the loans LendingTree Loans sold, we do not maintain nor have access to the current balances and loan performance data with respect to the individual loans previously sold to investors. Accordingly, we are unable to determine, with precision, our maximum exposure for breaches of the representations and warranties LendingTree Loans made to the investors that purchased such loans.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During 2012, in order to reflect our exit from the mortgage loan origination business and our current commercial objective to pursue bulk settlements with investors, management revised the estimation process for evaluating the adequacy of the reserve for loan losses. The revised methodology, which is described in Note 7—Discontinued Operations to the consolidated financial statements included in this report, resulted in a $6.5 million reduction to the loss reserve on previously sold loans.</w:t>
      </w:r>
    </w:p>
    <w:p>
      <w:pPr>
        <w:spacing w:after="0" w:line="190"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Management has considered both objective and subjective factors in the estimation process, but given current general industry trends in mortgage loans as well as housing prices, market expectations and actual losses related to LendingTree Loans' obligations could vary significantly from the obligation recorded as of December 31, 2012 of $27.2 million or the range of remaining loan losses disclosed in Note 7.</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Recoverability of Goodwill and Indefinite-Lived Intangible Assets</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review the carrying value of goodwill and indefinite-lived intangible assets on an annual basis as of October 1, or more frequently if an event occurs or circumstances change that would more likely than not reduce the fair value of a reporting unit below its carrying value. We determine the fair value of a reporting unit based upon an evaluation of its expected discounted cash flows and market approach, with each method being equally weighted in the calculation. This discounted cash flow analysis utilizes an evaluation of historical and forecasted operating results. The determination of discounted cash flows is based upon forecasted operating results that may not occur. The assessment for 2012 did not identify any impairment charges. The assessment for 2011 identified impairment charges related to indefinite-lived intangibles of $29.0 million. The value of goodwill and indefinite-lived intangible assets that is subject to assessment for impairment is $3.6 million and $10.1 million, respectively, at December 31, 2012.</w:t>
      </w:r>
    </w:p>
    <w:p>
      <w:pPr>
        <w:spacing w:after="0" w:line="195"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annual goodwill impairment test as of October 1, 2012 included the following material assumptions: a discounted cash flow model utilizing a discount rate of 14%-20%, a terminal growth rate of 3% and Adjusted EBITDA (See "Tree.com's Principles of Financial Reporting" below for the definition of Adjusted EBITDA) margin rates of 13%-18% of revenue from 2013 through 2021. The material assumptions included in the annual indefinite-lived intangible assets impairment test as of October 1, 2012 were an assumed relief-from royalty model, a discount rate of 13%-20%, a terminal growth rate of 3% and a royalty rate of 3%-6%.</w:t>
      </w:r>
    </w:p>
    <w:p>
      <w:pPr>
        <w:spacing w:after="0" w:line="193" w:lineRule="exact"/>
        <w:rPr>
          <w:sz w:val="20"/>
          <w:szCs w:val="20"/>
          <w:color w:val="auto"/>
        </w:rPr>
      </w:pPr>
    </w:p>
    <w:p>
      <w:pPr>
        <w:ind w:right="60" w:firstLine="348"/>
        <w:spacing w:after="0" w:line="290" w:lineRule="auto"/>
        <w:rPr>
          <w:sz w:val="20"/>
          <w:szCs w:val="20"/>
          <w:color w:val="auto"/>
        </w:rPr>
      </w:pPr>
      <w:r>
        <w:rPr>
          <w:rFonts w:ascii="Times New Roman" w:cs="Times New Roman" w:eastAsia="Times New Roman" w:hAnsi="Times New Roman"/>
          <w:sz w:val="16"/>
          <w:szCs w:val="16"/>
          <w:color w:val="auto"/>
        </w:rPr>
        <w:t>The interim goodwill impairment test in the second quarter of 2011 included the following material assumptions: a discounted cash flow model utilizing a range of discount rates of 17%-23%, a range of terminal growth rates of 3%-5% and Adjusted EBITDA margin rates of 9%-15% of revenue from the second half of 2011 through 2016. The annual goodwill impairment test as of October 1, 2011 included the following material assumptions: a discounted cash flow model utilizing a range of discount rates of 14%-18%, a range of terminal growth rates of 3%-5% and Adjusted EBITDA margin rates of 14%-15% of revenue from 2012 through 2016. The material assumptions included in the interim indefinite-lived intangible assets impairment test in the second quarter of 2011 were an assumed relief-from royalty model, a range of discount rates of 17%-23%, a range of terminal growth rates of 3%-5% and a range of royalty rates of 2.3%-3.0%. The material assumptions included in the annual indefinite-lived intangible assets impairment test as of October 1, 2011 were an assumed relief-from royalty model, a range of discount rates of 14%-18%, a range of terminal growth rates of 3%-5% and a range of royalty rates of 2.6%-3.5%.</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Management believes that the assumptions used in the impairment tests are reasonable.</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Recoverability of Long-Lived Assets</w:t>
      </w:r>
    </w:p>
    <w:p>
      <w:pPr>
        <w:spacing w:after="0" w:line="227"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We review the carrying value of all long-lived assets, primarily property and equipment and definite-lived intangible assets for impairment whenever events or changes in circumstances indicate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that the carrying value of an asset may be impaired. Impairment is considered to have occurred whenever the carrying value of a long-lived asset exceeds the sum of the undiscounted cash flows that is expected to result from the use and eventual disposition of the asset. The determination of cash flows is based upon assumptions that may not occur. The assessment for 2012 did not identify any impairment charges. The assessment for 2011 identified impairment charges related to definite-lived intangibles of $0.3 million. The value of long-lived assets that is subject to assessment for impairment is $6.8 million at December 31, 2012.</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60" w:firstLine="351"/>
        <w:spacing w:after="0" w:line="288" w:lineRule="auto"/>
        <w:rPr>
          <w:sz w:val="20"/>
          <w:szCs w:val="20"/>
          <w:color w:val="auto"/>
        </w:rPr>
      </w:pPr>
      <w:r>
        <w:rPr>
          <w:rFonts w:ascii="Times New Roman" w:cs="Times New Roman" w:eastAsia="Times New Roman" w:hAnsi="Times New Roman"/>
          <w:sz w:val="16"/>
          <w:szCs w:val="16"/>
          <w:color w:val="auto"/>
        </w:rPr>
        <w:t>Estimates of deferred income taxes and the significant items giving rise to the deferred assets and liabilities are shown in Note 9—Income Taxes to the consolidated financial statements,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as well as actual operating results that vary significantly from anticipated results. 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 A valuation allowance is provided on deferred tax assets if it is determined that it is more likely than not that the deferred tax asset will not be realized.</w:t>
      </w:r>
    </w:p>
    <w:p>
      <w:pPr>
        <w:spacing w:after="0" w:line="3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issued restricted stock units and restricted stock, and the value of such awards is measured at their grant dates as the fair value of common stock and amortized ratably as non-cash compensation expense over the vesting term. We also issue stock options, as discussed in Note 3—Stock-Based Compensation to the consolidated financial statements, and we estimated the fair value of stock options issued using a Black-Scholes option pricing model. During 2012, we used the following assumptions in the estimate of fair value: a risk-free interest rate of 2.0%, a dividend yield of zero, a volatility factor of 45% and a weighted average expected life of options of 7 years. During 2011, we used the following assumptions in the estimate of fair value: a risk-free interest rate of 3.6%, a dividend yield of zero, a volatility factor of 44% and a weighted average expected life of options of 7.0 years.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Note 2—Significant Accounting Policies to the consolidated financial statements for a description of recent accounting pronouncements.</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TREE.COM'S PRINCIPLES OF FINANCIAL REPORTING</w:t>
      </w:r>
    </w:p>
    <w:p>
      <w:pPr>
        <w:spacing w:after="0" w:line="227" w:lineRule="exact"/>
        <w:rPr>
          <w:sz w:val="20"/>
          <w:szCs w:val="20"/>
          <w:color w:val="auto"/>
        </w:rPr>
      </w:pPr>
    </w:p>
    <w:p>
      <w:pPr>
        <w:ind w:right="200" w:firstLine="348"/>
        <w:spacing w:after="0" w:line="258" w:lineRule="auto"/>
        <w:rPr>
          <w:sz w:val="20"/>
          <w:szCs w:val="20"/>
          <w:color w:val="auto"/>
        </w:rPr>
      </w:pPr>
      <w:r>
        <w:rPr>
          <w:rFonts w:ascii="Times New Roman" w:cs="Times New Roman" w:eastAsia="Times New Roman" w:hAnsi="Times New Roman"/>
          <w:sz w:val="18"/>
          <w:szCs w:val="18"/>
          <w:color w:val="auto"/>
        </w:rPr>
        <w:t>We report Earnings Before Interest, Taxes, Depreciation and Amortization, adjusted for certain items discussed below (Adjusted EBITDA), as a supplemental measure to GAAP. This measure is one of the primary metrics by which we evaluate the performance of our businesses, on which our internal budgets are based and by which management is compensated. We believe that investors should have access to the same set of tools that we use in analyzing our results. This non-GAAP measure should be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310" w:lineRule="auto"/>
        <w:rPr>
          <w:sz w:val="20"/>
          <w:szCs w:val="20"/>
          <w:color w:val="auto"/>
        </w:rPr>
      </w:pPr>
      <w:r>
        <w:rPr>
          <w:rFonts w:ascii="Times New Roman" w:cs="Times New Roman" w:eastAsia="Times New Roman" w:hAnsi="Times New Roman"/>
          <w:sz w:val="16"/>
          <w:szCs w:val="16"/>
          <w:color w:val="auto"/>
        </w:rPr>
        <w:t>considered in addition to results prepared in accordance with GAAP, but should not be considered a substitute for or superior to GAAP results. We provide and encourage investors to examine the reconciling adjustments between the GAAP and non-GAAP measure discussed below. Non-GAAP measures do not have definitions under GAAP and may be defined differently by and not be comparable to similarly titled measures used by other companies.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Definition of Adjusted EBITDA</w:t>
      </w:r>
    </w:p>
    <w:p>
      <w:pPr>
        <w:spacing w:after="0" w:line="227" w:lineRule="exact"/>
        <w:rPr>
          <w:sz w:val="20"/>
          <w:szCs w:val="20"/>
          <w:color w:val="auto"/>
        </w:rPr>
      </w:pPr>
    </w:p>
    <w:p>
      <w:pPr>
        <w:ind w:right="200" w:firstLine="348"/>
        <w:spacing w:after="0" w:line="257" w:lineRule="auto"/>
        <w:rPr>
          <w:sz w:val="20"/>
          <w:szCs w:val="20"/>
          <w:color w:val="auto"/>
        </w:rPr>
      </w:pPr>
      <w:r>
        <w:rPr>
          <w:rFonts w:ascii="Times New Roman" w:cs="Times New Roman" w:eastAsia="Times New Roman" w:hAnsi="Times New Roman"/>
          <w:sz w:val="18"/>
          <w:szCs w:val="18"/>
          <w:color w:val="auto"/>
        </w:rPr>
        <w:t>We report Adjusted EBITDA as operating income or loss (which excludes interest expense and taxes) adjusted to exclude amortization of intangibles and depreciation, and excluding (1) non-cash compensation expense, (2) non-cash intangible asset impairment charges, (3) gain/loss on disposal of assets,</w:t>
      </w:r>
    </w:p>
    <w:p>
      <w:pPr>
        <w:spacing w:after="0" w:line="1"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and severance expenses, (5) litigation settlements and contingencies, (6) pro forma adjustments for significant acquisitions or dispositions, and</w:t>
      </w:r>
    </w:p>
    <w:p>
      <w:pPr>
        <w:spacing w:after="0" w:line="32" w:lineRule="exact"/>
        <w:rPr>
          <w:rFonts w:ascii="Times New Roman" w:cs="Times New Roman" w:eastAsia="Times New Roman" w:hAnsi="Times New Roman"/>
          <w:sz w:val="16"/>
          <w:szCs w:val="16"/>
          <w:color w:val="auto"/>
        </w:rPr>
      </w:pPr>
    </w:p>
    <w:p>
      <w:pPr>
        <w:ind w:right="160" w:firstLine="8"/>
        <w:spacing w:after="0" w:line="254" w:lineRule="auto"/>
        <w:tabs>
          <w:tab w:leader="none" w:pos="2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One-Time Items</w:t>
      </w:r>
    </w:p>
    <w:p>
      <w:pPr>
        <w:spacing w:after="0" w:line="227" w:lineRule="exact"/>
        <w:rPr>
          <w:sz w:val="20"/>
          <w:szCs w:val="20"/>
          <w:color w:val="auto"/>
        </w:rPr>
      </w:pPr>
    </w:p>
    <w:p>
      <w:pPr>
        <w:jc w:val="both"/>
        <w:ind w:firstLine="341"/>
        <w:spacing w:after="0" w:line="262" w:lineRule="auto"/>
        <w:rPr>
          <w:sz w:val="20"/>
          <w:szCs w:val="20"/>
          <w:color w:val="auto"/>
        </w:rPr>
      </w:pPr>
      <w:r>
        <w:rPr>
          <w:rFonts w:ascii="Times New Roman" w:cs="Times New Roman" w:eastAsia="Times New Roman" w:hAnsi="Times New Roman"/>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Non-Cash Expenses Excluded from Adjusted EBITDA</w:t>
      </w:r>
    </w:p>
    <w:p>
      <w:pPr>
        <w:spacing w:after="0" w:line="227" w:lineRule="exact"/>
        <w:rPr>
          <w:sz w:val="20"/>
          <w:szCs w:val="20"/>
          <w:color w:val="auto"/>
        </w:rPr>
      </w:pPr>
    </w:p>
    <w:p>
      <w:pPr>
        <w:jc w:val="both"/>
        <w:ind w:right="160" w:firstLine="351"/>
        <w:spacing w:after="0" w:line="310" w:lineRule="auto"/>
        <w:rPr>
          <w:sz w:val="20"/>
          <w:szCs w:val="20"/>
          <w:color w:val="auto"/>
        </w:rPr>
      </w:pPr>
      <w:r>
        <w:rPr>
          <w:rFonts w:ascii="Times New Roman" w:cs="Times New Roman" w:eastAsia="Times New Roman" w:hAnsi="Times New Roman"/>
          <w:sz w:val="16"/>
          <w:szCs w:val="16"/>
          <w:color w:val="auto"/>
        </w:rPr>
        <w:t>Non-cash compensation expense consists principally of expense associated with grants of restricted stock units and stock options. These expenses are not paid in cash, and we include the related shares in our calculations of fully diluted shares outstanding. Upon vesting of restricted stock units and the exercise of certain stock options, the awards will be settled, at our discretion, on a net basis, with us remitting the required tax withholding amount from our current funds.</w:t>
      </w:r>
    </w:p>
    <w:p>
      <w:pPr>
        <w:spacing w:after="0" w:line="151" w:lineRule="exact"/>
        <w:rPr>
          <w:sz w:val="20"/>
          <w:szCs w:val="20"/>
          <w:color w:val="auto"/>
        </w:rPr>
      </w:pPr>
    </w:p>
    <w:p>
      <w:pPr>
        <w:jc w:val="both"/>
        <w:ind w:right="160" w:firstLine="341"/>
        <w:spacing w:after="0" w:line="262" w:lineRule="auto"/>
        <w:rPr>
          <w:sz w:val="20"/>
          <w:szCs w:val="20"/>
          <w:color w:val="auto"/>
        </w:rPr>
      </w:pPr>
      <w:r>
        <w:rPr>
          <w:rFonts w:ascii="Times New Roman" w:cs="Times New Roman" w:eastAsia="Times New Roman" w:hAnsi="Times New Roman"/>
          <w:sz w:val="18"/>
          <w:szCs w:val="18"/>
          <w:color w:val="auto"/>
        </w:rPr>
        <w:t>Amortization and impairment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8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the rules and regulations of the SEC, as a smaller reporting company we are not required to provide the information required by this item.</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i w:val="1"/>
          <w:iCs w:val="1"/>
          <w:color w:val="auto"/>
        </w:rPr>
        <w:t>Financial Statements and Supplementary Data</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Tree.com, Inc.:</w:t>
      </w:r>
    </w:p>
    <w:p>
      <w:pPr>
        <w:spacing w:after="0" w:line="213"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our opinion, the accompanying consolidated balance sheet and the related consolidated statements of operations, shareholders' equity and cash flows present fairly, in all material respects, the financial position of Tree.com, Inc. and its subsidiaries at December 31, 2012, and the results of their operations and their cash flows for the period ended December 31, 2012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the financial statement schedule are the responsibility of the Company's management. Our responsibility is to express an opinion on these financial statements and the financial statement schedule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2013</w:t>
      </w: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Tree.com,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13"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Tree.com, Inc. and subsidiaries (the "Company") as of December 31, 2011, and the related consolidated statements of operations, stockholders' equity, and cash flows for the year ended December 31, 2011. Our audit also included the financial statement schedule listed in the Index at Item 15(a). These financial statements and financial statement schedule are the responsibility of the Company's management. Our responsibility is to express an opinion on these financial statements and financial statement schedule based on our audit.</w:t>
      </w:r>
    </w:p>
    <w:p>
      <w:pPr>
        <w:spacing w:after="0" w:line="190"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our opinion, such 2011 consolidated financial statements, present fairly, in all material respects, the financial position of Tree.com, Inc. and subsidiaries at December 31, 2011, and the results of their operations and their cash flows for the year ended December 31, 2011,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90" w:lineRule="exact"/>
        <w:rPr>
          <w:sz w:val="20"/>
          <w:szCs w:val="20"/>
          <w:color w:val="auto"/>
        </w:rPr>
      </w:pPr>
    </w:p>
    <w:p>
      <w:pPr>
        <w:ind w:right="340" w:firstLine="341"/>
        <w:spacing w:after="0" w:line="275" w:lineRule="auto"/>
        <w:rPr>
          <w:sz w:val="20"/>
          <w:szCs w:val="20"/>
          <w:color w:val="auto"/>
        </w:rPr>
      </w:pPr>
      <w:r>
        <w:rPr>
          <w:rFonts w:ascii="Times New Roman" w:cs="Times New Roman" w:eastAsia="Times New Roman" w:hAnsi="Times New Roman"/>
          <w:sz w:val="18"/>
          <w:szCs w:val="18"/>
          <w:color w:val="auto"/>
        </w:rPr>
        <w:t>As discussed in Note 1, the Company has recast its consolidated financial statements to reflect the effects of discontinued operations and retrospectively adjusted the disclosures in the consolidated financial statements for a change in reportable segments.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and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2013 as to Note 17)</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5"/>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 thousands, except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 (exclusive of depreciation shown separately below)</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 settlements and contingencies (Note 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(3,101)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 impairments (Note 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80,294</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8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(49,710)</w:t>
            </w: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Gain from sale of discontinued operations, net of tax</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of discontinued operations,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(17,545)</w:t>
            </w: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48,874</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(59,503)</w:t>
            </w: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11,313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10,995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from continuing operations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 (loss) per share from discontinued operations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shareholders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5"/>
              </w:rPr>
              <w:t>December 31, 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3"/>
              </w:rPr>
              <w:t>December 31, 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gridSpan w:val="4"/>
          </w:tcPr>
          <w:p>
            <w:pPr>
              <w:jc w:val="right"/>
              <w:ind w:right="373"/>
              <w:spacing w:after="0" w:line="125" w:lineRule="exact"/>
              <w:rPr>
                <w:sz w:val="20"/>
                <w:szCs w:val="20"/>
                <w:color w:val="auto"/>
              </w:rPr>
            </w:pPr>
            <w:r>
              <w:rPr>
                <w:rFonts w:ascii="Times New Roman" w:cs="Times New Roman" w:eastAsia="Times New Roman" w:hAnsi="Times New Roman"/>
                <w:sz w:val="14"/>
                <w:szCs w:val="14"/>
                <w:b w:val="1"/>
                <w:bCs w:val="1"/>
                <w:color w:val="auto"/>
                <w:w w:val="97"/>
              </w:rPr>
              <w:t>except par value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and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80,190</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 of $503 and $86, respectively</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trade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liabilities of discontinued operations (Note 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Commitments and contingencies (Notes 11 and 12)</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Preferred stock $.01 par value; authorized 5,000,000 shares; none issued or</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w:t>
            </w:r>
          </w:p>
        </w:tc>
        <w:tc>
          <w:tcPr>
            <w:tcW w:w="80" w:type="dxa"/>
            <w:vAlign w:val="bottom"/>
          </w:tcPr>
          <w:p>
            <w:pPr>
              <w:spacing w:after="0"/>
              <w:rPr>
                <w:sz w:val="19"/>
                <w:szCs w:val="19"/>
                <w:color w:val="auto"/>
              </w:rPr>
            </w:pPr>
          </w:p>
        </w:tc>
        <w:tc>
          <w:tcPr>
            <w:tcW w:w="13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rPr>
              <w:t>Common stock $.01 par value; authorized 50,000,000 shares; issued 12,625,678</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12,169,226 shares, respectively, and outstanding 11,437,199 and 11,045,965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respectively</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(858,105)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1,188,479 and 1,123,261 shares, respectively</w:t>
            </w:r>
          </w:p>
        </w:tc>
        <w:tc>
          <w:tcPr>
            <w:tcW w:w="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143,171</w:t>
            </w:r>
          </w:p>
        </w:tc>
        <w:tc>
          <w:tcPr>
            <w:tcW w:w="1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331,340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(In thousands)</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101,821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50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(798,602)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Net loss for the year ended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December 31, 2011</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(59,503)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(59,503)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
                <w:szCs w:val="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(59,503)</w:t>
            </w:r>
          </w:p>
        </w:tc>
        <w:tc>
          <w:tcPr>
            <w:tcW w:w="1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stock options and vesting of</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 net of</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 taxes</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(858,105)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Net income for the year ended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2012</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46,625</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46,625</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
                <w:szCs w:val="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46,625</w:t>
            </w: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stock options and vesting of</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 net of</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 taxes</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(12,236)</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50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(811,480)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25" w:right="12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attributable to continuing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loss (income) from discontinued operations, net of tax</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(48,874)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(49,710)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8"/>
              </w:rPr>
              <w:t>Adjustments to reconcile net loss from continuing operations to net cash used in operating activities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attributable to continuing operations: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 impairments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contingent consideration gain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Bad debt expense (benefit)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(6,011)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(6,595)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 attributable to continuing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(28,052)</w:t>
            </w:r>
          </w:p>
        </w:tc>
        <w:tc>
          <w:tcPr>
            <w:tcW w:w="0" w:type="dxa"/>
            <w:vAlign w:val="bottom"/>
          </w:tcPr>
          <w:p>
            <w:pPr>
              <w:spacing w:after="0"/>
              <w:rPr>
                <w:sz w:val="1"/>
                <w:szCs w:val="1"/>
                <w:color w:val="auto"/>
              </w:rPr>
            </w:pPr>
          </w:p>
        </w:tc>
      </w:tr>
      <w:tr>
        <w:trPr>
          <w:trHeight w:val="27"/>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attributable to continuing operations:</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(increase) in restricted cash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 attributable to continuing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(8,091)</w:t>
            </w:r>
          </w:p>
        </w:tc>
        <w:tc>
          <w:tcPr>
            <w:tcW w:w="0" w:type="dxa"/>
            <w:vAlign w:val="bottom"/>
          </w:tcPr>
          <w:p>
            <w:pPr>
              <w:spacing w:after="0"/>
              <w:rPr>
                <w:sz w:val="1"/>
                <w:szCs w:val="1"/>
                <w:color w:val="auto"/>
              </w:rPr>
            </w:pPr>
          </w:p>
        </w:tc>
      </w:tr>
      <w:tr>
        <w:trPr>
          <w:trHeight w:val="27"/>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attributable to continuing operations:</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common stock, net of withholding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(11,428)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(increase) in restricted cash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 attributable to continuing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(11,923)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7"/>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cash used in continuing operations</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(39,430)</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 attributable to discontinued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 attributable to discontinued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 attributable to discontinued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(197,659)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cash provided by discontinued operations</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55,011</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45,541</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7" w:lineRule="exact"/>
        <w:rPr>
          <w:sz w:val="20"/>
          <w:szCs w:val="20"/>
          <w:color w:val="auto"/>
        </w:rPr>
      </w:pPr>
    </w:p>
    <w:p>
      <w:pPr>
        <w:ind w:firstLine="348"/>
        <w:spacing w:after="0" w:line="301" w:lineRule="auto"/>
        <w:rPr>
          <w:sz w:val="20"/>
          <w:szCs w:val="20"/>
          <w:color w:val="auto"/>
        </w:rPr>
      </w:pPr>
      <w:r>
        <w:rPr>
          <w:rFonts w:ascii="Times New Roman" w:cs="Times New Roman" w:eastAsia="Times New Roman" w:hAnsi="Times New Roman"/>
          <w:sz w:val="16"/>
          <w:szCs w:val="16"/>
          <w:color w:val="auto"/>
        </w:rPr>
        <w:t>Tree.com, Inc. ("Tree.com" or the "Company") is the parent of LendingTree, LLC, which owns several brands and businesses that provide information, tools, advice, products and services for critical transactions in consumers' lives. Our family of brands includes: LendingTree®, GetSmart®, DegreeTree®, LendingTreeAutos, DoneRight®, ServiceTree® and InsuranceTree®. Together, these brands serve as an ally for consumers who are looking to comparison-shop for loans, education programs, home services providers and other services from multiple businesses and professionals that will compete for their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Spin-Off</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On August 20, 2008, Tree.com was spun off from its parent company, IAC/InterActiveCorp ("IAC") into a separate publicly traded company. In connection with the spin-off, Tree.com was incorporated as a Delaware corporation in April 2008.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7"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Effective December 31, 2012, we expanded our reportable segments from one to two, consisting of mortgage and non-mortgage. The change was made as the convergence of economic similarities associated with our mortgage and non-mortgage operating segments was no longer expected. This decision was made in connection with the update of our annual budget and forecast, which occurs in the fourth quarter each year. The non-mortgage reportable segment consists of our auto, education and home services operating segments, which are not yet mature businesses, and have been aggregated. Prior period results have been reclassified to conform with the change in reportable segments.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Contingent Consideration</w:t>
      </w:r>
    </w:p>
    <w:p>
      <w:pPr>
        <w:spacing w:after="0" w:line="227" w:lineRule="exact"/>
        <w:rPr>
          <w:sz w:val="20"/>
          <w:szCs w:val="20"/>
          <w:color w:val="auto"/>
        </w:rPr>
      </w:pPr>
    </w:p>
    <w:p>
      <w:pPr>
        <w:ind w:right="300" w:firstLine="351"/>
        <w:spacing w:after="0" w:line="256" w:lineRule="auto"/>
        <w:rPr>
          <w:sz w:val="20"/>
          <w:szCs w:val="20"/>
          <w:color w:val="auto"/>
        </w:rPr>
      </w:pPr>
      <w:r>
        <w:rPr>
          <w:rFonts w:ascii="Times New Roman" w:cs="Times New Roman" w:eastAsia="Times New Roman" w:hAnsi="Times New Roman"/>
          <w:sz w:val="18"/>
          <w:szCs w:val="18"/>
          <w:color w:val="auto"/>
        </w:rPr>
        <w:t>In 2010, we purchased certain assets of a company for an aggregate purchase price of $0.8 million in cash and contingent consideration. The contingent consideration amount is based on a percentage of estimated cumulative earnings over a period of thirty-six months from the date of acquisition. The minimum payout under the arrangement is zero and the maximum payout is unlimited. In 2011, there was a reduction of $0.4 million in the amount of contingent consideration recognized since the date of acquisition, which is reflected as a reduction of general and administrative expense. The purchase was part of our strategic initiative to diversify our revenue streams outside of the mortgage and real estate industries.</w:t>
      </w:r>
    </w:p>
    <w:p>
      <w:pPr>
        <w:spacing w:after="0" w:line="193" w:lineRule="exact"/>
        <w:rPr>
          <w:sz w:val="20"/>
          <w:szCs w:val="20"/>
          <w:color w:val="auto"/>
        </w:rPr>
      </w:pPr>
    </w:p>
    <w:p>
      <w:pPr>
        <w:ind w:right="280" w:firstLine="351"/>
        <w:spacing w:after="0" w:line="255" w:lineRule="auto"/>
        <w:rPr>
          <w:sz w:val="20"/>
          <w:szCs w:val="20"/>
          <w:color w:val="auto"/>
        </w:rPr>
      </w:pPr>
      <w:r>
        <w:rPr>
          <w:rFonts w:ascii="Times New Roman" w:cs="Times New Roman" w:eastAsia="Times New Roman" w:hAnsi="Times New Roman"/>
          <w:sz w:val="18"/>
          <w:szCs w:val="18"/>
          <w:color w:val="auto"/>
        </w:rPr>
        <w:t>In 2009, we purchased certain assets of four separate companies, for an aggregate purchase price of $5.7 million in cash and $1.0 million in contingent consideration. The contingent consideration amount related to one of the purchases is based on a percentage of estimated cumulative earnings over a period of thirty-six months from the date of acquisition. The minimum payout under the arrangement is zero and the maximum payout is unlimited. In 2011, there was a reduction of $0.3 million in the amount of contingent consideration recognized since the date of acquisition, which is reflected as a reduction of general and administrative expense. All four transactions were part of our strategic initiative to diversify our revenue streams outside of the mortgage and real estate industries.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businesses of RealEstate.com and RealEstate.com, REALTORS® (which together represent the former Real Estate segment) and LendingTree Loans are presented as discontinued operations in the accompanying consolidated balance sheets and consolidated statements of operations and cash flows for all periods presented. The notes accompanying these consolidated financial statements reflect our continuing operations and, unless otherwise noted, exclude information related to the discontinued operations.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On March 10, 2011, management made the decision and finalized a plan to close all of the field offices of the proprietary full-service real estate brokerage business known as RealEstate.com, REALTORS®. We exited all markets in which we previously operated by March 31, 2011. In September 2011, we sold the remaining assets of RealEstate.com, which consisted primarily of internet domain names and trademarks, for $8.3 million and recognized a gain on sale of $7.8 million.</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LendingTree Loans</w:t>
      </w:r>
    </w:p>
    <w:p>
      <w:pPr>
        <w:spacing w:after="0" w:line="227" w:lineRule="exact"/>
        <w:rPr>
          <w:sz w:val="20"/>
          <w:szCs w:val="20"/>
          <w:color w:val="auto"/>
        </w:rPr>
      </w:pPr>
    </w:p>
    <w:p>
      <w:pPr>
        <w:ind w:right="540" w:firstLine="351"/>
        <w:spacing w:after="0" w:line="275" w:lineRule="auto"/>
        <w:rPr>
          <w:sz w:val="20"/>
          <w:szCs w:val="20"/>
          <w:color w:val="auto"/>
        </w:rPr>
      </w:pPr>
      <w:r>
        <w:rPr>
          <w:rFonts w:ascii="Times New Roman" w:cs="Times New Roman" w:eastAsia="Times New Roman" w:hAnsi="Times New Roman"/>
          <w:sz w:val="18"/>
          <w:szCs w:val="18"/>
          <w:color w:val="auto"/>
        </w:rPr>
        <w:t>On May 12, 2011, we entered into an asset purchase agreement with Discover, as amended on February 7, 2012, for the sale of substantially all of the operating assets of our LendingTree Loans business. We completed the sale on June 6, 2012.</w:t>
      </w:r>
    </w:p>
    <w:p>
      <w:pPr>
        <w:spacing w:after="0" w:line="174"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asset purchase agreement as amended provided for a purchase price of approximately $55.9 million in cash for the assets, subject to certain conditions. Of this total purchase price, $8.0 million was paid prior to the closing, $37.9 million was paid upon the closing and $10.0 million is due on the first anniversary of the closing (June 6, 2013), subject to certain conditions.</w:t>
      </w:r>
    </w:p>
    <w:p>
      <w:pPr>
        <w:spacing w:after="0" w:line="186" w:lineRule="exact"/>
        <w:rPr>
          <w:sz w:val="20"/>
          <w:szCs w:val="20"/>
          <w:color w:val="auto"/>
        </w:rPr>
      </w:pPr>
    </w:p>
    <w:p>
      <w:pPr>
        <w:jc w:val="both"/>
        <w:ind w:right="460" w:firstLine="351"/>
        <w:spacing w:after="0" w:line="262" w:lineRule="auto"/>
        <w:rPr>
          <w:sz w:val="20"/>
          <w:szCs w:val="20"/>
          <w:color w:val="auto"/>
        </w:rPr>
      </w:pPr>
      <w:r>
        <w:rPr>
          <w:rFonts w:ascii="Times New Roman" w:cs="Times New Roman" w:eastAsia="Times New Roman" w:hAnsi="Times New Roman"/>
          <w:sz w:val="18"/>
          <w:szCs w:val="18"/>
          <w:color w:val="auto"/>
        </w:rPr>
        <w:t>Discover generally did not assume liabilities of the LendingTree Loans business that arose before the closing date, except for certain liabilities directly related to assets Discover acquired. Of the initial purchase price payment, $17.1 million is being held in escrow pending resolution of certain actual and/or contingent liabilities that remain with us following the sale. The escrowed amount is recorded as restricted cash at December 31, 2012.</w:t>
      </w:r>
    </w:p>
    <w:p>
      <w:pPr>
        <w:spacing w:after="0" w:line="186"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Separate from the asset purchase agreement, we agreed to provide certain marketing-related services to Discover in connection with its mortgage origination business for approximately seventeen months following the closing, or such earlier point as the agreed-upon services are satisfactorily completed. Discover has been a network lender on our mortgage exchange since closing of the transaction.</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On March 15, 2011, our wholly-owned subsidiary, HLC, completed its acquisition of certain assets of First Residential Mortgage Network, Inc., dba SurePoint Lending, pursuant to an asset purchase agreement dated November 15, 2010. SurePoint, a LendingTree network lender for eleven years, was a full-service residential mortgage provider licensed in 45 states and employed over 500 people, including more than 300 licensed loan officers. HLC purchased certain specified assets and assumed certain liabilities of SurePoint related to its business of originating, refinancing, processing, underwriting, funding and closing residential mortgage loans; providing title and escrow services; and providing other mortgage-related services. The acquired assets also included the equity interests of Real Estate Title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(Continued)</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Services, LLC. HLC paid $8.0 million in cash upon the closing of the transaction, subject to certain adjustments as described in the asset purchase agreement, and $0.2 million in cash for contingent consideration subsequent to the close. HLC used available cash to fund the acquisition.</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This asset purchase was accounted for under the acquisition method of accounting. Accordingly, the purchase price was allocated to the acquired assets and liabilities based on their estimated fair values at the acquisition date. The purchase price was allocated as $5.6 million to goodwill, $0.7 million to intangible assets with useful lives of three months to five years, and $1.7 million to equipment and other assets. The pro forma effect of this purchase was not material to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 of Period Adjustment</w:t>
      </w:r>
    </w:p>
    <w:p>
      <w:pPr>
        <w:spacing w:after="0" w:line="227" w:lineRule="exact"/>
        <w:rPr>
          <w:sz w:val="20"/>
          <w:szCs w:val="20"/>
          <w:color w:val="auto"/>
        </w:rPr>
      </w:pPr>
    </w:p>
    <w:p>
      <w:pPr>
        <w:ind w:right="180" w:firstLine="348"/>
        <w:spacing w:after="0" w:line="256" w:lineRule="auto"/>
        <w:rPr>
          <w:sz w:val="20"/>
          <w:szCs w:val="20"/>
          <w:color w:val="auto"/>
        </w:rPr>
      </w:pPr>
      <w:r>
        <w:rPr>
          <w:rFonts w:ascii="Times New Roman" w:cs="Times New Roman" w:eastAsia="Times New Roman" w:hAnsi="Times New Roman"/>
          <w:sz w:val="18"/>
          <w:szCs w:val="18"/>
          <w:color w:val="auto"/>
        </w:rPr>
        <w:t>The Company's results of operations for the year ended December 31, 2012 include a net reduction to net income attributable to common shareholders of approximately $0.2 million that should have been recorded as an increase to net loss attributable to common shareholders between 2008 and 2011 related to the following: leases in restructuring, additional interest on preferred stock of a wholly-owned subsidiary, stock compensation expense and litigation expense. Because the amounts are not material to our previously issued consolidated financial statements and the cumulative amount is not material to the results of operations for the full year 2012, we recorded the cumulative effect of correcting these items during the fourth quarter of 2012.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27"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Tree.com and all entities that are wholly-owned by us. Intercompany transactions and accounts have been eliminated.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ind w:right="40" w:firstLine="348"/>
        <w:spacing w:after="0" w:line="310" w:lineRule="auto"/>
        <w:rPr>
          <w:sz w:val="20"/>
          <w:szCs w:val="20"/>
          <w:color w:val="auto"/>
        </w:rPr>
      </w:pPr>
      <w:r>
        <w:rPr>
          <w:rFonts w:ascii="Times New Roman" w:cs="Times New Roman" w:eastAsia="Times New Roman" w:hAnsi="Times New Roman"/>
          <w:sz w:val="16"/>
          <w:szCs w:val="16"/>
          <w:color w:val="auto"/>
        </w:rPr>
        <w:t>The Company derives its revenue from fees which are earned through the delivery of qualified leads that originated through one of our websites or affiliates. The Company recognizes revenue when persuasive evidence of an arrangement exists, delivery has occurred, the fee is fixed or determinable and collectability is reasonably assured. Delivery is deemed to have occurred at the time a qualified lead is delivered to our customer provided that no significant obligations remain.</w:t>
      </w:r>
    </w:p>
    <w:p>
      <w:pPr>
        <w:spacing w:after="0" w:line="151" w:lineRule="exact"/>
        <w:rPr>
          <w:sz w:val="20"/>
          <w:szCs w:val="20"/>
          <w:color w:val="auto"/>
        </w:rPr>
      </w:pPr>
    </w:p>
    <w:p>
      <w:pPr>
        <w:jc w:val="both"/>
        <w:ind w:right="60" w:firstLine="351"/>
        <w:spacing w:after="0" w:line="262" w:lineRule="auto"/>
        <w:rPr>
          <w:sz w:val="20"/>
          <w:szCs w:val="20"/>
          <w:color w:val="auto"/>
        </w:rPr>
      </w:pPr>
      <w:r>
        <w:rPr>
          <w:rFonts w:ascii="Times New Roman" w:cs="Times New Roman" w:eastAsia="Times New Roman" w:hAnsi="Times New Roman"/>
          <w:sz w:val="18"/>
          <w:szCs w:val="18"/>
          <w:color w:val="auto"/>
        </w:rPr>
        <w:t>Previously, lenders also paid closing fees when they closed a transaction with a consumer. The closing fee was eliminated in 2011 for all mortgage products, with the exception of home equity loans. The closing fee on home equity loan products was eliminated in January 2013. Closed-loan fees were recognized at the time the lender reported the closed loan to us, which could have been several months after the loan request was transmitted.</w:t>
      </w:r>
    </w:p>
    <w:p>
      <w:pPr>
        <w:spacing w:after="0" w:line="186"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In addition, during the year ended December 31, 2012, we recognized approximately $1.9 million of revenue from marketing-related services provided to Discover discussed above. Revenue from these services is recognized in the period the services are provided.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and cash equivalents include cash and short-term, highly liquid money market investments with original maturities of three months or less.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Restricted cash and cash equivalents consists of the following (in thousands):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 escrow for surety bonds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in escrow for corporate purchasing card program</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 escrow for sale of LTL (Note 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17,077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in escrow for earnout related to an acquisition (Note 6)</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restricted for loan loss obligations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Minimum required balances for warehouse lines of credit</w:t>
            </w:r>
          </w:p>
        </w:tc>
        <w:tc>
          <w:tcPr>
            <w:tcW w:w="2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7"/>
        </w:trPr>
        <w:tc>
          <w:tcPr>
            <w:tcW w:w="57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restricted cash and cash equivalents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4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29,414</w:t>
            </w:r>
          </w:p>
        </w:tc>
        <w:tc>
          <w:tcPr>
            <w:tcW w:w="20" w:type="dxa"/>
            <w:vAlign w:val="bottom"/>
            <w:tcBorders>
              <w:bottom w:val="single" w:sz="8" w:color="auto"/>
            </w:tcBorders>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During 2012, $3.1 million of restricted cash on deposit with a former warehouse lender to the LendingTree Loans business was redesignated as restricted cash for the settlement of loan loss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are stated at amounts due from customers, net of an allowance for doubtful accounts.</w:t>
      </w:r>
    </w:p>
    <w:p>
      <w:pPr>
        <w:spacing w:after="0" w:line="225" w:lineRule="exact"/>
        <w:rPr>
          <w:sz w:val="20"/>
          <w:szCs w:val="20"/>
          <w:color w:val="auto"/>
        </w:rPr>
      </w:pPr>
    </w:p>
    <w:p>
      <w:pPr>
        <w:ind w:right="100" w:firstLine="341"/>
        <w:spacing w:after="0" w:line="256" w:lineRule="auto"/>
        <w:rPr>
          <w:sz w:val="20"/>
          <w:szCs w:val="20"/>
          <w:color w:val="auto"/>
        </w:rPr>
      </w:pPr>
      <w:r>
        <w:rPr>
          <w:rFonts w:ascii="Times New Roman" w:cs="Times New Roman" w:eastAsia="Times New Roman" w:hAnsi="Times New Roman"/>
          <w:sz w:val="18"/>
          <w:szCs w:val="18"/>
          <w:color w:val="auto"/>
        </w:rPr>
        <w:t>Accounts receivable outstanding longer than the contractual payment terms are considered past due. We determine our allowance for doubtful accounts by considering a number of factors, including the length of time accounts receivable are past due, our previous loss history, the specific customer's current ability to pay its obligation to us and the condition of the general economy and the customer's industry as a whole. We write off accounts receivable when management deems them uncollectible. Write-offs were $0.0 million and $0.1 million for the years ended December 31, 2012 and 2011, respectively. The allowance for doubtful accounts increased by $0.3 million as a result of litigation with one customer within the non-mortgage segment.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Loss Obligations</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LendingTree Loans sold loans it originated to investors on a servicing-released basis and the risk of loss or default by the borrower was generally transferred to the investor. However, LendingTree Loans was required by these investors to make certain representations relating to credit information, loan documentation and collateral. To the extent LendingTree Loans did not comply with such representations or there are early payment defaults, LendingTree Loans may be required to repurchase loans or indemnify the investors for any losses from borrower defaults. LendingTree Loans maintains a liability for the estimated exposure relating to such contingent obligations and changes to the estimate are recorded in revenue in the periods they occur.</w:t>
      </w:r>
    </w:p>
    <w:p>
      <w:pPr>
        <w:spacing w:after="0" w:line="193"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During the third quarter of 2012, in order to reflect our exit from the mortgage loan origination business in the second quarter of 2012 and our current commercial objective to pursue bulk settlements with investors, management revised the estimation process for evaluating the adequacy of the reserve for loan losses.</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 (Continued)</w:t>
      </w:r>
    </w:p>
    <w:p>
      <w:pPr>
        <w:spacing w:after="0" w:line="22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Prior to the third quarter of 2012, in estimating our exposure to losses on loans previously sold, LendingTree Loans used a model that considered the original loan balance (before it was sold to an investor), historical and projected loss frequency and loss severity ratios by loan type, as well as analyses of losses in process. Subsequent adjustments to the obligation, if any, are made once further losses are determined to be both probable and estimable. Further, LendingTree Loans segmented its loan sales into four segments, based on the extent of the documentation provided by the borrower to substantiate their income and/or assets (full or limited documentation) and the lien position of the mortgage in the underlying property (first or second position). Each of these segments typically has a different loss experience, with full documentation, first lien position loans generally having the lowest loss ratios, and limited documentation, second lien position loans generally having the highest loss ratios.</w:t>
      </w:r>
    </w:p>
    <w:p>
      <w:pPr>
        <w:spacing w:after="0" w:line="19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revised methodology uses the model described above, but also incorporates into the estimation process (a) recent bulk settlements entered into by certain of our investors with governmental agencies and other counterparties, as applied to the attributes of the loans sold by LendingTree Loans and currently held by investors and (b) our own recent investor bulk settlement experience.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Property and equipment, including significant improvements, are recorded at cost less accumulated depreciation. Repairs and maintenance and any gains or losses on dispositions are included in operations.</w:t>
      </w:r>
    </w:p>
    <w:p>
      <w:pPr>
        <w:spacing w:after="0" w:line="174" w:lineRule="exact"/>
        <w:rPr>
          <w:sz w:val="20"/>
          <w:szCs w:val="20"/>
          <w:color w:val="auto"/>
        </w:rPr>
      </w:pPr>
    </w:p>
    <w:p>
      <w:pPr>
        <w:ind w:right="320" w:firstLine="351"/>
        <w:spacing w:after="0" w:line="339" w:lineRule="auto"/>
        <w:rPr>
          <w:sz w:val="20"/>
          <w:szCs w:val="20"/>
          <w:color w:val="auto"/>
        </w:rPr>
      </w:pPr>
      <w:r>
        <w:rPr>
          <w:rFonts w:ascii="Times New Roman" w:cs="Times New Roman" w:eastAsia="Times New Roman" w:hAnsi="Times New Roman"/>
          <w:sz w:val="16"/>
          <w:szCs w:val="16"/>
          <w:color w:val="auto"/>
        </w:rPr>
        <w:t>Depreciation is recorded on a straight-line basis to allocate the cost of depreciable assets to operations over their estimated service lives. Amortization of assets recorded under capital leases is included in depreciation expense. The following table presents the depreciation period for each asset category: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Depreciation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capitalized software</w:t>
            </w:r>
          </w:p>
        </w:tc>
        <w:tc>
          <w:tcPr>
            <w:tcW w:w="4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 to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Lesser of asset life or life of lease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4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 to 7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Software development costs primarily include expenses incurred to develop the software that powers our websites. Certain costs incurred during the application development stage are capitalized based on specific activities tracked on internal timesheets and external invoices (or timesheets), while costs incurred during the preliminary project stage and post-implementation/operation stage are expensed as incurred. Capitalized software development costs are amortized over estimated lives of one to three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Goodwill acquired in business combinations is assigned to the reporting units that are expected to benefit from the combination as of the acquisition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 (Continued)</w:t>
      </w:r>
    </w:p>
    <w:p>
      <w:pPr>
        <w:spacing w:after="0" w:line="227"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Goodwill impairment is determined using a two-step process. The first step is to compare the fair value of a reporting unit with its carrying amount, including goodwill. In performing the first step, we determine the fair value of our reporting units by using a market approach and a discounted cash flow ("DCF") analysis. For the fiscal 2012 annual impairment test, the fair value of our mortgage reporting unit was estimated using a DCF analysis and a market comparable method, with each method being equally weighted in the calculation. Determining fair value using a DCF analysis requires the exercise of significant judgments, including judgments about appropriate discount rates, perpetual growth rates and the amount and timing of expected future cash flows. If the fair value of a reporting unit exceeds its carrying amount, goodwill of the reporting unit is not impaired and the second step of the impairment test is not required. If the carrying amount of a reporting unit exceeds its fair value, the second step of the goodwill impairment test is required to be performed to measure the amount of impairment, if any. The second step of the goodwill impairment test compares the implied fair value of the reporting unit's goodwill with the carrying amount of that goodwill. The implied fair value of goodwill is determined in the same manner as the amount of goodwill recognized in a business combination. If the carrying amount of the reporting unit's goodwill exceeds the implied fair value of that goodwill, an impairment loss is recognized in an amount equal to that excess.</w:t>
      </w:r>
    </w:p>
    <w:p>
      <w:pPr>
        <w:spacing w:after="0" w:line="193"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 royalty methodology in estimating the fair value of trade names and trademarks. Significant judgments inherent in this analysis include the determination of royalty rates, discount rates, perpetual growth rates and the amount and timing of future revenues.</w:t>
      </w:r>
    </w:p>
    <w:p>
      <w:pPr>
        <w:spacing w:after="0" w:line="193"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 assets, primarily trade names and trademarks, are tested annually for impairment as of October 1, or earlier upon the occurrence of certain events or substantive changes in circumstances. We performed interim tests as of March 31, 2011 and June 30, 2011, in addition to the annual tests on October 1, 2012 and 2011. We identified impairments in the interim tests in 2011, as described in Notes 4 and 7. No impairments were identified in 2012.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 and Intangible Assets with Definite Lives</w:t>
      </w:r>
    </w:p>
    <w:p>
      <w:pPr>
        <w:spacing w:after="0" w:line="227" w:lineRule="exact"/>
        <w:rPr>
          <w:sz w:val="20"/>
          <w:szCs w:val="20"/>
          <w:color w:val="auto"/>
        </w:rPr>
      </w:pPr>
    </w:p>
    <w:p>
      <w:pPr>
        <w:ind w:right="180" w:firstLine="351"/>
        <w:spacing w:after="0" w:line="296" w:lineRule="auto"/>
        <w:rPr>
          <w:sz w:val="20"/>
          <w:szCs w:val="20"/>
          <w:color w:val="auto"/>
        </w:rPr>
      </w:pPr>
      <w:r>
        <w:rPr>
          <w:rFonts w:ascii="Times New Roman" w:cs="Times New Roman" w:eastAsia="Times New Roman" w:hAnsi="Times New Roman"/>
          <w:sz w:val="16"/>
          <w:szCs w:val="16"/>
          <w:color w:val="auto"/>
        </w:rPr>
        <w:t>Long-lived assets, including property and equipment and intangible assets with definite lives, are tested for recoverability whenever events or changes in circumstances indicate that their carrying amounts may not be recoverable. The carrying amount of a long-lived asset is not recoverable if it exceeds the sum of the undiscounted cash flows expected to result from the use and eventual disposition of the asset. If the carrying amount is deemed to not be recoverable, an impairment loss is recorded as the amount by which the carrying amount of the long-lived asset exceeds its fair value. Amortization of definite-lived intangible assets is recorded on a straight-line basis over their estimated lives. We did not identify any impairment related to such assets in 2012 or 2011.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We categorize our assets and liabilities measured at fair value into a fair value hierarchy that prioritizes the assumptions used in pricing the asset or liability into the following three levels:</w:t>
      </w:r>
    </w:p>
    <w:p>
      <w:pPr>
        <w:spacing w:after="0" w:line="187"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for identical assets and liabilities in active markets obtained from independent sources.</w:t>
      </w:r>
    </w:p>
    <w:p>
      <w:pPr>
        <w:spacing w:after="0" w:line="252"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199" w:lineRule="exact"/>
        <w:rPr>
          <w:rFonts w:ascii="Times New Roman" w:cs="Times New Roman" w:eastAsia="Times New Roman" w:hAnsi="Times New Roman"/>
          <w:sz w:val="18"/>
          <w:szCs w:val="18"/>
          <w:color w:val="auto"/>
        </w:rPr>
      </w:pPr>
    </w:p>
    <w:p>
      <w:pPr>
        <w:jc w:val="both"/>
        <w:ind w:left="1080" w:right="180" w:hanging="532"/>
        <w:spacing w:after="0" w:line="26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there is little or no market data and which require us to develop our own assumptions, based on the best information available in the circumstances, about the assumptions market participants would use in pricing the asset or liability. See Note 7 for a discussion of assets measured at fair value using Level 3 inputs.</w:t>
      </w:r>
    </w:p>
    <w:p>
      <w:pPr>
        <w:spacing w:after="0" w:line="186"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Our non-financial assets, such as goodwill, intangible assets and property and equipment are measured at fair value when there is an indicator of impairment and recorded at fair value only when an impairment charge is recognized. Such fair value measurements are based predominantly on Level 3 inputs. See Note 4 for discussion of goodwill and intangible asset impairment charges.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Cost of revenue consists primarily of costs associated with compensation and other employee-related costs (including stock-based compensation) related to customer call centers, credit scoring fees, consumer incentive costs, and website network hosting and server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Promotional Costs</w:t>
      </w:r>
    </w:p>
    <w:p>
      <w:pPr>
        <w:spacing w:after="0" w:line="227" w:lineRule="exact"/>
        <w:rPr>
          <w:sz w:val="20"/>
          <w:szCs w:val="20"/>
          <w:color w:val="auto"/>
        </w:rPr>
      </w:pPr>
    </w:p>
    <w:p>
      <w:pPr>
        <w:ind w:firstLine="348"/>
        <w:spacing w:after="0" w:line="293" w:lineRule="auto"/>
        <w:rPr>
          <w:sz w:val="20"/>
          <w:szCs w:val="20"/>
          <w:color w:val="auto"/>
        </w:rPr>
      </w:pPr>
      <w:r>
        <w:rPr>
          <w:rFonts w:ascii="Times New Roman" w:cs="Times New Roman" w:eastAsia="Times New Roman" w:hAnsi="Times New Roman"/>
          <w:sz w:val="16"/>
          <w:szCs w:val="16"/>
          <w:color w:val="auto"/>
        </w:rPr>
        <w:t>We previously offered certain consumers that utilize our services promotional incentives to complete a transaction. These included gift certificates, airline miles or other coupons in the event a transaction was completed utilizing our services. This program was terminated in 2012. The liability was estimated for these consumer promotional costs each period based on the number of consumers that were presented such offers, the cost of the item being offered, the historical trends of consumers qualifying for the offer and our payout rates. The estimated costs of consumer promotional incentives were charged to cost of revenue in each period. Consumer promotional expense was $0.7 million for the year ended December 31, 2011. Consumer promotional costs accrued totaled $0.2 million at December 31, 2011, and are included in accrued expenses and other current liabilities in the accompanying consolidated balance sheets.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227"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Product development expense consists primarily of compensation and other employee-related costs (including stock-based compensation) for personnel engaged in the design, development, testing and enhancement of technology that are not capitalized.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27" w:lineRule="exact"/>
        <w:rPr>
          <w:sz w:val="20"/>
          <w:szCs w:val="20"/>
          <w:color w:val="auto"/>
        </w:rPr>
      </w:pPr>
    </w:p>
    <w:p>
      <w:pPr>
        <w:ind w:right="300" w:firstLine="341"/>
        <w:spacing w:after="0" w:line="262" w:lineRule="auto"/>
        <w:rPr>
          <w:sz w:val="20"/>
          <w:szCs w:val="20"/>
          <w:color w:val="auto"/>
        </w:rPr>
      </w:pPr>
      <w:r>
        <w:rPr>
          <w:rFonts w:ascii="Times New Roman" w:cs="Times New Roman" w:eastAsia="Times New Roman" w:hAnsi="Times New Roman"/>
          <w:sz w:val="18"/>
          <w:szCs w:val="18"/>
          <w:color w:val="auto"/>
        </w:rPr>
        <w:t>Advertising costs are expensed in the period incurred (when the advertisement first runs for production costs that are initially capitalized) and principally represent offline costs, including television, print and radio advertising, and online advertising costs, including fees paid to search engines and distribution partners. Advertising expense was $40.8 million and $40.7 million for the years ended December 31, 2012 and 2011,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80" w:firstLine="348"/>
        <w:spacing w:after="0" w:line="290" w:lineRule="auto"/>
        <w:rPr>
          <w:sz w:val="20"/>
          <w:szCs w:val="20"/>
          <w:color w:val="auto"/>
        </w:rPr>
      </w:pPr>
      <w:r>
        <w:rPr>
          <w:rFonts w:ascii="Times New Roman" w:cs="Times New Roman" w:eastAsia="Times New Roman" w:hAnsi="Times New Roman"/>
          <w:sz w:val="16"/>
          <w:szCs w:val="16"/>
          <w:color w:val="auto"/>
        </w:rPr>
        <w:t>We account for income taxes under the liability method, and deferred tax assets and liabilities are recognized for the future tax consequences attributable to differences between the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We record interest on potential tax contingencies as a component of income tax expense and record interest net of any applicable related income tax benefit. The Company reported a loss from continuing operations and income from discontinued operations during 2012. As a result, the Company has followed the accounting guidance prescribed in ASC 740-20-45-7 which provides an exception to the "with" and "without" approach to intraperiod tax allocation for determination of the amount of tax benefit to allocate to continuing operations in such circumstances.</w:t>
      </w:r>
    </w:p>
    <w:p>
      <w:pPr>
        <w:spacing w:after="0" w:line="166"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standard for uncertainty in income taxes, we recognize liabilities for uncertain tax positions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record stock-based compensation in accordance with the accounting standard for share-based payments. See Note 3 for further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227" w:lineRule="exact"/>
        <w:rPr>
          <w:sz w:val="20"/>
          <w:szCs w:val="20"/>
          <w:color w:val="auto"/>
        </w:rPr>
      </w:pPr>
    </w:p>
    <w:p>
      <w:pPr>
        <w:ind w:right="720" w:firstLine="351"/>
        <w:spacing w:after="0" w:line="275" w:lineRule="auto"/>
        <w:rPr>
          <w:sz w:val="20"/>
          <w:szCs w:val="20"/>
          <w:color w:val="auto"/>
        </w:rPr>
      </w:pPr>
      <w:r>
        <w:rPr>
          <w:rFonts w:ascii="Times New Roman" w:cs="Times New Roman" w:eastAsia="Times New Roman" w:hAnsi="Times New Roman"/>
          <w:sz w:val="18"/>
          <w:szCs w:val="18"/>
          <w:color w:val="auto"/>
        </w:rPr>
        <w:t>Comprehensive income consists of net income only. Total accumulated other comprehensive income (loss) is displayed as a separate component of stockholders'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Management is required to make certain estimates and assumptions during the preparation of the consolidated financial statements in accordance with U.S.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 (Continued)</w:t>
      </w:r>
    </w:p>
    <w:p>
      <w:pPr>
        <w:spacing w:after="0" w:line="227"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227"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Our business is subject to certain risks and concentrations including dependence on third-party technology providers, exposure to risks associated with online commerce security and credit card fraud.</w:t>
      </w:r>
    </w:p>
    <w:p>
      <w:pPr>
        <w:spacing w:after="0" w:line="174"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 of credit risk, consist primarily of cash and cash equivalents. Cash and cash equivalents are in excess of Federal Deposit Insurance Corporation insurance limits, but are maintained with quality financial institutions of high credit.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Due to the nature of the mortgage lending industry, interest rate increases may negatively impact future revenue from our lender network.</w:t>
      </w:r>
    </w:p>
    <w:p>
      <w:pPr>
        <w:spacing w:after="0" w:line="225"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For the year ended December 31, 2012, one mortgage customer accounted for revenue representing 14% of total revenue and another mortgage customer accounted for 11% of total revenue. No customer accounted for more than 10% of total revenue for the year ended December 31, 2011.</w:t>
      </w:r>
    </w:p>
    <w:p>
      <w:pPr>
        <w:spacing w:after="0" w:line="17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Lenders participating on our lender network can offer their products directly to consumers through brokers, mass marketing campaigns or through other traditional methods of credit distribution. These lenders can also offer their products online, either directly to prospective borrowers, through one or more of our online competitors, or both. If a significant number of potential consumers are able to obtain loans from our participating lenders without utilizing our service, our ability to generate revenue may be limited. Because we do not have exclusive relationships with the lenders whose loan offerings are offered on our online marketplace, consumers may obtain offers and loans from these lenders without using our service.</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maintain operations solely in the United States.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In May 2011, the FASB issued amendments to the fair value accounting guidance. The amendments clarify the application of the highest and best use, and valuation premise concepts, preclude the application of blockage factors in the valuation of all financial instruments and include criteria for applying the fair value measurement principles to portfolios of financial instruments. The amendments additionally prescribe enhanced financial statement disclosures for Level 3 fair value measurements. The new amendments were effective on January 1, 2012. The adoption of this guidance did not have a material impact on our consolidated financial statements. See Note 7 for further information.</w:t>
      </w:r>
    </w:p>
    <w:p>
      <w:pPr>
        <w:spacing w:after="0" w:line="193"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In June 2011, the FASB issued new accounting guidance on the presentation of comprehensive income in financial statements. The new guidance requires entities to report components of comprehensive income in either a continuous statement of comprehensive income or two separate but consecutive statements. In December 2011, the FASB deferred certain provisions of this guidance pertaining to the presentation of reclassification adjustments. This new accounting guidance is effective for the three months ended March 31, 2012. The adoption of this guidance did not have a material impact on our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 (Continued)</w:t>
      </w:r>
    </w:p>
    <w:p>
      <w:pPr>
        <w:spacing w:after="0" w:line="227"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In December 2011, the FASB issued new accounting guidance that requires additional disclosures on financial instruments and derivative instruments that are either offset in accordance with existing accounting guidance or are subject to an enforceable master netting arrangement or similar agreement. The new requirements do not change the accounting guidance on netting, but rather enhance the disclosures to more clearly show the impact of netting arrangements on a company's financial position. This new accounting guidance will be effective, on a retrospective basis for all comparative periods presented, beginning on January 1, 2013. The adoption of this guidance will not have a material impact on our consolidated financial statements.</w:t>
      </w:r>
    </w:p>
    <w:p>
      <w:pPr>
        <w:spacing w:after="0" w:line="193"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In July 2012, the FASB issued new guidance which allows an entity to first assess qualitative factors to determine whether the existence of events and circumstances indicates that it is more likely than not that the indefinite-lived intangible asset is impaired. This assessment should be used as a basis for determining whether it is necessary to perform the quantitative impairment test. An entity would not be required to calculate the fair value of the intangible asset and perform the quantitative test unless the entity determines, based upon its qualitative assessment, that it is more likely than not that its fair value is less than its carrying value. The update expands previous guidance by providing more examples of events and circumstances that an entity should consider in determining whether it is more likely than not that the fair value of an indefinite-lived intangible asset is less than its carrying amount. The update also allows an entity the option to bypass the qualitative assessment for any indefinite-lived intangible asset in any period and proceed directly to performing the quantitative impairment test. An entity will be able to resume performing the qualitative assessment in any subsequent period. This update is effective for annual and interim periods beginning after September 15, 2012, with early adoption permitted. The adoption of this guidance is not expected to have a material impact on our consolidated financial statements.</w:t>
      </w:r>
    </w:p>
    <w:p>
      <w:pPr>
        <w:spacing w:after="0" w:line="195"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In February 2013, the FASB issued ASU No. 2013-04, "Liabilities." ASU No. 2013-04 requires an entity to measure obligations resulting from joint and several liability arrangements for which the total amount of the obligation within the scope of this guidance is fixed at the reporting date, as the sum of the amount the reporting entity agreed to pay on the basis of its arrangement among its co-obligors and any additional amount the reporting entity expects to pay on behalf of its co-obligors. The guidance in this ASU also requires an entity to disclose the nature and amount of the obligation as well as other information about those obligations. The amendments in this ASU are effective for fiscal years, and interim periods within those years, beginning after December 15, 2013. We are currently evaluating the impact that the adoption will have on our consolidated financial statements in fiscal 2014.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3—STOCK-BASED COMPENSATION</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currently have one active plan, the Amended and Restated Tree.com 2008 Stock and Annual Incentive Plan, under which future awards may be granted, which currently covers outstanding stock options to acquire shares of our common stock and restricted stock units ("RSUs"), and provides for the future grant of these and other equity awards. Under the Third Amended and Restated Tree.com 2008 Stock and Annual Incentive Plan, we are authorized to grant stock options, RSUs and other equity-based awards for up to 3.35 million shares of Tree.com common stock. The active plan described above authorizes us to grant awards to employees, officers and directors. Finally, this active plan also governs certain equity awards of IAC that were converted into equity awards of Tree.com in connection with the spin-off.</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3—STOCK-BASED COMPENSATION (Continued)</w:t>
      </w:r>
    </w:p>
    <w:p>
      <w:pPr>
        <w:spacing w:after="0" w:line="227"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In addition, the plan described above has a stated term of ten years and provides that the exercise price of stock options granted will not be less than the market price of our common stock on the grant date. The plan does not specify grant dates or vesting schedules, as those determinations have been delegated to the Compensation Committee of our board of directors. Each grant agreement reflects the vesting schedule for that particular grant as determined by the Compensation Committee.</w:t>
      </w:r>
    </w:p>
    <w:p>
      <w:pPr>
        <w:spacing w:after="0" w:line="190"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Prior to the spin-off, our employees received equity awards that were granted under various IAC stock and annual incentive plans. Upon spin-off, these IAC awards were converted into awards of both Tree.com and other former IAC companies, which vested in 2012. We recognized non-cash compensation expense for these awards granted to our employees in 2011 and 2012.</w:t>
      </w:r>
    </w:p>
    <w:p>
      <w:pPr>
        <w:spacing w:after="0" w:line="186" w:lineRule="exact"/>
        <w:rPr>
          <w:sz w:val="20"/>
          <w:szCs w:val="20"/>
          <w:color w:val="auto"/>
        </w:rPr>
      </w:pPr>
    </w:p>
    <w:p>
      <w:pPr>
        <w:jc w:val="both"/>
        <w:ind w:firstLine="351"/>
        <w:spacing w:after="0" w:line="275" w:lineRule="auto"/>
        <w:rPr>
          <w:sz w:val="20"/>
          <w:szCs w:val="20"/>
          <w:color w:val="auto"/>
        </w:rPr>
      </w:pPr>
      <w:r>
        <w:rPr>
          <w:rFonts w:ascii="Times New Roman" w:cs="Times New Roman" w:eastAsia="Times New Roman" w:hAnsi="Times New Roman"/>
          <w:sz w:val="18"/>
          <w:szCs w:val="18"/>
          <w:color w:val="auto"/>
        </w:rPr>
        <w:t>Non-cash stock-based compensation expense related to equity awards is included in the following line items in the accompanying consolidated statements of operations for the years ended December 31, 2012 and 2011 (in thousands):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stock-based compensation expense before income taxes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(1,812)</w:t>
            </w: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stock-based compensation expense after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forms of stock-based awards granted to Tree.com employees are principally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Compensation Committee at the time of grant.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 Tree.com recognizes expense for all stock-based awards for which vesting is considered probable. For stock-based awards, the accounting charge is measured at the grant date as the fair value of Tree.com common stock awarded and expensed ratably as non-cash compensation over the vesting term. For performance-based awards, the expense is measured at the grant date as the fair value of our common stock awarded and expensed as non-cash compensation using a graded vesting attribution model considering the probability of the targets being achieved.</w:t>
      </w:r>
    </w:p>
    <w:p>
      <w:pPr>
        <w:spacing w:after="0" w:line="197" w:lineRule="exact"/>
        <w:rPr>
          <w:sz w:val="20"/>
          <w:szCs w:val="20"/>
          <w:color w:val="auto"/>
        </w:rPr>
      </w:pPr>
    </w:p>
    <w:p>
      <w:pPr>
        <w:jc w:val="both"/>
        <w:ind w:right="80" w:firstLine="348"/>
        <w:spacing w:after="0" w:line="262" w:lineRule="auto"/>
        <w:rPr>
          <w:sz w:val="20"/>
          <w:szCs w:val="20"/>
          <w:color w:val="auto"/>
        </w:rPr>
      </w:pPr>
      <w:r>
        <w:rPr>
          <w:rFonts w:ascii="Times New Roman" w:cs="Times New Roman" w:eastAsia="Times New Roman" w:hAnsi="Times New Roman"/>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86" w:lineRule="exact"/>
        <w:rPr>
          <w:sz w:val="20"/>
          <w:szCs w:val="20"/>
          <w:color w:val="auto"/>
        </w:rPr>
      </w:pPr>
    </w:p>
    <w:p>
      <w:pPr>
        <w:ind w:right="300" w:firstLine="348"/>
        <w:spacing w:after="0" w:line="339" w:lineRule="auto"/>
        <w:rPr>
          <w:sz w:val="20"/>
          <w:szCs w:val="20"/>
          <w:color w:val="auto"/>
        </w:rPr>
      </w:pPr>
      <w:r>
        <w:rPr>
          <w:rFonts w:ascii="Times New Roman" w:cs="Times New Roman" w:eastAsia="Times New Roman" w:hAnsi="Times New Roman"/>
          <w:sz w:val="16"/>
          <w:szCs w:val="16"/>
          <w:color w:val="auto"/>
        </w:rPr>
        <w:t>Tax benefits resulting from tax deductions in excess of the stock-based compensation expense recognized in the consolidated statement of operations are reported as a component of financing cash flows. In 2012, while there were excess tax benefits from stock-based compensation, the tax benefits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3—STOCK-BASED COMPENSATION (Continued)</w:t>
      </w:r>
    </w:p>
    <w:p>
      <w:pPr>
        <w:spacing w:after="0" w:line="227" w:lineRule="exact"/>
        <w:rPr>
          <w:sz w:val="20"/>
          <w:szCs w:val="20"/>
          <w:color w:val="auto"/>
        </w:rPr>
      </w:pPr>
    </w:p>
    <w:p>
      <w:pPr>
        <w:ind w:right="880"/>
        <w:spacing w:after="0" w:line="275" w:lineRule="auto"/>
        <w:rPr>
          <w:sz w:val="20"/>
          <w:szCs w:val="20"/>
          <w:color w:val="auto"/>
        </w:rPr>
      </w:pPr>
      <w:r>
        <w:rPr>
          <w:rFonts w:ascii="Times New Roman" w:cs="Times New Roman" w:eastAsia="Times New Roman" w:hAnsi="Times New Roman"/>
          <w:sz w:val="18"/>
          <w:szCs w:val="18"/>
          <w:color w:val="auto"/>
        </w:rPr>
        <w:t>were not reflected in the consolidated statement of operations because of the utilization of NOLs. There were no excess tax benefits from stock-based compensation for the year ended December 31, 2011.</w:t>
      </w:r>
    </w:p>
    <w:p>
      <w:pPr>
        <w:spacing w:after="0" w:line="174" w:lineRule="exact"/>
        <w:rPr>
          <w:sz w:val="20"/>
          <w:szCs w:val="20"/>
          <w:color w:val="auto"/>
        </w:rPr>
      </w:pPr>
    </w:p>
    <w:p>
      <w:pPr>
        <w:jc w:val="both"/>
        <w:ind w:right="620" w:firstLine="341"/>
        <w:spacing w:after="0" w:line="262" w:lineRule="auto"/>
        <w:rPr>
          <w:sz w:val="20"/>
          <w:szCs w:val="20"/>
          <w:color w:val="auto"/>
        </w:rPr>
      </w:pPr>
      <w:r>
        <w:rPr>
          <w:rFonts w:ascii="Times New Roman" w:cs="Times New Roman" w:eastAsia="Times New Roman" w:hAnsi="Times New Roman"/>
          <w:sz w:val="18"/>
          <w:szCs w:val="18"/>
          <w:color w:val="auto"/>
        </w:rPr>
        <w:t>As of December 31, 2012, there was approximately $0.6 million, $4.6 million and $0.1 million of unrecognized compensation cost, net of estimated forfeitures, related to stock options, RSUs and restricted stock, respectively. These costs are expected to be recognized over a weighted-average period of approximately 1.9 years for stock options, 2.0 years for RSUs and 0.1 years for restricted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stock options is as follows: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Term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6"/>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1,046,746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(96,987)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80" w:type="dxa"/>
            <w:vAlign w:val="bottom"/>
            <w:gridSpan w:val="2"/>
            <w:vMerge w:val="continue"/>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1,072,503</w:t>
            </w:r>
          </w:p>
        </w:tc>
        <w:tc>
          <w:tcPr>
            <w:tcW w:w="100" w:type="dxa"/>
            <w:vAlign w:val="bottom"/>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Options exercisable</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230,073</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12.60</w:t>
            </w:r>
          </w:p>
        </w:tc>
        <w:tc>
          <w:tcPr>
            <w:tcW w:w="10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Substantially all options outstanding at December 31, 2012 are vested or are expected to vest over a weighted-average period of approximately 1.9 years.</w:t>
      </w:r>
    </w:p>
    <w:p>
      <w:pPr>
        <w:spacing w:after="0" w:line="225"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grant date using the Black-Scholes option pricing model. In 2012, a stock option to purchase 150,000 shares was granted to the Chairman and CEO, which vests over a period of three years from the grant date. The exercise price and the fair value related to this stock option grant was $7.43 and $3.63, respectively. In 2011, stock options to purchase 153,868 shares were granted to the Chairman and CEO, which also vest over a period of three years. The weighted average exercise price and the weighted average fair value related to these stock option grants were $5.89 and $2.60, respectively.</w:t>
      </w:r>
    </w:p>
    <w:p>
      <w:pPr>
        <w:spacing w:after="0" w:line="193" w:lineRule="exact"/>
        <w:rPr>
          <w:sz w:val="20"/>
          <w:szCs w:val="20"/>
          <w:color w:val="auto"/>
        </w:rPr>
      </w:pPr>
    </w:p>
    <w:p>
      <w:pPr>
        <w:ind w:right="140" w:firstLine="348"/>
        <w:spacing w:after="0" w:line="255" w:lineRule="auto"/>
        <w:rPr>
          <w:sz w:val="20"/>
          <w:szCs w:val="20"/>
          <w:color w:val="auto"/>
        </w:rPr>
      </w:pPr>
      <w:r>
        <w:rPr>
          <w:rFonts w:ascii="Times New Roman" w:cs="Times New Roman" w:eastAsia="Times New Roman" w:hAnsi="Times New Roman"/>
          <w:sz w:val="18"/>
          <w:szCs w:val="18"/>
          <w:color w:val="auto"/>
        </w:rPr>
        <w:t>The Black-Scholes option pricing model incorporates various assumptions, including expected volatility and expected term. For purposes of this model, no dividends have been assumed. The risk-free interest rates are based on U.S. Treasury yields for notes with comparable expected terms as the awards, in effect at the grant date. The expected term of options granted is based on analyses of historical employee termination rates and option exercise patterns, giving consideration to expectations of future employee behavior. The following are the weighted average assumptions used in the Black-Scholes option pricing model for years ended December 31, 2012 and December 31, 2011, respectively: volatility factors of 45% and 44%, risk-free interest rates of 2.0% and 3.6%, expected terms of 7.0 and 7.0 years, and a dividend yield of zero for both years.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3—STOCK-BASED COMPENSATION (Continued)</w:t>
      </w:r>
    </w:p>
    <w:p>
      <w:pPr>
        <w:spacing w:after="0" w:line="227"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In connection with the spin-off, our Chairman and CEO was awarded two grants of 589,950 stock options, each of which represented the right to acquire 2.5% of the fully diluted equity at exercise prices representing total equity values of the Company of $100 million and $300 million. These stock options all cliff vest at the end of five years. The weighted average exercise price and the weighted average fair value related to these stock option grants were $16.95 and $4.19, respectively. In 2009, we entered into an Option Cancellation Agreement with the Chairman and CEO, in which he surrendered for cancellation in its entirety one stock option award to purchase 589,850 shares of the Company's common stock at an exercise price of $25.43 per share.</w:t>
      </w:r>
    </w:p>
    <w:p>
      <w:pPr>
        <w:spacing w:after="0" w:line="193" w:lineRule="exact"/>
        <w:rPr>
          <w:sz w:val="20"/>
          <w:szCs w:val="20"/>
          <w:color w:val="auto"/>
        </w:rPr>
      </w:pPr>
    </w:p>
    <w:p>
      <w:pPr>
        <w:jc w:val="both"/>
        <w:ind w:right="60" w:firstLine="348"/>
        <w:spacing w:after="0" w:line="258"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our closing stock price on the last trading day of 2012 and the exercise price, multiplied by the number of in-the-money options) that would have been received by the option holders had all option holders exercised their options on December 31, 2012. The intrinsic value changes based on the fair market value of our common stock. The total intrinsic value of stock options exercised during the years ended December 31, 2012 and 2011 was $345,000 and $17,000, respectively.</w:t>
      </w:r>
    </w:p>
    <w:p>
      <w:pPr>
        <w:spacing w:after="0" w:line="190" w:lineRule="exact"/>
        <w:rPr>
          <w:sz w:val="20"/>
          <w:szCs w:val="20"/>
          <w:color w:val="auto"/>
        </w:rPr>
      </w:pPr>
    </w:p>
    <w:p>
      <w:pPr>
        <w:jc w:val="both"/>
        <w:ind w:right="40" w:firstLine="351"/>
        <w:spacing w:after="0" w:line="275" w:lineRule="auto"/>
        <w:rPr>
          <w:sz w:val="20"/>
          <w:szCs w:val="20"/>
          <w:color w:val="auto"/>
        </w:rPr>
      </w:pPr>
      <w:r>
        <w:rPr>
          <w:rFonts w:ascii="Times New Roman" w:cs="Times New Roman" w:eastAsia="Times New Roman" w:hAnsi="Times New Roman"/>
          <w:sz w:val="18"/>
          <w:szCs w:val="18"/>
          <w:color w:val="auto"/>
        </w:rPr>
        <w:t>Cash received from stock option exercises and the related actual tax benefit realized were $731,000 and $144,000 for the year ended December 31, 2012 and $21,000 and $7,000 for the year ended December 31, 2011.</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information about stock options outstanding and exercisable as of December 31, 2012: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2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4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jc w:val="right"/>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1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12"/>
                <w:szCs w:val="12"/>
                <w:color w:val="auto"/>
              </w:rPr>
            </w:pPr>
          </w:p>
        </w:tc>
        <w:tc>
          <w:tcPr>
            <w:tcW w:w="1300" w:type="dxa"/>
            <w:vAlign w:val="bottom"/>
          </w:tcPr>
          <w:p>
            <w:pPr>
              <w:jc w:val="right"/>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65"/>
        </w:trPr>
        <w:tc>
          <w:tcPr>
            <w:tcW w:w="412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6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Life in Years</w:t>
            </w:r>
          </w:p>
        </w:tc>
        <w:tc>
          <w:tcPr>
            <w:tcW w:w="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60" w:type="dxa"/>
            <w:vAlign w:val="bottom"/>
          </w:tcPr>
          <w:p>
            <w:pPr>
              <w:spacing w:after="0"/>
              <w:rPr>
                <w:sz w:val="14"/>
                <w:szCs w:val="14"/>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60" w:type="dxa"/>
            <w:vAlign w:val="bottom"/>
          </w:tcPr>
          <w:p>
            <w:pPr>
              <w:spacing w:after="0"/>
              <w:rPr>
                <w:sz w:val="14"/>
                <w:szCs w:val="14"/>
                <w:color w:val="auto"/>
              </w:rPr>
            </w:pPr>
          </w:p>
        </w:tc>
        <w:tc>
          <w:tcPr>
            <w:tcW w:w="2180" w:type="dxa"/>
            <w:vAlign w:val="bottom"/>
            <w:gridSpan w:val="4"/>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 to $4.99</w:t>
            </w: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$5.00 to $7.45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306,685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$7.46 to $9.99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619,045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 to $14.99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$15.00 to $19.99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$20.00 to $24.99</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1,072,503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230,073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gridSpan w:val="2"/>
            <w:vMerge w:val="restart"/>
          </w:tcPr>
          <w:p>
            <w:pPr>
              <w:jc w:val="right"/>
              <w:ind w:right="589"/>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3—STOCK-BASED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and Restricted Stock</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Nonvested RSUs and restricted stock outstanding as of December 31, 2012 and changes during the year ended December 31, 2012 were as follows: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Restricted Stock</w:t>
            </w:r>
          </w:p>
        </w:tc>
      </w:tr>
      <w:tr>
        <w:trPr>
          <w:trHeight w:val="125"/>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1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Date Fair</w:t>
            </w:r>
          </w:p>
        </w:tc>
      </w:tr>
      <w:tr>
        <w:trPr>
          <w:trHeight w:val="165"/>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933,051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(424,530)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(112,141)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(116,278)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2012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757,111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348"/>
        <w:spacing w:after="0" w:line="275" w:lineRule="auto"/>
        <w:rPr>
          <w:sz w:val="20"/>
          <w:szCs w:val="20"/>
          <w:color w:val="auto"/>
        </w:rPr>
      </w:pPr>
      <w:r>
        <w:rPr>
          <w:rFonts w:ascii="Times New Roman" w:cs="Times New Roman" w:eastAsia="Times New Roman" w:hAnsi="Times New Roman"/>
          <w:sz w:val="18"/>
          <w:szCs w:val="18"/>
          <w:color w:val="auto"/>
        </w:rPr>
        <w:t>The weighted average grant date fair value of RSUs granted during the years ended December 31, 2012 and 2011 at market prices equal to Tree.com's common stock on the grant date was $12.56 and $6.17, respectively.</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total fair value of RSUs that vested during the years ended December 31, 2012 and 2011 was $4.3 million and $1.9 million, respectively.</w:t>
      </w:r>
    </w:p>
    <w:p>
      <w:pPr>
        <w:spacing w:after="0" w:line="225" w:lineRule="exact"/>
        <w:rPr>
          <w:sz w:val="20"/>
          <w:szCs w:val="20"/>
          <w:color w:val="auto"/>
        </w:rPr>
      </w:pPr>
    </w:p>
    <w:p>
      <w:pPr>
        <w:ind w:right="40" w:firstLine="351"/>
        <w:spacing w:after="0" w:line="293" w:lineRule="auto"/>
        <w:rPr>
          <w:sz w:val="20"/>
          <w:szCs w:val="20"/>
          <w:color w:val="auto"/>
        </w:rPr>
      </w:pPr>
      <w:r>
        <w:rPr>
          <w:rFonts w:ascii="Times New Roman" w:cs="Times New Roman" w:eastAsia="Times New Roman" w:hAnsi="Times New Roman"/>
          <w:sz w:val="16"/>
          <w:szCs w:val="16"/>
          <w:color w:val="auto"/>
        </w:rPr>
        <w:t>Our Chairman and CEO was granted 350,000 shares of restricted stock in 2009, which was treated as a modification of the cancelled stock option award of 589,850 shares discussed above. These shares of restricted stock had a weighted average grant date fair value of $5.42. The incremental non-cash compensation expense for this modification is $0.7 million, which is being recognized over the vesting period of four years. During the year ended December 31, 2010, our Chairman and CEO was granted 150,000 shares of restricted stock. These shares of restricted stock had a weighted average grant date fair value of $8.27 and a total fair value of $1.2 million. During the year ended December 31, 2011, our Chairman and CEO was granted 24,642 shares of restricted stock. The shares of restricted stock had a weighted average grant date fair value of $5.55 and a total fair value of $0.1 million. There were no restricted stock awards granted in 2012.</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February of 2013, 100,000 shares of restricted stock that were previously granted to our Chairman and CEO vested.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4—GOODWILL AND INTANGIBLE ASSETS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balance of goodwill and intangible assets, net is as follows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3"/>
              </w:rPr>
              <w:t>December 31, 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3"/>
              </w:rPr>
              <w:t>December 31, 2011</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6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18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continue"/>
          </w:tcPr>
          <w:p>
            <w:pPr>
              <w:spacing w:after="0" w:line="20" w:lineRule="exact"/>
              <w:rPr>
                <w:sz w:val="1"/>
                <w:szCs w:val="1"/>
                <w:color w:val="auto"/>
              </w:rPr>
            </w:pPr>
          </w:p>
        </w:tc>
        <w:tc>
          <w:tcPr>
            <w:tcW w:w="17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gridSpan w:val="2"/>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10,142</w:t>
            </w:r>
          </w:p>
        </w:tc>
        <w:tc>
          <w:tcPr>
            <w:tcW w:w="1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10,142</w:t>
            </w:r>
          </w:p>
        </w:tc>
        <w:tc>
          <w:tcPr>
            <w:tcW w:w="1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3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7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340" w:type="dxa"/>
            <w:vAlign w:val="bottom"/>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1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16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60" w:type="dxa"/>
            <w:vAlign w:val="bottom"/>
            <w:vMerge w:val="restart"/>
          </w:tcPr>
          <w:p>
            <w:pPr>
              <w:jc w:val="right"/>
              <w:ind w:right="93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4—GOODWILL AND INTANGIBLE ASSETS (Continued)</w:t>
      </w:r>
    </w:p>
    <w:p>
      <w:pPr>
        <w:spacing w:after="0" w:line="227"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Intangible assets with indefinite lives relate principally to our trademarks. At December 31, 2012, intangible assets with definite lives relate to the following ($ in thousands):</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r>
      <w:tr>
        <w:trPr>
          <w:trHeight w:val="149"/>
        </w:trPr>
        <w:tc>
          <w:tcPr>
            <w:tcW w:w="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Amortization Life</w:t>
            </w:r>
          </w:p>
        </w:tc>
      </w:tr>
      <w:tr>
        <w:trPr>
          <w:trHeight w:val="165"/>
        </w:trPr>
        <w:tc>
          <w:tcPr>
            <w:tcW w:w="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60" w:type="dxa"/>
            <w:vAlign w:val="bottom"/>
          </w:tcPr>
          <w:p>
            <w:pPr>
              <w:spacing w:after="0"/>
              <w:rPr>
                <w:sz w:val="14"/>
                <w:szCs w:val="14"/>
                <w:color w:val="auto"/>
              </w:rPr>
            </w:pPr>
          </w:p>
        </w:tc>
      </w:tr>
      <w:tr>
        <w:trPr>
          <w:trHeight w:val="210"/>
        </w:trPr>
        <w:tc>
          <w:tcPr>
            <w:tcW w:w="8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agreements</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6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(25,158)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r>
      <w:tr>
        <w:trPr>
          <w:trHeight w:val="236"/>
        </w:trPr>
        <w:tc>
          <w:tcPr>
            <w:tcW w:w="82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r>
      <w:tr>
        <w:trPr>
          <w:trHeight w:val="21"/>
        </w:trPr>
        <w:tc>
          <w:tcPr>
            <w:tcW w:w="8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8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36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58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704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w w:val="97"/>
              </w:rPr>
              <w:t>At December 31, 2011, intangible assets with definite lives relate to the following ($ in thousands):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0"/>
        </w:trPr>
        <w:tc>
          <w:tcPr>
            <w:tcW w:w="8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r>
      <w:tr>
        <w:trPr>
          <w:trHeight w:val="149"/>
        </w:trPr>
        <w:tc>
          <w:tcPr>
            <w:tcW w:w="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Amortization Life</w:t>
            </w:r>
          </w:p>
        </w:tc>
      </w:tr>
      <w:tr>
        <w:trPr>
          <w:trHeight w:val="165"/>
        </w:trPr>
        <w:tc>
          <w:tcPr>
            <w:tcW w:w="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w w:val="87"/>
              </w:rPr>
              <w:t>Cost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60" w:type="dxa"/>
            <w:vAlign w:val="bottom"/>
          </w:tcPr>
          <w:p>
            <w:pPr>
              <w:spacing w:after="0"/>
              <w:rPr>
                <w:sz w:val="14"/>
                <w:szCs w:val="14"/>
                <w:color w:val="auto"/>
              </w:rPr>
            </w:pPr>
          </w:p>
        </w:tc>
      </w:tr>
      <w:tr>
        <w:trPr>
          <w:trHeight w:val="210"/>
        </w:trPr>
        <w:tc>
          <w:tcPr>
            <w:tcW w:w="8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agreements</w:t>
            </w:r>
          </w:p>
        </w:tc>
        <w:tc>
          <w:tcPr>
            <w:tcW w:w="1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50,411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(50,293)</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25,194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r>
      <w:tr>
        <w:trPr>
          <w:trHeight w:val="236"/>
        </w:trPr>
        <w:tc>
          <w:tcPr>
            <w:tcW w:w="82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r>
      <w:tr>
        <w:trPr>
          <w:trHeight w:val="21"/>
        </w:trPr>
        <w:tc>
          <w:tcPr>
            <w:tcW w:w="8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8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83,803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(82,756)</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1,047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8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41"/>
        <w:spacing w:after="0" w:line="275" w:lineRule="auto"/>
        <w:rPr>
          <w:sz w:val="20"/>
          <w:szCs w:val="20"/>
          <w:color w:val="auto"/>
        </w:rPr>
      </w:pPr>
      <w:r>
        <w:rPr>
          <w:rFonts w:ascii="Times New Roman" w:cs="Times New Roman" w:eastAsia="Times New Roman" w:hAnsi="Times New Roman"/>
          <w:sz w:val="18"/>
          <w:szCs w:val="18"/>
          <w:color w:val="auto"/>
        </w:rPr>
        <w:t>Amortization of intangible assets with definite lives is computed on a straight-line basis and, based on balances as of December 31, 2012, such amortization is estimated to be as follows (in thousands):</w:t>
      </w:r>
    </w:p>
    <w:p>
      <w:pPr>
        <w:sectPr>
          <w:pgSz w:w="11900" w:h="16838" w:orient="portrait"/>
          <w:cols w:equalWidth="0" w:num="1">
            <w:col w:w="11340"/>
          </w:cols>
          <w:pgMar w:left="240" w:top="125" w:right="319" w:bottom="1440" w:gutter="0" w:footer="0" w:header="0"/>
        </w:sectPr>
      </w:pPr>
    </w:p>
    <w:p>
      <w:pPr>
        <w:spacing w:after="0" w:line="39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Year ending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-107315</wp:posOffset>
            </wp:positionV>
            <wp:extent cx="506857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Year ending December 31, 2014</w:t>
      </w:r>
    </w:p>
    <w:p>
      <w:pPr>
        <w:spacing w:after="0" w:line="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Year ending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-114935</wp:posOffset>
            </wp:positionV>
            <wp:extent cx="506857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Year ending December 31, 2016</w:t>
      </w:r>
    </w:p>
    <w:p>
      <w:pPr>
        <w:spacing w:after="0" w:line="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Year ending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-114935</wp:posOffset>
            </wp:positionV>
            <wp:extent cx="506857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Thereafter</w:t>
      </w:r>
    </w:p>
    <w:p>
      <w:pPr>
        <w:spacing w:after="0" w:line="3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3943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ind w:left="360" w:hanging="352"/>
        <w:spacing w:after="0"/>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147</w:t>
      </w:r>
    </w:p>
    <w:p>
      <w:pPr>
        <w:spacing w:after="0" w:line="30" w:lineRule="exact"/>
        <w:rPr>
          <w:rFonts w:ascii="Times New Roman" w:cs="Times New Roman" w:eastAsia="Times New Roman" w:hAnsi="Times New Roman"/>
          <w:sz w:val="16"/>
          <w:szCs w:val="16"/>
          <w:color w:val="auto"/>
        </w:rPr>
      </w:pPr>
    </w:p>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86</w:t>
      </w:r>
    </w:p>
    <w:p>
      <w:pPr>
        <w:spacing w:after="0" w:line="9" w:lineRule="exact"/>
        <w:rPr>
          <w:rFonts w:ascii="Times New Roman" w:cs="Times New Roman" w:eastAsia="Times New Roman" w:hAnsi="Times New Roman"/>
          <w:sz w:val="16"/>
          <w:szCs w:val="16"/>
          <w:color w:val="auto"/>
        </w:rPr>
      </w:pPr>
    </w:p>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60</w:t>
      </w:r>
    </w:p>
    <w:p>
      <w:pPr>
        <w:spacing w:after="0" w:line="9" w:lineRule="exact"/>
        <w:rPr>
          <w:rFonts w:ascii="Times New Roman" w:cs="Times New Roman" w:eastAsia="Times New Roman" w:hAnsi="Times New Roman"/>
          <w:sz w:val="16"/>
          <w:szCs w:val="16"/>
          <w:color w:val="auto"/>
        </w:rPr>
      </w:pPr>
    </w:p>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60</w:t>
      </w:r>
    </w:p>
    <w:p>
      <w:pPr>
        <w:spacing w:after="0" w:line="9" w:lineRule="exact"/>
        <w:rPr>
          <w:rFonts w:ascii="Times New Roman" w:cs="Times New Roman" w:eastAsia="Times New Roman" w:hAnsi="Times New Roman"/>
          <w:sz w:val="16"/>
          <w:szCs w:val="16"/>
          <w:color w:val="auto"/>
        </w:rPr>
      </w:pPr>
    </w:p>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60</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276</w:t>
      </w:r>
    </w:p>
    <w:p>
      <w:pPr>
        <w:spacing w:after="0" w:line="37"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3943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46355</wp:posOffset>
            </wp:positionV>
            <wp:extent cx="3943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63500</wp:posOffset>
            </wp:positionV>
            <wp:extent cx="3943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200" w:space="720"/>
            <w:col w:w="2420"/>
          </w:cols>
          <w:pgMar w:left="240" w:top="125" w:right="319" w:bottom="1440" w:gutter="0" w:footer="0" w:header="0"/>
          <w:type w:val="continuous"/>
        </w:sectPr>
      </w:pP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4—GOODWILL AND INTANGIBLE ASSETS (Continued)</w:t>
      </w:r>
    </w:p>
    <w:p>
      <w:pPr>
        <w:spacing w:after="0" w:line="227" w:lineRule="exact"/>
        <w:rPr>
          <w:sz w:val="20"/>
          <w:szCs w:val="20"/>
          <w:color w:val="auto"/>
        </w:rPr>
      </w:pPr>
    </w:p>
    <w:p>
      <w:pPr>
        <w:ind w:right="36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balance of goodwill, including changes in the carrying amount of goodwill, for the years ended December 31, 2012 and 2011 (in thousands):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2011</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486,720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6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deductions</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2011</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486,720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6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(483,088)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deductions</w:t>
            </w:r>
          </w:p>
        </w:tc>
        <w:tc>
          <w:tcPr>
            <w:tcW w:w="16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2012</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486,720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20" w:type="dxa"/>
            <w:vAlign w:val="bottom"/>
            <w:tcBorders>
              <w:bottom w:val="single" w:sz="8" w:color="auto"/>
            </w:tcBorders>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performed our annual impairment test as of October 1, 2012 but recorded no impairments for 2012.</w:t>
      </w:r>
    </w:p>
    <w:p>
      <w:pPr>
        <w:spacing w:after="0" w:line="225" w:lineRule="exact"/>
        <w:rPr>
          <w:sz w:val="20"/>
          <w:szCs w:val="20"/>
          <w:color w:val="auto"/>
        </w:rPr>
      </w:pPr>
    </w:p>
    <w:p>
      <w:pPr>
        <w:jc w:val="both"/>
        <w:ind w:right="60" w:firstLine="348"/>
        <w:spacing w:after="0" w:line="258" w:lineRule="auto"/>
        <w:rPr>
          <w:sz w:val="20"/>
          <w:szCs w:val="20"/>
          <w:color w:val="auto"/>
        </w:rPr>
      </w:pPr>
      <w:r>
        <w:rPr>
          <w:rFonts w:ascii="Times New Roman" w:cs="Times New Roman" w:eastAsia="Times New Roman" w:hAnsi="Times New Roman"/>
          <w:sz w:val="18"/>
          <w:szCs w:val="18"/>
          <w:color w:val="auto"/>
        </w:rPr>
        <w:t>We performed an interim impairment test in the second quarter of 2011 and our annual test as of October 1, 2011 and recorded impairment charges related to trade names and trademarks of $29.0 million and definite-lived intangible assets of $0.3 million. These impairments resulted from a lower observed market value of our common stock at June 30, 2011 and lower anticipated revenues related to our trade names and trademarks as a result of the anticipated sale of substantially all of the operating assets of LendingTree Loans. No additional impairments were recorded as of October 1, 2011.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5—PROPERTY AND EQUIPMENT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balance of property and equipment, net is as follows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3"/>
              </w:rPr>
              <w:t>December 31, 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2011</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capitalized software</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Projects in progress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826</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(23,294)</w:t>
            </w:r>
          </w:p>
        </w:tc>
        <w:tc>
          <w:tcPr>
            <w:tcW w:w="1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(20,883)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8,375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20" w:type="dxa"/>
            <w:vAlign w:val="bottom"/>
            <w:vMerge w:val="restart"/>
          </w:tcPr>
          <w:p>
            <w:pPr>
              <w:jc w:val="right"/>
              <w:ind w:right="9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5—PROPERTY AND EQUIPMENT (Continued)</w:t>
      </w:r>
    </w:p>
    <w:p>
      <w:pPr>
        <w:spacing w:after="0" w:line="227"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Unamortized capitalized software development costs were $4.8 million and $6.4 million at December 31, 2012 and 2011, respectively. Capitalized software development amortization expense was $3.1 million and $2.7 million for the years ended December 31, 2012 and 2011,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6—ACCRUED EXPENSES AND OTHER CURRENT LIABILITIES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3"/>
              </w:rPr>
              <w:t>December 31, 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2011</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accruals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3,077</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2,659</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 and escrows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r>
      <w:tr>
        <w:trPr>
          <w:trHeight w:val="23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6,881</w:t>
            </w:r>
          </w:p>
        </w:tc>
      </w:tr>
      <w:tr>
        <w:trPr>
          <w:trHeight w:val="21"/>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16,712</w:t>
            </w:r>
          </w:p>
        </w:tc>
      </w:tr>
      <w:tr>
        <w:trPr>
          <w:trHeight w:val="27"/>
        </w:trPr>
        <w:tc>
          <w:tcPr>
            <w:tcW w:w="5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other category above reflects an estimated earnout payable related to an acquisition, franchise taxes, self-insured health claims and other miscellaneous accrued expenses.</w:t>
      </w:r>
    </w:p>
    <w:p>
      <w:pPr>
        <w:spacing w:after="0" w:line="174" w:lineRule="exact"/>
        <w:rPr>
          <w:sz w:val="20"/>
          <w:szCs w:val="20"/>
          <w:color w:val="auto"/>
        </w:rPr>
      </w:pPr>
    </w:p>
    <w:p>
      <w:pPr>
        <w:ind w:right="900" w:firstLine="341"/>
        <w:spacing w:after="0" w:line="275" w:lineRule="auto"/>
        <w:rPr>
          <w:sz w:val="20"/>
          <w:szCs w:val="20"/>
          <w:color w:val="auto"/>
        </w:rPr>
      </w:pPr>
      <w:r>
        <w:rPr>
          <w:rFonts w:ascii="Times New Roman" w:cs="Times New Roman" w:eastAsia="Times New Roman" w:hAnsi="Times New Roman"/>
          <w:sz w:val="18"/>
          <w:szCs w:val="18"/>
          <w:color w:val="auto"/>
        </w:rPr>
        <w:t>An additional $0.5 million and $0.9 million of accrued restructuring liability is classified in other long term liabilities at December 31, 2012 and December 31, 2011,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7—DISCONTINUED OPERATIONS</w:t>
      </w:r>
    </w:p>
    <w:p>
      <w:pPr>
        <w:spacing w:after="0" w:line="227"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color w:val="auto"/>
        </w:rPr>
        <w:t>On March 10, 2011, management made the decision and finalized a plan to close all of the field offices of the proprietary full-service real estate brokerage business known as RealEstate.com, REALTORS®. We exited all markets by March 31, 2011. In September 2011, we sold the remaining assets of RealEstate.com, which consisted primarily of internet domain names and trademarks. Accordingly, these real estate businesses are presented as discontinued operations in the accompanying consolidated balance sheets and consolidated statements of operations and cash flows for all periods presented. No significant future cash flows are anticipated from the disposition of this business.</w:t>
      </w:r>
    </w:p>
    <w:p>
      <w:pPr>
        <w:spacing w:after="0" w:line="19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On May 12, 2011, we entered into an asset purchase agreement that provided for the sale of substantially all of the operating assets of our LendingTree Loans business to Discover. On February 7, 2012, we entered into an amendment to the asset purchase agreement. We completed the sale on June 6, 2012. Discover has participated as a network lender since closing of the transaction. We have evaluated the facts and circumstances of the transaction and the applicable accounting guidance for discontinued operations, and have concluded that the LendingTree Loans business should be reflected as discontinued operations in the accompanying consolidated balance sheets and consolidated statements of operations and cash flows for all periods presented. The continuing cash flows related to this transaction are not significant and, accordingly, are not deemed to be direct cash flows of the divested business.</w:t>
      </w:r>
    </w:p>
    <w:p>
      <w:pPr>
        <w:spacing w:after="0" w:line="193" w:lineRule="exact"/>
        <w:rPr>
          <w:sz w:val="20"/>
          <w:szCs w:val="20"/>
          <w:color w:val="auto"/>
        </w:rPr>
      </w:pPr>
    </w:p>
    <w:p>
      <w:pPr>
        <w:ind w:right="140" w:firstLine="348"/>
        <w:spacing w:after="0" w:line="339" w:lineRule="auto"/>
        <w:rPr>
          <w:sz w:val="20"/>
          <w:szCs w:val="20"/>
          <w:color w:val="auto"/>
        </w:rPr>
      </w:pPr>
      <w:r>
        <w:rPr>
          <w:rFonts w:ascii="Times New Roman" w:cs="Times New Roman" w:eastAsia="Times New Roman" w:hAnsi="Times New Roman"/>
          <w:sz w:val="16"/>
          <w:szCs w:val="16"/>
          <w:color w:val="auto"/>
        </w:rPr>
        <w:t>We have agreed to indemnify Discover for a breach or inaccuracy of any representation, warranty or covenant made by us in the asset purchase agreement, for any liability of ours that was not assumed, for any claims by our stockholders against Discover and for our failure to comply with any applicable</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7—DISCONTINUED OPERATIONS (Continued)</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bulk sales law, subject to certain limitations. Discover has submitted a claim for indemnification relating to our sale prior to the closing of certain loans that were listed in the asset purchase agreement as to be conveyed to Discover at closing. We have evaluated this matter as a potential loss contingency, and have determined that it is probable that a loss could be incurred. We also evaluated a range of potential losses, and a reserve of $1.6 million has been established for this matter, which is reflected as a reduction in gain from sale of discontinued operations and in current liabilities of discontinued operations.</w:t>
      </w:r>
    </w:p>
    <w:p>
      <w:pPr>
        <w:spacing w:after="0" w:line="190"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revenue and net loss for the Real Estate businesses that are reported as discontinued operations for the years ended December 31, 2012 and 2011 were as follows (in thousands):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continue"/>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gridSpan w:val="2"/>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6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(16,804)</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Gain from sale of discontinued operations, net of tax</w:t>
            </w: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loss for the year ended December 31, 2012 includes restructuring expense of $0.2 million.</w:t>
      </w:r>
    </w:p>
    <w:p>
      <w:pPr>
        <w:spacing w:after="0" w:line="225"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Net loss for the year ended December 31, 2011 includes goodwill disposal charges totaling $8.0 million, trademark impairment charges of $4.1 million and restructuring expense totaling $2.6 million.</w:t>
      </w:r>
    </w:p>
    <w:p>
      <w:pPr>
        <w:spacing w:after="0" w:line="174" w:lineRule="exact"/>
        <w:rPr>
          <w:sz w:val="20"/>
          <w:szCs w:val="20"/>
          <w:color w:val="auto"/>
        </w:rPr>
      </w:pPr>
    </w:p>
    <w:p>
      <w:pPr>
        <w:ind w:right="360" w:firstLine="348"/>
        <w:spacing w:after="0" w:line="275" w:lineRule="auto"/>
        <w:rPr>
          <w:sz w:val="20"/>
          <w:szCs w:val="20"/>
          <w:color w:val="auto"/>
        </w:rPr>
      </w:pPr>
      <w:r>
        <w:rPr>
          <w:rFonts w:ascii="Times New Roman" w:cs="Times New Roman" w:eastAsia="Times New Roman" w:hAnsi="Times New Roman"/>
          <w:sz w:val="18"/>
          <w:szCs w:val="18"/>
          <w:color w:val="auto"/>
        </w:rPr>
        <w:t>The revenue and net income (loss) for LendingTree Loans that are reported as discontinued operations for the years ended December 31, 2012 and 2011 were as follows (in thousands):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86,740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117,509</w:t>
            </w:r>
          </w:p>
        </w:tc>
        <w:tc>
          <w:tcPr>
            <w:tcW w:w="0" w:type="dxa"/>
            <w:vAlign w:val="bottom"/>
          </w:tcPr>
          <w:p>
            <w:pPr>
              <w:spacing w:after="0"/>
              <w:rPr>
                <w:sz w:val="1"/>
                <w:szCs w:val="1"/>
                <w:color w:val="auto"/>
              </w:rPr>
            </w:pPr>
          </w:p>
        </w:tc>
      </w:tr>
      <w:tr>
        <w:trPr>
          <w:trHeight w:val="27"/>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continue"/>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gridSpan w:val="2"/>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26,160</w:t>
            </w:r>
          </w:p>
        </w:tc>
        <w:tc>
          <w:tcPr>
            <w:tcW w:w="16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(741)</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Gain from sale of discontinued operations, net of tax</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Net income for year ended December 31, 2012 includes intangible asset impairment charges of $1.4 million and restructuring expense totaling $0.1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for the year ended December 31, 2011 includes restructuring expense totaling $4.0 million.</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7—DISCONTINUED OPERATIONS (Continued)</w:t>
      </w:r>
    </w:p>
    <w:p>
      <w:pPr>
        <w:spacing w:after="0" w:line="227"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The assets and liabilities of Real Estate that are reported as discontinued operations as of December 31, 2012 and December 31, 2011 were as follows (in thousands):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assets (liabilities)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4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348"/>
        <w:spacing w:after="0" w:line="275" w:lineRule="auto"/>
        <w:rPr>
          <w:sz w:val="20"/>
          <w:szCs w:val="20"/>
          <w:color w:val="auto"/>
        </w:rPr>
      </w:pPr>
      <w:r>
        <w:rPr>
          <w:rFonts w:ascii="Times New Roman" w:cs="Times New Roman" w:eastAsia="Times New Roman" w:hAnsi="Times New Roman"/>
          <w:sz w:val="18"/>
          <w:szCs w:val="18"/>
          <w:color w:val="auto"/>
        </w:rPr>
        <w:t>The assets and liabilities of LendingTree Loans that are reported as discontinued operations as of December 31, 2012 and December 31, 2011 were as follows (in thousands):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217,467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232,392</w:t>
            </w:r>
          </w:p>
        </w:tc>
        <w:tc>
          <w:tcPr>
            <w:tcW w:w="0" w:type="dxa"/>
            <w:vAlign w:val="bottom"/>
          </w:tcPr>
          <w:p>
            <w:pPr>
              <w:spacing w:after="0"/>
              <w:rPr>
                <w:sz w:val="1"/>
                <w:szCs w:val="1"/>
                <w:color w:val="auto"/>
              </w:rPr>
            </w:pPr>
          </w:p>
        </w:tc>
      </w:tr>
      <w:tr>
        <w:trPr>
          <w:trHeight w:val="27"/>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10,947</w:t>
            </w:r>
          </w:p>
        </w:tc>
        <w:tc>
          <w:tcPr>
            <w:tcW w:w="0" w:type="dxa"/>
            <w:vAlign w:val="bottom"/>
          </w:tcPr>
          <w:p>
            <w:pPr>
              <w:spacing w:after="0"/>
              <w:rPr>
                <w:sz w:val="1"/>
                <w:szCs w:val="1"/>
                <w:color w:val="auto"/>
              </w:rPr>
            </w:pPr>
          </w:p>
        </w:tc>
      </w:tr>
      <w:tr>
        <w:trPr>
          <w:trHeight w:val="27"/>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197,659</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30,811</w:t>
            </w:r>
          </w:p>
        </w:tc>
        <w:tc>
          <w:tcPr>
            <w:tcW w:w="160" w:type="dxa"/>
            <w:vAlign w:val="bottom"/>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249,328</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7"/>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assets (liabilities)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40" w:type="dxa"/>
            <w:vAlign w:val="bottom"/>
            <w:gridSpan w:val="2"/>
            <w:vMerge w:val="continue"/>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(30,528)</w:t>
            </w:r>
          </w:p>
        </w:tc>
        <w:tc>
          <w:tcPr>
            <w:tcW w:w="16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Assets and Liabilities of LendingTree Loans</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Upon closing of the sale of substantially all of the operating assets of our LendingTree Loans business on June 6, 2012, LendingTree Loans ceased to originate consumer loans. The remaining operations are being wound down. These wind-down activities have included, among other things, selling the balance of loans held for sale to investors, which is substantially complete, paying off and then terminating the warehouse lines of credit, which occurred on July 21, 2012, and settling derivative obligations. Liability for losses on previously sold loans will remain with LendingTree Loans. Below is a discussion of these significant items.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Loans Held for Sale</w:t>
      </w:r>
    </w:p>
    <w:p>
      <w:pPr>
        <w:spacing w:after="0" w:line="229" w:lineRule="exact"/>
        <w:rPr>
          <w:sz w:val="20"/>
          <w:szCs w:val="20"/>
          <w:color w:val="auto"/>
        </w:rPr>
      </w:pPr>
    </w:p>
    <w:p>
      <w:pPr>
        <w:ind w:right="580" w:firstLine="351"/>
        <w:spacing w:after="0" w:line="275" w:lineRule="auto"/>
        <w:rPr>
          <w:sz w:val="20"/>
          <w:szCs w:val="20"/>
          <w:color w:val="auto"/>
        </w:rPr>
      </w:pPr>
      <w:r>
        <w:rPr>
          <w:rFonts w:ascii="Times New Roman" w:cs="Times New Roman" w:eastAsia="Times New Roman" w:hAnsi="Times New Roman"/>
          <w:sz w:val="18"/>
          <w:szCs w:val="18"/>
          <w:color w:val="auto"/>
        </w:rPr>
        <w:t>LendingTree Loans originated all of its residential real estate loans with the intent to sell them in the secondary market. Loans held for sale consisted primarily of residential first mortgage loans that were secured by residential real estate throughout the United States.</w:t>
      </w:r>
    </w:p>
    <w:p>
      <w:pPr>
        <w:spacing w:after="0" w:line="174" w:lineRule="exact"/>
        <w:rPr>
          <w:sz w:val="20"/>
          <w:szCs w:val="20"/>
          <w:color w:val="auto"/>
        </w:rPr>
      </w:pPr>
    </w:p>
    <w:p>
      <w:pPr>
        <w:ind w:right="260" w:firstLine="351"/>
        <w:spacing w:after="0" w:line="262" w:lineRule="auto"/>
        <w:rPr>
          <w:sz w:val="20"/>
          <w:szCs w:val="20"/>
          <w:color w:val="auto"/>
        </w:rPr>
      </w:pPr>
      <w:r>
        <w:rPr>
          <w:rFonts w:ascii="Times New Roman" w:cs="Times New Roman" w:eastAsia="Times New Roman" w:hAnsi="Times New Roman"/>
          <w:sz w:val="18"/>
          <w:szCs w:val="18"/>
          <w:color w:val="auto"/>
        </w:rPr>
        <w:t>Loans held for sale were recorded at fair value, with the exception of any loans that had been repurchased from investors or loans originated prior to January 1, 2008 on which we did not elect the fair value option. The fair value of loans held for sale was determined using current secondary market prices for loans with similar coupons, maturities and credit quality.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7—DISCONTINUED OPERATIONS (Continued)</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Interest on mortgage loans held for sale was recognized as earned and was only accrued if deemed collectible. Interest was generally deemed uncollectible when a loan became three months or more delinquent or when a loan had a defect affecting its salability. Delinquency was calculated based on the contractual due date of the loan. Loans were written off when deemed uncollectible.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represents the loans held for sale by type of loan as of December 31, 2011 ($ amounts in thousands):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$171,375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FHA and Alt-A</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Jumbo</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4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217,467</w:t>
            </w:r>
          </w:p>
        </w:tc>
        <w:tc>
          <w:tcPr>
            <w:tcW w:w="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following presents the difference between the aggregate principal balance of loans on nonaccrual status for which the fair value option has been elected and for loans measured at lower of cost or market valuation as of December 31, 2012 and December 31, 2011 (in thousands):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2012</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Loans on</w:t>
            </w:r>
          </w:p>
        </w:tc>
        <w:tc>
          <w:tcPr>
            <w:tcW w:w="120" w:type="dxa"/>
            <w:vAlign w:val="bottom"/>
          </w:tcPr>
          <w:p>
            <w:pPr>
              <w:spacing w:after="0"/>
              <w:rPr>
                <w:sz w:val="10"/>
                <w:szCs w:val="10"/>
                <w:color w:val="auto"/>
              </w:rPr>
            </w:pPr>
          </w:p>
        </w:tc>
        <w:tc>
          <w:tcPr>
            <w:tcW w:w="102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Loans on</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452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Nonaccrual—</w:t>
            </w:r>
          </w:p>
        </w:tc>
        <w:tc>
          <w:tcPr>
            <w:tcW w:w="11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Measured at</w:t>
            </w:r>
          </w:p>
        </w:tc>
        <w:tc>
          <w:tcPr>
            <w:tcW w:w="12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Total Loans on</w:t>
            </w:r>
          </w:p>
        </w:tc>
      </w:tr>
      <w:tr>
        <w:trPr>
          <w:trHeight w:val="165"/>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5"/>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Nonaccrual</w:t>
            </w:r>
          </w:p>
        </w:tc>
        <w:tc>
          <w:tcPr>
            <w:tcW w:w="16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w:t>
            </w:r>
          </w:p>
        </w:tc>
      </w:tr>
      <w:tr>
        <w:trPr>
          <w:trHeight w:val="202"/>
        </w:trPr>
        <w:tc>
          <w:tcPr>
            <w:tcW w:w="4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Difference between fair value and aggregate unpaid principal</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9"/>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on nonaccrual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2011</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Loans on</w:t>
            </w:r>
          </w:p>
        </w:tc>
        <w:tc>
          <w:tcPr>
            <w:tcW w:w="120" w:type="dxa"/>
            <w:vAlign w:val="bottom"/>
          </w:tcPr>
          <w:p>
            <w:pPr>
              <w:spacing w:after="0"/>
              <w:rPr>
                <w:sz w:val="10"/>
                <w:szCs w:val="10"/>
                <w:color w:val="auto"/>
              </w:rPr>
            </w:pPr>
          </w:p>
        </w:tc>
        <w:tc>
          <w:tcPr>
            <w:tcW w:w="102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Loans on</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452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Nonaccrual—</w:t>
            </w:r>
          </w:p>
        </w:tc>
        <w:tc>
          <w:tcPr>
            <w:tcW w:w="11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Measured at</w:t>
            </w:r>
          </w:p>
        </w:tc>
        <w:tc>
          <w:tcPr>
            <w:tcW w:w="12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Total Loans on</w:t>
            </w:r>
          </w:p>
        </w:tc>
      </w:tr>
      <w:tr>
        <w:trPr>
          <w:trHeight w:val="165"/>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5"/>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Nonaccrual</w:t>
            </w:r>
          </w:p>
        </w:tc>
        <w:tc>
          <w:tcPr>
            <w:tcW w:w="16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w:t>
            </w:r>
          </w:p>
        </w:tc>
      </w:tr>
      <w:tr>
        <w:trPr>
          <w:trHeight w:val="202"/>
        </w:trPr>
        <w:tc>
          <w:tcPr>
            <w:tcW w:w="4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Difference between fair value and aggregate unpaid principal</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9"/>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on nonaccrual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51"/>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2012, LendingTree Loans repurchased two loans with a total unpaid principal balance of $0.7 million. During the year ended December 31, 2011, LendingTree Loans did not repurchase any loans, but sold fifteen loans on nonaccrual status for $1.2 million, which approximated the net book value.</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 financial instrument's categorization within the fair value hierarchy is based upon the lowest level of input that is significant to the fair value measurement.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in and out of Level 1, 2 or 3 are recorded at fair value at the beginning of the reporting period.</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7—DISCONTINUED OPERATIONS (Continued)</w:t>
      </w:r>
    </w:p>
    <w:p>
      <w:pPr>
        <w:spacing w:after="0" w:line="227"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Following is a description of valuation methodologies used for instruments measured at fair value, as well as the general classification of such instruments pursuant to the fair value hierarchy.</w:t>
      </w:r>
    </w:p>
    <w:p>
      <w:pPr>
        <w:spacing w:after="0" w:line="174" w:lineRule="exact"/>
        <w:rPr>
          <w:sz w:val="20"/>
          <w:szCs w:val="20"/>
          <w:color w:val="auto"/>
        </w:rPr>
      </w:pPr>
    </w:p>
    <w:p>
      <w:pPr>
        <w:ind w:right="40" w:firstLine="351"/>
        <w:spacing w:after="0" w:line="251" w:lineRule="auto"/>
        <w:rPr>
          <w:sz w:val="20"/>
          <w:szCs w:val="20"/>
          <w:color w:val="auto"/>
        </w:rPr>
      </w:pPr>
      <w:r>
        <w:rPr>
          <w:rFonts w:ascii="Times New Roman" w:cs="Times New Roman" w:eastAsia="Times New Roman" w:hAnsi="Times New Roman"/>
          <w:sz w:val="18"/>
          <w:szCs w:val="18"/>
          <w:color w:val="auto"/>
        </w:rPr>
        <w:t>LendingTree Loans entered into commitments with consumers to originate loans at specified interest rates (interest rate lock commitments—"IRLCs"). We reported IRLCs as derivative instruments at fair value, with changes in fair value being recorded in discontinued operations. IRLCs for loans to be sold to investors using a mandatory or assignment of trade ("AOT") method were hedged using "to be announced mortgage-backed securities" ("TBA MBS") and were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included, but were not limited to, loan type, underlying loan amount, note rate, loan program and expected sale date of the loan. IRLCs for loans sold to investors on a best-efforts basis were hedged using best-efforts forward delivery commitments and were valued on an individual loan basis using a proprietary database program prior to January 1, 2012. These valuations were based on investor pricing tables stratified by product, note rate and term. The valuations were adjusted at the loan level to consider the servicing-release premium and loan pricing adjustments specific to each loan. Effective January 1, 2012, LendingTree Loans began valuing IRLCs for loans sold to investors on a best-efforts basis using quantitative risk models on a loan level basis. The decision to modify the valuation calculation for IRLCs for loans sold on a best-efforts basis evolved from a desire to achieve principally two goals: 1) to include this portion of the IRLCs into the main operating system we used for fair value (known as QRM), allowing us to improve our estimate of loan funding probability and 2) to include elements of the all-in fair value that we could not previously calculate in the previous models. The most significant data inputs used in the valuation of these IRLCs included, but were not limited to, investor pricing tables stratified by product, note rate and term, adjusted for current market conditions. These valuations were adjusted at the loan level to consider the servicing-release premium and loan pricing adjustments specific to each loan. LendingTree Loans applied an anticipated loan funding probability based on its own experience to value IRLCs, which resulted in the classification of these derivatives as Level 3. The value of the underlying loans and the anticipated loan funding probability were the most significant assumptions affecting the valuation of IRLCs. A significant change in the unobservable inputs could have resulted in a significant change in the ending fair value measurement. At December 31, 2012, there were no IRLCs outstanding. At December 31 2011, there were $363.8 million of IRLCs notional value outstanding.</w:t>
      </w:r>
    </w:p>
    <w:p>
      <w:pPr>
        <w:spacing w:after="0" w:line="209"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Loans held for sale measured at fair value and sold to investors using a mandatory or AOT method were also hedged using TBA MBS and valued using quantitative risk models. The valuation was based on the loan amount, note rate, loan program and expected sale date of the loan. Loans held for sale measured at fair value and sold to investors on a best-efforts basis were hedged using best-efforts forward delivery commitments and were valued using a proprietary database program prior to January 1, 2012. The best-efforts valuations prior to that date were based on daily investor pricing tables stratified by product, note rate and term. These valuations were adjusted at the loan level to consider the servicing-release premium and loan pricing adjustments specific to each loan. Effective January 1, 2012, LendingTree Loans began valuing the loans held for sale and sold to investors on a best-efforts basis using quantitative risk models. The most significant data inputs used in the valuation of these loans included investor pricing tables stratified by product, note rate and term, adjusted for current market conditions. Loans held for sale, excluding impaired loans, were classified as Level 2. Loans held for sale measured at fair value that become impaired were transferred from Level 2 to Level 3, as the estimate of fair value was based on LendingTree Loans' experience considering lien</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7—DISCONTINUED OPERATIONS (Continued)</w:t>
      </w:r>
    </w:p>
    <w:p>
      <w:pPr>
        <w:spacing w:after="0" w:line="227"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position and current status of the loan. A significant change in the unobservable inputs could have resulted in a significant change in the ending fair value measurement. LendingTree Loans recognized interest income separately from other changes in fair value.</w:t>
      </w:r>
    </w:p>
    <w:p>
      <w:pPr>
        <w:spacing w:after="0" w:line="174"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Under LendingTree Loans' risk management policy, LendingTree Loans economically hedged the changes in fair value of IRLCs and loans held for sale caused by changes in interest rates by using TBA MBS and entering into best-efforts forward delivery commitments. These hedging instruments were recorded at fair value with changes in fair value recorded in current earnings as a component of revenue from the origination and sale of loans. TBA MBS used to hedge both IRLCs and loans were valued using quantitative risk models based primarily on inputs related to characteristics of the MBS stratified by product, coupon and settlement date. These derivatives were classified as Level 2. Prior to January 1, 2012, best-efforts forward delivery commitments were valued using a proprietary database program using investor pricing tables considering the current base loan price. Effective January 1, 2012, best-efforts forward delivery commitments were valued using quantitative risk models based on investor pricing tables stratified by product, note rate and term, adjusted for current market conditions. An anticipated loan funding probability was applied to value best-efforts commitments hedging IRLCs, which resulted in the classification of these contracts as Level 3. The current base loan price and the anticipated loan funding probability were the most significant assumptions affecting the value of the best-efforts commitments. A significant change in the unobservable inputs could have resulted in a significant change in the ending fair value measurement. The best-efforts forward delivery commitments hedging loans held for sale were classified as Level 2, so such contracts were transferred from Level 3 to Level 2 at the time the underlying loan was originated. For the purposes of the tables below, we refer to TBA MBS and best-efforts forward delivery commitments collectively as "Forward Delivery Contracts".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presents our assets and liabilities that are measured at fair value on a recurring basis at December 31, 2011 (in thousands):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As of December 31, 2011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10"/>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Quoted Market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w w:val="94"/>
              </w:rPr>
              <w:t>Identical</w:t>
            </w:r>
          </w:p>
        </w:tc>
        <w:tc>
          <w:tcPr>
            <w:tcW w:w="16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60" w:type="dxa"/>
            <w:vAlign w:val="bottom"/>
          </w:tcPr>
          <w:p>
            <w:pPr>
              <w:spacing w:after="0"/>
              <w:rPr>
                <w:sz w:val="12"/>
                <w:szCs w:val="12"/>
                <w:color w:val="auto"/>
              </w:rPr>
            </w:pPr>
          </w:p>
        </w:tc>
        <w:tc>
          <w:tcPr>
            <w:tcW w:w="240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3"/>
              </w:rPr>
              <w:t>Measurements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980" w:type="dxa"/>
            <w:vAlign w:val="bottom"/>
            <w:gridSpan w:val="3"/>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217,172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217,467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lock commitments ("IRLCs")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delivery contracts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6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213,065</w:t>
            </w:r>
          </w:p>
        </w:tc>
        <w:tc>
          <w:tcPr>
            <w:tcW w:w="1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222,501</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65</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7—DISCONTINUED OPERATIONS (Continued)</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following presents the changes in our assets and liabilities that are measured at fair value on a recurring basis using significant unobservable inputs (Level 3) for the years ended December 31, 2012 and 2011 (in thousands):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jc w:val="right"/>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Interest Rate Lock</w:t>
            </w:r>
          </w:p>
        </w:tc>
        <w:tc>
          <w:tcPr>
            <w:tcW w:w="1340" w:type="dxa"/>
            <w:vAlign w:val="bottom"/>
            <w:gridSpan w:val="3"/>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Forward Delivery</w:t>
            </w:r>
          </w:p>
        </w:tc>
        <w:tc>
          <w:tcPr>
            <w:tcW w:w="84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Loans Held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for 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into Level 3</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420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Total net gains (losses) included in earnings (realized</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unrealized)</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(3,401)</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(73,459)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2011</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jc w:val="right"/>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Interest Rate Lock</w:t>
            </w:r>
          </w:p>
        </w:tc>
        <w:tc>
          <w:tcPr>
            <w:tcW w:w="1340" w:type="dxa"/>
            <w:vAlign w:val="bottom"/>
            <w:gridSpan w:val="3"/>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Forward Delivery</w:t>
            </w:r>
          </w:p>
        </w:tc>
        <w:tc>
          <w:tcPr>
            <w:tcW w:w="84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Loans Held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for 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Transfers into Level 3</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420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color w:val="auto"/>
              </w:rPr>
              <w:t>Total net gains (losses) included in earnings (realized</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and unrealized)</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114,889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7"/>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Purchases(a)</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(11,977)</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(100,746)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2011</w:t>
            </w: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00" w:type="dxa"/>
            <w:vAlign w:val="bottom"/>
            <w:gridSpan w:val="2"/>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1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20" w:right="3400" w:hanging="3900"/>
        <w:spacing w:after="0" w:line="525" w:lineRule="auto"/>
        <w:tabs>
          <w:tab w:leader="none" w:pos="2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in conjunction with the acquisition of certain assets of SurePoint.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7—DISCONTINUED OPERATIONS (Continued)</w:t>
      </w:r>
    </w:p>
    <w:p>
      <w:pPr>
        <w:spacing w:after="0" w:line="227"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following presents the gains (losses) included in earnings for the years ended December 31, 2012 and 2011 relating to our assets and liabilities that are measured at fair value on a recurring basis using significant unobservable inputs (Level 3) (in thousands):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 2012</w:t>
            </w:r>
          </w:p>
        </w:tc>
        <w:tc>
          <w:tcPr>
            <w:tcW w:w="100" w:type="dxa"/>
            <w:vAlign w:val="bottom"/>
          </w:tcPr>
          <w:p>
            <w:pPr>
              <w:spacing w:after="0"/>
              <w:rPr>
                <w:sz w:val="14"/>
                <w:szCs w:val="14"/>
                <w:color w:val="auto"/>
              </w:rPr>
            </w:pPr>
          </w:p>
        </w:tc>
        <w:tc>
          <w:tcPr>
            <w:tcW w:w="2720" w:type="dxa"/>
            <w:vAlign w:val="bottom"/>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 2011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24"/>
              <w:spacing w:after="0" w:line="125" w:lineRule="exact"/>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22"/>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Forward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42"/>
              <w:spacing w:after="0" w:line="125"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22"/>
              <w:spacing w:after="0" w:line="125" w:lineRule="exact"/>
              <w:rPr>
                <w:sz w:val="20"/>
                <w:szCs w:val="20"/>
                <w:color w:val="auto"/>
              </w:rPr>
            </w:pPr>
            <w:r>
              <w:rPr>
                <w:rFonts w:ascii="Times New Roman" w:cs="Times New Roman" w:eastAsia="Times New Roman" w:hAnsi="Times New Roman"/>
                <w:sz w:val="14"/>
                <w:szCs w:val="14"/>
                <w:b w:val="1"/>
                <w:bCs w:val="1"/>
                <w:color w:val="auto"/>
                <w:w w:val="98"/>
              </w:rPr>
              <w:t>Forward</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42"/>
              <w:spacing w:after="0" w:line="125"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Delivery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Held</w:t>
            </w:r>
          </w:p>
        </w:tc>
        <w:tc>
          <w:tcPr>
            <w:tcW w:w="10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w w:val="92"/>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4"/>
              </w:rPr>
              <w:t>Delivery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Held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Commitments</w:t>
            </w: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Contracts</w:t>
            </w:r>
          </w:p>
        </w:tc>
        <w:tc>
          <w:tcPr>
            <w:tcW w:w="1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for Sale</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Commitments</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Contracts</w:t>
            </w:r>
          </w:p>
        </w:tc>
        <w:tc>
          <w:tcPr>
            <w:tcW w:w="16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for Sale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net gains (losses) included in earnings,</w:t>
            </w: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which are included in discontinued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114,889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 in unrealized gains (losses) relating to</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 and liabilities still held at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2012 and 2011, which are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included in discontinued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derivative instruments not designated as hedging instruments as of December 31, 2011 (in thousands):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4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December 31, 2011</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34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Balance Sheet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Current assets of discontinued operations</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Forward Delivery Contracts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Current assets of discontinued operations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Current liabilities of discontinued operations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Forward Delivery Contracts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Current liabilities of discontinued operations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w:t>
            </w:r>
          </w:p>
        </w:tc>
        <w:tc>
          <w:tcPr>
            <w:tcW w:w="3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gain (loss) recognized in the consolidated statements of operations for derivatives for the periods ended December 31, 2012 and 2011 was as follows (in thousands):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Location of Gain (Loss) Recognized in Income on Derivative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Discontinued operations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114,889</w:t>
            </w:r>
          </w:p>
        </w:tc>
        <w:tc>
          <w:tcPr>
            <w:tcW w:w="1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Forward Delivery Contracts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Discontinued operations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(4,938)</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77,622</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109,951</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under the fair value option</w:t>
      </w:r>
    </w:p>
    <w:p>
      <w:pPr>
        <w:spacing w:after="0" w:line="227"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LendingTree Loans elected to account for loans held for sale originated on or after January 1, 2008 at fair value. Electing the fair value option allowed a better offset of the changes in fair values of the loans and the forward delivery contracts used to economically hedge them, without the burden of complying with the requirements for hedge accounting.</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7—DISCONTINUED OPERATIONS (Continued)</w:t>
      </w:r>
    </w:p>
    <w:p>
      <w:pPr>
        <w:spacing w:after="0" w:line="227" w:lineRule="exact"/>
        <w:rPr>
          <w:sz w:val="20"/>
          <w:szCs w:val="20"/>
          <w:color w:val="auto"/>
        </w:rPr>
      </w:pPr>
    </w:p>
    <w:p>
      <w:pPr>
        <w:ind w:right="360" w:firstLine="351"/>
        <w:spacing w:after="0" w:line="262" w:lineRule="auto"/>
        <w:rPr>
          <w:sz w:val="20"/>
          <w:szCs w:val="20"/>
          <w:color w:val="auto"/>
        </w:rPr>
      </w:pPr>
      <w:r>
        <w:rPr>
          <w:rFonts w:ascii="Times New Roman" w:cs="Times New Roman" w:eastAsia="Times New Roman" w:hAnsi="Times New Roman"/>
          <w:sz w:val="18"/>
          <w:szCs w:val="18"/>
          <w:color w:val="auto"/>
        </w:rPr>
        <w:t>LendingTree Loans did not elect the fair value option on loans held for sale originated prior to January 1, 2008 and on loans that were repurchased from investors on or subsequent to that date. As of December 31, 2012 and 2011, there were no loans held for sale or carried at the lower of cost or market ("LOCOM") value assessed on an individual loan basis.</w:t>
      </w:r>
    </w:p>
    <w:p>
      <w:pPr>
        <w:spacing w:after="0" w:line="186"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following presents the difference between the aggregate principal balance of loans held for sale for which the fair value option has been elected and for loans measured at LOCOM, as of December 31, 2012 and 2011 (in thousands):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2012</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4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Loans Held</w:t>
            </w:r>
          </w:p>
        </w:tc>
        <w:tc>
          <w:tcPr>
            <w:tcW w:w="100" w:type="dxa"/>
            <w:vAlign w:val="bottom"/>
          </w:tcPr>
          <w:p>
            <w:pPr>
              <w:spacing w:after="0"/>
              <w:rPr>
                <w:sz w:val="10"/>
                <w:szCs w:val="10"/>
                <w:color w:val="auto"/>
              </w:rPr>
            </w:pPr>
          </w:p>
        </w:tc>
        <w:tc>
          <w:tcPr>
            <w:tcW w:w="96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Loans Held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Sale—</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Sale—</w:t>
            </w:r>
          </w:p>
        </w:tc>
        <w:tc>
          <w:tcPr>
            <w:tcW w:w="14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49"/>
        </w:trPr>
        <w:tc>
          <w:tcPr>
            <w:tcW w:w="486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Measured at</w:t>
            </w:r>
          </w:p>
        </w:tc>
        <w:tc>
          <w:tcPr>
            <w:tcW w:w="10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Measured at</w:t>
            </w: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Loans Held</w:t>
            </w:r>
          </w:p>
        </w:tc>
      </w:tr>
      <w:tr>
        <w:trPr>
          <w:trHeight w:val="165"/>
        </w:trPr>
        <w:tc>
          <w:tcPr>
            <w:tcW w:w="4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For Sale</w:t>
            </w:r>
          </w:p>
        </w:tc>
        <w:tc>
          <w:tcPr>
            <w:tcW w:w="160" w:type="dxa"/>
            <w:vAlign w:val="bottom"/>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w:t>
            </w:r>
          </w:p>
        </w:tc>
      </w:tr>
      <w:tr>
        <w:trPr>
          <w:trHeight w:val="202"/>
        </w:trPr>
        <w:tc>
          <w:tcPr>
            <w:tcW w:w="48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Difference between fair value and aggregate unpaid principal</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9"/>
        </w:trPr>
        <w:tc>
          <w:tcPr>
            <w:tcW w:w="4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4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24"/>
              <w:spacing w:after="0" w:line="125" w:lineRule="exact"/>
              <w:rPr>
                <w:sz w:val="20"/>
                <w:szCs w:val="20"/>
                <w:color w:val="auto"/>
              </w:rPr>
            </w:pPr>
            <w:r>
              <w:rPr>
                <w:rFonts w:ascii="Times New Roman" w:cs="Times New Roman" w:eastAsia="Times New Roman" w:hAnsi="Times New Roman"/>
                <w:sz w:val="14"/>
                <w:szCs w:val="14"/>
                <w:b w:val="1"/>
                <w:bCs w:val="1"/>
                <w:color w:val="auto"/>
                <w:w w:val="95"/>
              </w:rPr>
              <w:t>Loans Held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Loans Held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Sale—</w:t>
            </w:r>
          </w:p>
        </w:tc>
        <w:tc>
          <w:tcPr>
            <w:tcW w:w="14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49"/>
        </w:trPr>
        <w:tc>
          <w:tcPr>
            <w:tcW w:w="48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Measured at</w:t>
            </w:r>
          </w:p>
        </w:tc>
        <w:tc>
          <w:tcPr>
            <w:tcW w:w="16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Measured at</w:t>
            </w: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Loans Held</w:t>
            </w:r>
          </w:p>
        </w:tc>
      </w:tr>
      <w:tr>
        <w:trPr>
          <w:trHeight w:val="165"/>
        </w:trPr>
        <w:tc>
          <w:tcPr>
            <w:tcW w:w="4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For Sale</w:t>
            </w:r>
          </w:p>
        </w:tc>
        <w:tc>
          <w:tcPr>
            <w:tcW w:w="160" w:type="dxa"/>
            <w:vAlign w:val="bottom"/>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208,918</w:t>
            </w:r>
          </w:p>
        </w:tc>
      </w:tr>
      <w:tr>
        <w:trPr>
          <w:trHeight w:val="202"/>
        </w:trPr>
        <w:tc>
          <w:tcPr>
            <w:tcW w:w="48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Difference between fair value and aggregate unpaid principal</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8,549</w:t>
            </w:r>
          </w:p>
        </w:tc>
      </w:tr>
      <w:tr>
        <w:trPr>
          <w:trHeight w:val="29"/>
        </w:trPr>
        <w:tc>
          <w:tcPr>
            <w:tcW w:w="4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217,467</w:t>
            </w:r>
          </w:p>
        </w:tc>
      </w:tr>
      <w:tr>
        <w:trPr>
          <w:trHeight w:val="27"/>
        </w:trPr>
        <w:tc>
          <w:tcPr>
            <w:tcW w:w="4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During the years ended December 31, 2012 and 2011, the change in fair value of loans held for sale for which the fair value option was elected was a gain of $2.7 million and $4.7 million, respectively, and is included in discontinued operations in the accompanying consolidated statements of operations.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Loan Loss Obligations</w:t>
      </w:r>
    </w:p>
    <w:p>
      <w:pPr>
        <w:spacing w:after="0" w:line="22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195"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Our HLC subsidiary continues to be liable for these indemnification obligations, repurchase obligations and premium repayment obligations following the sale of substantially all of the operating</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7—DISCONTINUED OPERATIONS (Continued)</w:t>
      </w:r>
    </w:p>
    <w:p>
      <w:pPr>
        <w:spacing w:after="0" w:line="22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assets of our LendingTree Loans business in the second quarter of 2012. Approximately $17.1 million of the purchase price paid at closing is being held in escrow pending resolution of certain of these contingent liabilities. We have been negotiating with certain secondary market purchasers to settle any existing and future contingent liabilities, but we may not be able to complete such negotiations on acceptable terms, or at all.</w:t>
      </w:r>
    </w:p>
    <w:p>
      <w:pPr>
        <w:spacing w:after="0" w:line="186" w:lineRule="exact"/>
        <w:rPr>
          <w:sz w:val="20"/>
          <w:szCs w:val="20"/>
          <w:color w:val="auto"/>
        </w:rPr>
      </w:pPr>
    </w:p>
    <w:p>
      <w:pPr>
        <w:jc w:val="both"/>
        <w:ind w:right="200" w:firstLine="348"/>
        <w:spacing w:after="0" w:line="287" w:lineRule="auto"/>
        <w:rPr>
          <w:sz w:val="20"/>
          <w:szCs w:val="20"/>
          <w:color w:val="auto"/>
        </w:rPr>
      </w:pPr>
      <w:r>
        <w:rPr>
          <w:rFonts w:ascii="Times New Roman" w:cs="Times New Roman" w:eastAsia="Times New Roman" w:hAnsi="Times New Roman"/>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market-based premium. Because LendingTree Loans does not service the loans it sold, it does not maintain nor generally have access to the current balances and loan performance data with respect to the individual loans previously sold to investors.</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Accordingly, LendingTree Loans is unable to determine, with precision, its maximum exposure for breaches of the representations and warranties it makes to the investors that purchased such loans.</w:t>
      </w:r>
    </w:p>
    <w:p>
      <w:pPr>
        <w:spacing w:after="0" w:line="186"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During the third quarter of 2012, in order to reflect our exit from the mortgage loan origination business in the second quarter of 2012 and our current commercial objective to pursue bulk settlements with investors, management revised the estimation process for evaluating the adequacy of the reserve for loan losses. The revised methodology, which is described below, was effective as of September 30, 2012, and resulted in a $6.5 million reduction to the loss reserve on previously sold loans.</w:t>
      </w:r>
    </w:p>
    <w:p>
      <w:pPr>
        <w:spacing w:after="0" w:line="190"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Prior to the third quarter of 2012, in estimating our exposure to losses on loans previously sold, LendingTree Loans used a model that considered the original loan balance (before it was sold to an investor), historical and projected loss frequency and loss severity ratios by loan type, as well as analyses of losses in process. Subsequent adjustments to the obligation, if any, are made once further losses are determined to be both probable and estimable. Further, LendingTree Loans segmented its loan sales into four segments, based on the extent of the documentation provided by the borrower to substantiate their income and/or assets (full or limited documentation) and the lien position of the mortgage in the underlying property (first or second position). Each of these segments typically has a different loss experience, with full documentation, first lien position loans generally having the lowest loss ratios, and limited documentation, second lien position loans generally having the highest loss ratios.</w:t>
      </w:r>
    </w:p>
    <w:p>
      <w:pPr>
        <w:spacing w:after="0" w:line="195"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revised methodology uses the model described above, but also incorporates into the estimation process (a) recent bulk settlements entered into by certain of our investors with governmental agencies and other counterparties, as applied to the attributes of the loans sold by LendingTree Loans and currently held by investors and (b) our own recent investor bulk settlement experience. The historical model described above was weighted 50% in the revised analysis, and each of the other factors were weighted 25% to estimate the range of remaining loan losses, which was determined to be $18 million to $34 million at December 31, 2012. The reserve balance recorded as of December 31, 2012 was $27.2 million. Management has considered both objective and subjective factors in the estimation process, but given current general industry trends in mortgage loans as well as housing prices, market expectations and actual losses related to LendingTree Loans' obligations could vary significantly from the obligation recorded as of the balance sheet date or the range estimated above.</w:t>
      </w:r>
    </w:p>
    <w:p>
      <w:pPr>
        <w:spacing w:after="0" w:line="195" w:lineRule="exact"/>
        <w:rPr>
          <w:sz w:val="20"/>
          <w:szCs w:val="20"/>
          <w:color w:val="auto"/>
        </w:rPr>
      </w:pPr>
    </w:p>
    <w:p>
      <w:pPr>
        <w:ind w:right="100" w:firstLine="341"/>
        <w:spacing w:after="0" w:line="262" w:lineRule="auto"/>
        <w:rPr>
          <w:sz w:val="20"/>
          <w:szCs w:val="20"/>
          <w:color w:val="auto"/>
        </w:rPr>
      </w:pPr>
      <w:r>
        <w:rPr>
          <w:rFonts w:ascii="Times New Roman" w:cs="Times New Roman" w:eastAsia="Times New Roman" w:hAnsi="Times New Roman"/>
          <w:sz w:val="18"/>
          <w:szCs w:val="18"/>
          <w:color w:val="auto"/>
        </w:rPr>
        <w:t>Additionally, Tree.com has guaranteed certain loans sold to two investors in the event that LendingTree Loans is unable to satisfy its repurchase and warranty obligations related to such loans. The original principal balance of the loans sold to one of these investors is approximately $1.8 billion and $1.5 billion as of December 31, 2012 and 2011, respectively. The unpaid principal balance of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7—DISCONTINUED OPERATIONS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sold to the second investor is approximately $279.6 million and $32.4 million as of December 31, 2012 and 2011, respectively.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represents the loans sold for the period shown and the aggregate loan losses through December 31, 2012:</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December 31, 2012</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Original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principal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balance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principal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loans 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loans with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aggregate</w:t>
            </w:r>
          </w:p>
        </w:tc>
      </w:tr>
      <w:tr>
        <w:trPr>
          <w:trHeight w:val="165"/>
        </w:trPr>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Period of Loan Sales</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loans sold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5"/>
              </w:rPr>
              <w:t>balance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losses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losses</w:t>
            </w: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 millions)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4"/>
              </w:rPr>
              <w:t>(in millions)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2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2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2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2005 and prior years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pipeline increased from 289 requests at December 31, 2011 to 398 requests at December 31, 2012 for loan repurchases and indemnifications which were considered in determining the appropriate reserve amount. The status of these loans varied from an initial review stage, which may result in a rescission of the request, to in-process, where the probability of incurring a loss is high, to indemnification, whereby LendingTree Loans has agreed to reimburse the purchaser of that loan if and when losses are incurred. The indemnification obligation may have a specific term, thereby limiting the exposure to LendingTree Loans. The original principal amount of these loans is approximately $78.1 million, comprised of approximately 72% full documentation first liens, 2% full documentation second liens, 23% limited documentation first liens and 3% limited documentation second liens.</w:t>
      </w:r>
    </w:p>
    <w:p>
      <w:pPr>
        <w:spacing w:after="0" w:line="193"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In the fourth quarter of 2009, LendingTree Loans entered into settlement negotiations with two buyers of previously purchased limited documentation loans. The settlement with one buyer was completed in December 2009 and included a payment of $1.9 million related to all second lien loans sold to this buyer, including both full and limited documentation. The settlement was included as a charge-off to the reserve in 2009. Negotiations with the second buyer were completed in January 2010. This settlement of $4.5 million, which was paid in four equal quarterly installments in 2010, related to all then existing and future losses on limited documentation second lien loans sold to this buyer. LendingTree Loans was also required to pay an additional amount of up to $0.3 million in conjunction with this settlement, since it did not sell a certain volume of loans to this buyer in 2010. The entire $4.8 million is included in the total settlement amount and was included as a charge-off to the reserve in 2010. The $0.3 million additional liability was recorded as a separate liability from the loss reserve at December 31, 2011, and was paid in January 2012. In the second quarter of 2012, LendingTree Loans completed settlements with a third and fourth buyer of previously purchased loans. These settlements of $0.5 million and $3.3 million, respectively, relate to all existing and substantially all future losses on loans sold to these buyers. The settlement amounts were included as charge-offs to the reserve in the</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7—DISCONTINUED OPERATIONS (Continued)</w:t>
      </w:r>
    </w:p>
    <w:p>
      <w:pPr>
        <w:spacing w:after="0" w:line="22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second quarter of 2012. The settlement amounts for all four of these settlements were not determined on an individual loan basis and are, therefore, not included in the loss amounts disclosed above for the years such loans were sold.</w:t>
      </w:r>
    </w:p>
    <w:p>
      <w:pPr>
        <w:spacing w:after="0" w:line="174"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In December 2011, LendingTree Loans agreed to a $1.2 million settlement related to specific loans, which was included as a charge-off to the reserve in 2011 and is included in the table above. This $1.2 million settlement was recorded as a liability separate from the loss reserve at December 31, 2011, and was paid in January 2012.</w:t>
      </w:r>
    </w:p>
    <w:p>
      <w:pPr>
        <w:spacing w:after="0" w:line="186"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Based on historical experience, it is anticipated that LendingTree Loans will continue to receive repurchase requests and incur losses on loans sold in prior years. However, the four settlements discussed above will substantially eliminate future repurchase requests from those buyers for the loan types included in those settlements.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activity related to loss reserves on previously sold loans for the years ended December 31, 2012 and 2011, is as follows (in thousands):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6,977</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Charge-offs to reserves</w:t>
            </w:r>
          </w:p>
        </w:tc>
        <w:tc>
          <w:tcPr>
            <w:tcW w:w="1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(4,814)</w:t>
            </w:r>
          </w:p>
        </w:tc>
        <w:tc>
          <w:tcPr>
            <w:tcW w:w="1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liability for losses on previously sold loans is included in current liabilities of discontinued operations in the accompanying consolidated balance sheet.</w:t>
      </w:r>
    </w:p>
    <w:p>
      <w:pPr>
        <w:spacing w:after="0" w:line="248" w:lineRule="exact"/>
        <w:rPr>
          <w:sz w:val="20"/>
          <w:szCs w:val="20"/>
          <w:color w:val="auto"/>
        </w:rPr>
      </w:pPr>
    </w:p>
    <w:p>
      <w:pPr>
        <w:ind w:right="240" w:firstLine="348"/>
        <w:spacing w:after="0" w:line="258" w:lineRule="auto"/>
        <w:rPr>
          <w:sz w:val="20"/>
          <w:szCs w:val="20"/>
          <w:color w:val="auto"/>
        </w:rPr>
      </w:pPr>
      <w:r>
        <w:rPr>
          <w:rFonts w:ascii="Times New Roman" w:cs="Times New Roman" w:eastAsia="Times New Roman" w:hAnsi="Times New Roman"/>
          <w:sz w:val="18"/>
          <w:szCs w:val="18"/>
          <w:color w:val="auto"/>
        </w:rPr>
        <w:t>Tree.com continues to be liable for indemnification obligations, repurchase obligations and premium repayment obligations following the sale of substantially all of the operating assets of the LendingTree Loans business to Discover. A portion of the initial purchase price paid by Discover is being held in escrow pending resolution of certain of these contingent liabilities. The Company is negotiating with secondary market purchasers to settle any existing and future contingent liabilities, but may not be able to do so on terms acceptable to it, or at all.</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Warehouse Lines of Credit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Borrowings on warehouse lines of credit were $197.7 million at December 31, 2011.</w:t>
      </w:r>
    </w:p>
    <w:p>
      <w:pPr>
        <w:spacing w:after="0" w:line="225" w:lineRule="exact"/>
        <w:rPr>
          <w:sz w:val="20"/>
          <w:szCs w:val="20"/>
          <w:color w:val="auto"/>
        </w:rPr>
      </w:pPr>
    </w:p>
    <w:p>
      <w:pPr>
        <w:ind w:right="300" w:firstLine="341"/>
        <w:spacing w:after="0" w:line="258" w:lineRule="auto"/>
        <w:rPr>
          <w:sz w:val="20"/>
          <w:szCs w:val="20"/>
          <w:color w:val="auto"/>
        </w:rPr>
      </w:pPr>
      <w:r>
        <w:rPr>
          <w:rFonts w:ascii="Times New Roman" w:cs="Times New Roman" w:eastAsia="Times New Roman" w:hAnsi="Times New Roman"/>
          <w:sz w:val="18"/>
          <w:szCs w:val="18"/>
          <w:color w:val="auto"/>
        </w:rPr>
        <w:t>As a result of the closing of the sale of substantially all of the operating assets of our LendingTree Loans business on June 6, 2012, all three then-existing warehouse lines of credit expired and terminated on July 21, 2012. Borrowings under these lines of credit were used to fund, and were secured by, consumer residential loans that were held for sale. Loans under these lines of credit were repaid using proceeds from the sales of loans by LendingTree Loans. The LendingTree Loans business was highly dependent on the availability of these warehouse lines.</w:t>
      </w:r>
    </w:p>
    <w:p>
      <w:pPr>
        <w:spacing w:after="0" w:line="190" w:lineRule="exact"/>
        <w:rPr>
          <w:sz w:val="20"/>
          <w:szCs w:val="20"/>
          <w:color w:val="auto"/>
        </w:rPr>
      </w:pPr>
    </w:p>
    <w:p>
      <w:pPr>
        <w:ind w:right="8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2011, LendingTree Loans had three committed lines of credit totaling $275.0 million of borrowing capacity. The $50.0 million first line expired on January 30, 2012. LendingTree Loans also had a $25.0 million uncommitted line with this lender, which was terminated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7—DISCONTINUED OPERATIONS (Continued)</w:t>
      </w:r>
    </w:p>
    <w:p>
      <w:pPr>
        <w:spacing w:after="0" w:line="22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on October 31, 2011. In addition, LendingTree Loans obtained a fourth warehouse line for $100.0 million on January 9, 2012, which was uncommitted, bringing its total borrowing capacity to $325.0 million.</w:t>
      </w:r>
    </w:p>
    <w:p>
      <w:pPr>
        <w:spacing w:after="0" w:line="174"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The first line included an additional uncommitted credit facility of $25.0 million, which was terminated on October 31, 2011. The interest rate under the first line was the 30-day London InterBank Offered Rate ("LIBOR") or 2.00% (whichever was greater) plus 2.25%. The interest rate under the $25.0 million uncommitted line was the 30-day LIBOR plus 1.50%.</w:t>
      </w:r>
    </w:p>
    <w:p>
      <w:pPr>
        <w:spacing w:after="0" w:line="186" w:lineRule="exact"/>
        <w:rPr>
          <w:sz w:val="20"/>
          <w:szCs w:val="20"/>
          <w:color w:val="auto"/>
        </w:rPr>
      </w:pPr>
    </w:p>
    <w:p>
      <w:pPr>
        <w:jc w:val="both"/>
        <w:ind w:right="320" w:firstLine="348"/>
        <w:spacing w:after="0" w:line="262" w:lineRule="auto"/>
        <w:rPr>
          <w:sz w:val="20"/>
          <w:szCs w:val="20"/>
          <w:color w:val="auto"/>
        </w:rPr>
      </w:pPr>
      <w:r>
        <w:rPr>
          <w:rFonts w:ascii="Times New Roman" w:cs="Times New Roman" w:eastAsia="Times New Roman" w:hAnsi="Times New Roman"/>
          <w:sz w:val="18"/>
          <w:szCs w:val="18"/>
          <w:color w:val="auto"/>
        </w:rPr>
        <w:t>The second line was previously for $100.0 million, but was increased to $125.0 million. The interest rate under this second line was the 30-day Adjusted LIBOR or 2.0% (whichever is greater) plus 1.5% to 1.75% for loans being sold to the lender and 30-day Adjusted LIBOR or 2.0% (whichever is greater) plus 1.5% for loans not being sold to the lender.</w:t>
      </w:r>
    </w:p>
    <w:p>
      <w:pPr>
        <w:spacing w:after="0" w:line="186"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The third line was for $100.0 million. The interest rate under this line was 30-day LIBOR plus 3.25% (LIBOR may be adjusted upward for any increase in the reserve requirement of the lender as further described in the Master Repurchase Agreement).</w:t>
      </w:r>
    </w:p>
    <w:p>
      <w:pPr>
        <w:spacing w:after="0" w:line="174"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The $100.0 million fourth line had an interest rate equal to the overnight interest rate incurred by the lender for borrowing funds plus 3.25% to 3.75% for most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8—EARNINGS PER SHARE</w:t>
      </w:r>
    </w:p>
    <w:p>
      <w:pPr>
        <w:spacing w:after="0" w:line="227"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for the period by the weighted average number of common shares outstanding during the period. Diluted net income per share is computed by dividing net income for the period by the weighted average number of shares of common stock and potentially dilutive common stock outstanding during the period. The dilutive effect of outstanding options and restricted stock is reflected in diluted net income per share by application of the treasury stock method. The calculation of diluted net income per share excludes all anti-dilutive shares.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years ended December 31, 2012 and 2011:</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(9,793)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38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46,625</w:t>
            </w:r>
          </w:p>
        </w:tc>
        <w:tc>
          <w:tcPr>
            <w:tcW w:w="1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(59,503)</w:t>
            </w:r>
          </w:p>
        </w:tc>
        <w:tc>
          <w:tcPr>
            <w:tcW w:w="1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(59,503)</w:t>
            </w:r>
          </w:p>
        </w:tc>
        <w:tc>
          <w:tcPr>
            <w:tcW w:w="1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per Share:</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38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2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80" w:type="dxa"/>
            <w:vAlign w:val="bottom"/>
            <w:vMerge w:val="restart"/>
          </w:tcPr>
          <w:p>
            <w:pPr>
              <w:jc w:val="right"/>
              <w:ind w:right="812"/>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8—EARNINGS PER SHARE (Continued)</w:t>
      </w:r>
    </w:p>
    <w:p>
      <w:pPr>
        <w:spacing w:after="0" w:line="227"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2012 and 2011, we had losses from continuing operations and, as a result, no potentially dilutive securities were included in the denominator for computing dilutive earnings per share because the impact would have been anti-dilutive. Accordingly, the weighted average basic shares outstanding were used to compute all earnings per share amounts. For the years ended December 31, 2012 and 2011, approximately 0.6 million and 0.1 million shares, respectively, related to potentially dilutive securities were excluded from the calculation of diluted earnings per share because their inclusion would have been anti-dilutive.</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Note 3 for a full description of outstanding equity awards.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On January 11, 2010, our board of directors authorized the repurchase of up to $10 million of our common stock. During 2010, we purchased 810,922 shares of our common stock for aggregate consideration of $5.7 million. During 2012, we purchased 65,218 shares of our common stock for aggregate consideration of $0.9 million. At December 31, 2012, we had approximately $3.4 million remaining in our share repurchase authorization.</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made no stock repurchases in 2011.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Dividend</w:t>
      </w:r>
    </w:p>
    <w:p>
      <w:pPr>
        <w:spacing w:after="0" w:line="227"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On December 6, 2012, the Company announced a special cash dividend of $1.00 per share. The dividend was paid on December 26, 2012 to shareholders of record on December 17, 2012. The total amount of the dividend was approximately $12.2 million and has been presented as a reduction of additional paid in capital.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components of the income tax provision (benefit) are as follows (in thousands):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78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income tax provision (benefit):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00" w:type="dxa"/>
            <w:vAlign w:val="bottom"/>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(1,391)</w:t>
            </w:r>
          </w:p>
        </w:tc>
        <w:tc>
          <w:tcPr>
            <w:tcW w:w="1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income tax provision (benefit):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7"/>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00" w:type="dxa"/>
            <w:vAlign w:val="bottom"/>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(11,551)</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tax effects of cumulative temporary differences that give rise to significant portions of the deferred tax assets and deferred tax liabilities at December 31, 2012 and 2011 are presented below (in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The valuation allowance is related to items for which it is more likely than not that the tax benefit will not be realized.</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and other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68,732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(54,961)</w:t>
            </w: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7"/>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27"/>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20" w:type="dxa"/>
            <w:vAlign w:val="bottom"/>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Deferred income taxes are presented in the accompanying consolidated balance sheets as follows (in thousands):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(4,694)</w:t>
            </w: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At December 31, 2012 and 2011, we had pre-tax consolidated federal net operating losses ("NOLs") of $23.9 million and $50.9 million, respectively. The 2012 carryforward amount excludes $1.4 million of windfall tax benefits, which will be recorded to additional paid in capital when realized. In addition, we had separate state NOLs of approximately $297 million at December 31, 2012 that will expire at various times between 2014 and 2032.</w:t>
      </w:r>
    </w:p>
    <w:p>
      <w:pPr>
        <w:spacing w:after="0" w:line="186"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During 2012, the valuation allowance decreased by $13.2 million, primarily due to utilization of net operating losses. At December 31, 2012, we had a valuation allowance of $55.0 million related to the portion of tax operating loss carryforwards and other deferred tax assets for which it is more likely than not that the tax benefit will not be realized.</w:t>
      </w:r>
    </w:p>
    <w:p>
      <w:pPr>
        <w:spacing w:after="0" w:line="1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 (Continued)</w:t>
      </w:r>
    </w:p>
    <w:p>
      <w:pPr>
        <w:spacing w:after="0" w:line="227" w:lineRule="exact"/>
        <w:rPr>
          <w:sz w:val="20"/>
          <w:szCs w:val="20"/>
          <w:color w:val="auto"/>
        </w:rPr>
      </w:pPr>
    </w:p>
    <w:p>
      <w:pPr>
        <w:ind w:right="140" w:firstLine="341"/>
        <w:spacing w:after="0" w:line="275" w:lineRule="auto"/>
        <w:rPr>
          <w:sz w:val="20"/>
          <w:szCs w:val="20"/>
          <w:color w:val="auto"/>
        </w:rPr>
      </w:pPr>
      <w:r>
        <w:rPr>
          <w:rFonts w:ascii="Times New Roman" w:cs="Times New Roman" w:eastAsia="Times New Roman" w:hAnsi="Times New Roman"/>
          <w:sz w:val="18"/>
          <w:szCs w:val="18"/>
          <w:color w:val="auto"/>
        </w:rPr>
        <w:t>A reconciliation of total income tax provision to the amounts computed by applying the statutory federal income tax rate to loss from continuing operations before income taxes is shown as follows (in thousands):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200" w:type="dxa"/>
            <w:vAlign w:val="bottom"/>
          </w:tcPr>
          <w:p>
            <w:pPr>
              <w:spacing w:after="0"/>
              <w:rPr>
                <w:sz w:val="14"/>
                <w:szCs w:val="14"/>
                <w:color w:val="auto"/>
              </w:rPr>
            </w:pPr>
          </w:p>
        </w:tc>
        <w:tc>
          <w:tcPr>
            <w:tcW w:w="178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the federal statutory rate of 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(21,517)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effect of federal tax benefit</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non-cash compensation expense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14,724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0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(1,483)</w:t>
            </w:r>
          </w:p>
        </w:tc>
        <w:tc>
          <w:tcPr>
            <w:tcW w:w="16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(11,766)</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excluding interest, is as follows (in thousands):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165"/>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6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 based on tax positions related to the current year</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6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end of the period</w:t>
            </w: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2012 and 2011, unrecognized tax benefits, including interest, were $0.0 million and $0.01 million, respectively. In 2012, unrecognized tax benefits decreased due to lapse of statute of limitations.</w:t>
      </w:r>
    </w:p>
    <w:p>
      <w:pPr>
        <w:spacing w:after="0" w:line="174"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recognize interest and, if applicable, penalties related to unrecognized tax benefits in income tax expense. Included in income tax expense for each of the years ended December 31, 2012 and 2011 is $0.0 million and $0.01 million for interest on unrecognized tax benefits. At December 31, 2012 and 2011, we accrued $0.0 million and $0.01 million, respectively, for the payment of interest. There are no significant accruals for penalties.</w:t>
      </w:r>
    </w:p>
    <w:p>
      <w:pPr>
        <w:spacing w:after="0" w:line="186"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are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us are recorded in the period they become known.</w:t>
      </w:r>
    </w:p>
    <w:p>
      <w:pPr>
        <w:spacing w:after="0" w:line="190"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Company was indemnified by our previous owner for any federal and/or combined state income tax liabilities resulting from years prior to the spin-off in 2008. The Internal Revenue Service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 (Continued)</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has substantially completed its review of IAC/InterActiveCorp's tax returns for the years ended December 31, 2001 through 2006. The IRS began its review of the IAC/InterActiveCorp and Tree federal tax returns for the years ended December 31, 2007 through 2009 in July 2011. The statute of limitations for the years 2001 through 2008 has been extended to December 31, 2012. Various state and local jurisdictions are also currently under examination, the most significant of which are California, New York and New York City for various tax years beginning with 2005.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10—SUPPLEMENTAL CASH FLOW INFORMATION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4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65"/>
        </w:trPr>
        <w:tc>
          <w:tcPr>
            <w:tcW w:w="6540" w:type="dxa"/>
            <w:vAlign w:val="bottom"/>
          </w:tcPr>
          <w:p>
            <w:pPr>
              <w:spacing w:after="0"/>
              <w:rPr>
                <w:sz w:val="14"/>
                <w:szCs w:val="14"/>
                <w:color w:val="auto"/>
              </w:rPr>
            </w:pP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5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1,308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78</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payments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1,238</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r>
      <w:tr>
        <w:trPr>
          <w:trHeight w:val="228"/>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refunds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11—COMMITMENTS</w:t>
      </w:r>
    </w:p>
    <w:p>
      <w:pPr>
        <w:spacing w:after="0" w:line="227"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We lease office space, equipment and services used in connection with our operations under various operating leases, many of which contain escalation clauses.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Future minimum payments under operating lease agreements are as follows (in thousands):</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556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5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5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55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556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20" w:type="dxa"/>
            <w:vAlign w:val="bottom"/>
            <w:tcBorders>
              <w:bottom w:val="single" w:sz="8" w:color="auto"/>
            </w:tcBorders>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348"/>
        <w:spacing w:after="0" w:line="275" w:lineRule="auto"/>
        <w:rPr>
          <w:sz w:val="20"/>
          <w:szCs w:val="20"/>
          <w:color w:val="auto"/>
        </w:rPr>
      </w:pPr>
      <w:r>
        <w:rPr>
          <w:rFonts w:ascii="Times New Roman" w:cs="Times New Roman" w:eastAsia="Times New Roman" w:hAnsi="Times New Roman"/>
          <w:sz w:val="18"/>
          <w:szCs w:val="18"/>
          <w:color w:val="auto"/>
        </w:rPr>
        <w:t>We also sublease certain office space to third parties. The total amount of minimum rentals to be received in the future under non-cancelable subleases is $0.1 million as of December 31, 2012.</w:t>
      </w:r>
    </w:p>
    <w:p>
      <w:pPr>
        <w:spacing w:after="0" w:line="174"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Expenses charged to operations under these agreements were $1.0 million for each of the years ended December 31, 2012 and 2011, and are included in general and administrative expense in the consolidated statements of operations.</w:t>
      </w:r>
    </w:p>
    <w:p>
      <w:pPr>
        <w:spacing w:after="0" w:line="174"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We also have funding commitments that could potentially require performance in the event of demands by third parties or contingent events, as follows (in thousands):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Amount of Commitment Expiration Per Period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6"/>
              <w:spacing w:after="0" w:line="12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w w:val="99"/>
              </w:rPr>
              <w:t>Amounts</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Less Than</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More Than</w:t>
            </w:r>
          </w:p>
        </w:tc>
      </w:tr>
      <w:tr>
        <w:trPr>
          <w:trHeight w:val="165"/>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Committed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4"/>
              </w:rPr>
              <w:t>5 years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Surety bonds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4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12—CONTINGENCIES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are involved in legal proceedings on an ongoing basis. If we believe that a loss arising from such matters is probable and can be reasonably estimated, we accrue the estimated liability in our financial statements. If only a range of estimated losses can be determined, we accrue an amount within the range that, in our judgment, reflects the most likely outcome; if none of the estimates within that range is a better estimate than any other amount, we accrue the low end of the range. For those proceedings in which an unfavorable outcome is reasonably possible but not probable, we have disclosed an estimate of the reasonably possible loss or range of losses or we have concluded that an estimate of the reasonably possible loss or range of losses arising directly from the proceeding (i.e., monetary damages or amounts paid in judgment or settlement) are not material.</w:t>
      </w:r>
    </w:p>
    <w:p>
      <w:pPr>
        <w:spacing w:after="0" w:line="193"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In assessing the materiality of a legal proceeding, we evaluate, among other factors, the amount of monetary damages claimed, as well as the potential impact of non-monetary remedies sought by plaintiffs (e.g., injunctive relief) that may require us to change our business practices in a manner that could have a material adverse impact on our business. With respect to the matters disclosed in this Note 12, unless otherwise indicated, we are unable to estimate the possible loss or range of losses that could potentially result from the application of such non-monetary remedies.</w:t>
      </w:r>
    </w:p>
    <w:p>
      <w:pPr>
        <w:spacing w:after="0" w:line="190" w:lineRule="exact"/>
        <w:rPr>
          <w:sz w:val="20"/>
          <w:szCs w:val="20"/>
          <w:color w:val="auto"/>
        </w:rPr>
      </w:pPr>
    </w:p>
    <w:p>
      <w:pPr>
        <w:ind w:right="260" w:firstLine="351"/>
        <w:spacing w:after="0" w:line="258" w:lineRule="auto"/>
        <w:rPr>
          <w:sz w:val="20"/>
          <w:szCs w:val="20"/>
          <w:color w:val="auto"/>
        </w:rPr>
      </w:pPr>
      <w:r>
        <w:rPr>
          <w:rFonts w:ascii="Times New Roman" w:cs="Times New Roman" w:eastAsia="Times New Roman" w:hAnsi="Times New Roman"/>
          <w:sz w:val="18"/>
          <w:szCs w:val="18"/>
          <w:color w:val="auto"/>
        </w:rPr>
        <w:t>During 2012 and 2011, (gains) provisions for litigation settlements of $(3.1) million and $5.7 million, respectively, were recorded in litigation settlements and contingencies in the accompanying consolidated statements of operations. The balance of the related liability was $0.6 million and $3.1 million at December 31, 2012 and 2011, respectively. The litigation matters were either settled or we extended a firm offer for settlement, thereby establishing an accrual amount that is both probable and reasonably estimable.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Litigation</w:t>
      </w:r>
    </w:p>
    <w:p>
      <w:pPr>
        <w:spacing w:after="0" w:line="227"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On September 8, 2010, the Company filed an action for patent infringement in the US District Court for the Western District of North Carolina against Zillow, Inc., Nextag, Inc., Quinstreet, Inc., Quinstreet Media, Inc. and Adchemy, Inc. The complaint was amended to include Leadpoint, Inc. d/b/a Securerights on September 24, 2010. The complaint alleges that each of the defendants infringe one or both of the Company's patents—U.S. Patent No. 6,385,594, entitled "Method and Computer Network for Co-Ordinating a Loan over the Internet," and U.S. Patent No. 6,611,816, entitled "Method and Computer Network for Co-Ordinating a Loan over the Internet." Collectively, the asserted patents cover computer hardware and software used in facilitating business between computer users and multiple lenders on the internet. The defendants in this action asserted various counterclaims against the Company, including the assertion by certain of the defendants of counterclaims alleging illegal monopolization via our maintenance of the asserted patents. In July 2011, the Company reached a settlement agreement with Leadpoint, Inc. On July 20, 2011, all claims against Leadpoint, Inc. and all counter-claims against the Company by Leadpoint, Inc. were dismissed. In November 2012, the Company reached a settlement agreement with Quinstreet, Inc. and Quinstreet Media, Inc. (collectively, the Quinstreet Parties); all claims against the QuinStreet Parties and all counterclaims against the Company by the Quinstreet Parties were dismissed. The remaining parties are presently involved in discovery. Trial is currently expected in early 2014. The Company intends to vigorously defend all such counterclaims.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12—CONTINGENCIES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Litigation</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Boschma</w:t>
      </w:r>
    </w:p>
    <w:p>
      <w:pPr>
        <w:spacing w:after="0" w:line="229" w:lineRule="exact"/>
        <w:rPr>
          <w:sz w:val="20"/>
          <w:szCs w:val="20"/>
          <w:color w:val="auto"/>
        </w:rPr>
      </w:pPr>
    </w:p>
    <w:p>
      <w:pPr>
        <w:ind w:right="40" w:firstLine="351"/>
        <w:spacing w:after="0" w:line="287" w:lineRule="auto"/>
        <w:rPr>
          <w:sz w:val="20"/>
          <w:szCs w:val="20"/>
          <w:color w:val="auto"/>
        </w:rPr>
      </w:pPr>
      <w:r>
        <w:rPr>
          <w:rFonts w:ascii="Times New Roman" w:cs="Times New Roman" w:eastAsia="Times New Roman" w:hAnsi="Times New Roman"/>
          <w:sz w:val="16"/>
          <w:szCs w:val="16"/>
          <w:color w:val="auto"/>
        </w:rPr>
        <w:t>On May 25, 2007, Boschma filed a putative class action against HLC in the U.S. District Court for the Central District of California.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Plaintiffs asserted violations of the federal Truth in Lending Act, violations of the Unfair Competition Law, breach of contract, and breach of the covenant of good faith and fair dealing. Plaintiffs purport to represent a class of all individuals who between June 1, 2003 and May 31, 2007 obtained through HLC an option ARM loan on their primary residence located in California, and seek rescission, damages, attorneys' fees and injunctive relief. Plaintiffs have not yet filed a motion for class certification. Plaintiffs have filed a total of eight complaints in connection with this lawsuit. Each of the first seven complaints has been dismissed by the federal and state courts. Plaintiffs filed the eighth complaint (a Second Amended Complaint) in Orange County (California) Superior Court on March 4, 2010 alleging only the fraud and Unfair Competition Law claims. As with each of the seven previous versions of Plaintiffs' complaint, the Second Amended Complaint was dismissed in April 2010. Plaintiffs appealed the dismissal and on August 10, 2011, the appellate court reversed the trial court's dismissal and directed the trial court to overrule the demurrer. The case has been remanded to superior court and the parties are presently involved in discovery. The class certification hearing is currently scheduled for September 2013. The Company believes plaintiffs' allegations lack merit and intends to defend against this action vigorously.</w:t>
      </w:r>
    </w:p>
    <w:p>
      <w:pPr>
        <w:spacing w:after="0" w:line="3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Mortgage Store, Inc.</w:t>
      </w:r>
    </w:p>
    <w:p>
      <w:pPr>
        <w:spacing w:after="0" w:line="229" w:lineRule="exact"/>
        <w:rPr>
          <w:sz w:val="20"/>
          <w:szCs w:val="20"/>
          <w:color w:val="auto"/>
        </w:rPr>
      </w:pPr>
    </w:p>
    <w:p>
      <w:pPr>
        <w:ind w:firstLine="351"/>
        <w:spacing w:after="0" w:line="285" w:lineRule="auto"/>
        <w:rPr>
          <w:sz w:val="20"/>
          <w:szCs w:val="20"/>
          <w:color w:val="auto"/>
        </w:rPr>
      </w:pPr>
      <w:r>
        <w:rPr>
          <w:rFonts w:ascii="Times New Roman" w:cs="Times New Roman" w:eastAsia="Times New Roman" w:hAnsi="Times New Roman"/>
          <w:sz w:val="16"/>
          <w:szCs w:val="16"/>
          <w:color w:val="auto"/>
        </w:rPr>
        <w:t>On November 30, 2006, The Mortgage Store, Inc. and Castleview Home Loans, Inc. filed this putative class action against HLC in the California Superior Court for Orange County. Plaintiffs, two former network lenders, alleged that HLC interfered with LendingTree's contracts with network lenders by taking referrals from LendingTree without adequately disclosing the relationship between them and that HLC charged Plaintiffs higher rates and fees than they otherwise would have been charged. Based upon these factual allegations, Plaintiffs assert claims for intentional interference with contractual relations, intentional interference with prospective economic advantage, and violation of the California Unfair Competition Law and California Business and Professions Code</w:t>
      </w:r>
    </w:p>
    <w:p>
      <w:pPr>
        <w:spacing w:after="0"/>
        <w:rPr>
          <w:sz w:val="20"/>
          <w:szCs w:val="20"/>
          <w:color w:val="auto"/>
        </w:rPr>
      </w:pPr>
      <w:r>
        <w:rPr>
          <w:rFonts w:ascii="Times New Roman" w:cs="Times New Roman" w:eastAsia="Times New Roman" w:hAnsi="Times New Roman"/>
          <w:sz w:val="16"/>
          <w:szCs w:val="16"/>
          <w:color w:val="auto"/>
        </w:rPr>
        <w:t>§ 17500. Plaintiffs purport to represent all network lenders from December 14, 2004 to date, and seek damages, restitution, attorneys' fees and punitive damages.</w:t>
      </w:r>
    </w:p>
    <w:p>
      <w:pPr>
        <w:spacing w:after="0" w:line="236"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Plaintiffs' motion for class certification was granted April 29, 2010. On October 17, 2011, the Court granted HLC's motion for summary judgment. Judgment was entered in favor of HLC on April 9, 2012. On June 15, 2012, Plaintiffs filed a Notice of Appeal. Plaintiffs filed their opening appellate brief on December 17, 2012. The Company believes Plaintiffs' allegations lack merit and intends to defend against this action vigorously.</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Dijkstra</w:t>
      </w:r>
    </w:p>
    <w:p>
      <w:pPr>
        <w:spacing w:after="0" w:line="229" w:lineRule="exact"/>
        <w:rPr>
          <w:sz w:val="20"/>
          <w:szCs w:val="20"/>
          <w:color w:val="auto"/>
        </w:rPr>
      </w:pPr>
    </w:p>
    <w:p>
      <w:pPr>
        <w:ind w:right="620" w:firstLine="351"/>
        <w:spacing w:after="0" w:line="339" w:lineRule="auto"/>
        <w:rPr>
          <w:sz w:val="20"/>
          <w:szCs w:val="20"/>
          <w:color w:val="auto"/>
        </w:rPr>
      </w:pPr>
      <w:r>
        <w:rPr>
          <w:rFonts w:ascii="Times New Roman" w:cs="Times New Roman" w:eastAsia="Times New Roman" w:hAnsi="Times New Roman"/>
          <w:sz w:val="16"/>
          <w:szCs w:val="16"/>
          <w:color w:val="auto"/>
        </w:rPr>
        <w:t>On November 7, 2008 Plaintiff filed this putative class action in Circuit Court of Ohio County, West Virginia against Harry Carenbauer, Home Loan Center, Inc., HLC Escrow, Inc. et al. The complaint alleges that HLC engaged in the unauthorized practice of law in West Virginia by permitting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12—CONTINGENCIES (Continued)</w:t>
      </w:r>
    </w:p>
    <w:p>
      <w:pPr>
        <w:spacing w:after="0" w:line="22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persons who were neither admitted to the practice of law in West Virginia nor under the direct supervision of a lawyer admitted to the practice of law in West Virginia to close mortgage loans.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includes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Discovery in this matter is ongoing. The Company believes that Plaintiff's allegations lack merit and we intend to defend against this action vigorously.</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Massachusetts Division of Banks</w:t>
      </w:r>
    </w:p>
    <w:p>
      <w:pPr>
        <w:spacing w:after="0" w:line="229"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Massachusetts Division of Banks (the "Division") delivered to LendingTree, LLC on February 11, 2011 a Report of Examination/Inspection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As of the date of this report, none of the Joining Regulators have asserted any such allegations.</w:t>
      </w:r>
    </w:p>
    <w:p>
      <w:pPr>
        <w:spacing w:after="0" w:line="193"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The proposed Consent Agreement and Order calls for a fine to be allocated among the Division and the Joining Regulators and for LendingTree, LLC to adopt various new procedures and practices. We have commenced negotiations toward an acceptable Consent Agreement and Order. We do not believe our mortgage business violates any federal or state mortgage lending laws; nor do we believe that any past operations of the mortgage business have resulted in a material violation of any such laws. Should the Division or any Joining Regulator bring any actions relating to the matters alleged in the February 2011 Report of Examination/Inspection, we intend to defend against such actions vigorously. The range of possible loss is estimated to be between $0.5 million and $6.5 million, and a reserve of $0.5 million has been established for this matter as of December 31, 2012.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13—RELATED PARTY TRANSACTIONS</w:t>
      </w:r>
    </w:p>
    <w:p>
      <w:pPr>
        <w:spacing w:after="0" w:line="227" w:lineRule="exact"/>
        <w:rPr>
          <w:sz w:val="20"/>
          <w:szCs w:val="20"/>
          <w:color w:val="auto"/>
        </w:rPr>
      </w:pPr>
    </w:p>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On August 20, 2008, in connection with the spin-off of Tree.com, Inc. by IAC/InterActiveCorp, our Chairman and CEO received restricted shares of Series A Redeemable Preferred Stock of the Company's wholly-owned LendingTree Holdings Corp. The shares of preferred stock had an aggregate liquidation preference of $5,000,000 and vested in three equal annual installments on the first three anniversaries of the spin-off.</w:t>
      </w:r>
    </w:p>
    <w:p>
      <w:pPr>
        <w:spacing w:after="0" w:line="186"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preferred stock provided for cumulative dividends at a rate of 12% per annum, and unpaid dividends compounded quarterly at a rate of 12% per annum. The wholly-owned subsidiary was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13—RELATED PARTY TRANSACTIONS (Continued)</w:t>
      </w:r>
    </w:p>
    <w:p>
      <w:pPr>
        <w:spacing w:after="0" w:line="227"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required to redeem all outstanding preferred stock on the fifth anniversary of the grant date, which is August 20, 2013. The redemption price was to be the liquidation preference of the outstanding shares plus compounded accrued and unpaid dividends.</w:t>
      </w:r>
    </w:p>
    <w:p>
      <w:pPr>
        <w:spacing w:after="0" w:line="174" w:lineRule="exact"/>
        <w:rPr>
          <w:sz w:val="20"/>
          <w:szCs w:val="20"/>
          <w:color w:val="auto"/>
        </w:rPr>
      </w:pPr>
    </w:p>
    <w:p>
      <w:pPr>
        <w:jc w:val="both"/>
        <w:ind w:right="80" w:firstLine="351"/>
        <w:spacing w:after="0" w:line="262" w:lineRule="auto"/>
        <w:rPr>
          <w:sz w:val="20"/>
          <w:szCs w:val="20"/>
          <w:color w:val="auto"/>
        </w:rPr>
      </w:pPr>
      <w:r>
        <w:rPr>
          <w:rFonts w:ascii="Times New Roman" w:cs="Times New Roman" w:eastAsia="Times New Roman" w:hAnsi="Times New Roman"/>
          <w:sz w:val="18"/>
          <w:szCs w:val="18"/>
          <w:color w:val="auto"/>
        </w:rPr>
        <w:t>On August 30, 2010, we entered into a share exchange agreement with our Chairman and CEO pursuant to which he exchanged 2,902.33 shares of preferred stock and most of the accrued and unpaid dividends in respect of such shares for a total of 534,900 newly-issued shares of Tree.com common stock. Immediately following such transaction, he held 2,097.67 shares of preferred stock.</w:t>
      </w:r>
    </w:p>
    <w:p>
      <w:pPr>
        <w:spacing w:after="0" w:line="186" w:lineRule="exact"/>
        <w:rPr>
          <w:sz w:val="20"/>
          <w:szCs w:val="20"/>
          <w:color w:val="auto"/>
        </w:rPr>
      </w:pPr>
    </w:p>
    <w:p>
      <w:pPr>
        <w:ind w:right="440" w:firstLine="351"/>
        <w:spacing w:after="0" w:line="258" w:lineRule="auto"/>
        <w:rPr>
          <w:sz w:val="20"/>
          <w:szCs w:val="20"/>
          <w:color w:val="auto"/>
        </w:rPr>
      </w:pPr>
      <w:r>
        <w:rPr>
          <w:rFonts w:ascii="Times New Roman" w:cs="Times New Roman" w:eastAsia="Times New Roman" w:hAnsi="Times New Roman"/>
          <w:sz w:val="18"/>
          <w:szCs w:val="18"/>
          <w:color w:val="auto"/>
        </w:rPr>
        <w:t>On November 7, 2012, our audit committee, compensation committee and board of directors approved an early redemption of the remaining 2,097.67 outstanding shares of preferred stock owned by our Chairman and CEO, including all accrued dividends, for $3.3 million in cash. The redemption closed on November 30, 2012. The redemption value of the preferred stock was determined in part based on a valuation of the discounted remaining dividend stream through the mandatory redemption date of August 20, 2013.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14—BENEFIT PLANS</w:t>
      </w:r>
    </w:p>
    <w:p>
      <w:pPr>
        <w:spacing w:after="0" w:line="227"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We operate a retirement savings plan for our employees in the United States that is qualified under Section 401(k) of the Internal Revenue Code. Employees are eligible to enroll in the plan upon date of hire. Participating employees may contribute up to 50% of their pre-tax earnings, but not more than statutory limits (generally $17,000 for 2012 and $16,500 for 2011). Our match is fifty cents for each dollar a participant contributes to the plan, with a maximum contribution of 6% of a participant's eligible earnings. Matching contributions are invested in the same manner as each participant's voluntary contributions in the investment options provided under the plan. Our stock is not included in the available investment options or the plan assets. Funds contributed to our plan vest according to the participant's years of service, with less than three years of service vesting at 0%, and three years or more of service vesting at 100%. Matching contributions were approximately $0.3 million and $0.2 million for the years ended December 31, 2012 and 2011, respectively. Matching contributions were suspended in June of 2011, and began again in January of 2012.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15—RESTRUCTURING EXPENSE</w:t>
      </w:r>
    </w:p>
    <w:p>
      <w:pPr>
        <w:spacing w:after="0" w:line="227" w:lineRule="exact"/>
        <w:rPr>
          <w:sz w:val="20"/>
          <w:szCs w:val="20"/>
          <w:color w:val="auto"/>
        </w:rPr>
      </w:pPr>
    </w:p>
    <w:p>
      <w:pPr>
        <w:jc w:val="both"/>
        <w:ind w:right="460" w:firstLine="351"/>
        <w:spacing w:after="0" w:line="262" w:lineRule="auto"/>
        <w:rPr>
          <w:sz w:val="20"/>
          <w:szCs w:val="20"/>
          <w:color w:val="auto"/>
        </w:rPr>
      </w:pPr>
      <w:r>
        <w:rPr>
          <w:rFonts w:ascii="Times New Roman" w:cs="Times New Roman" w:eastAsia="Times New Roman" w:hAnsi="Times New Roman"/>
          <w:sz w:val="18"/>
          <w:szCs w:val="18"/>
          <w:color w:val="auto"/>
        </w:rPr>
        <w:t>Restructuring expense recorded in 2011 primarily relates to severance for headcount reductions in corporate infrastructure departments. The liability at December 31, 2012 is primarily related to lease obligations for call center leases exited in 2010, which are expected to be completed by 2015. Restructuring expense and payments against liabilities are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For The Year Ended December 31, 2012</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Employee</w:t>
            </w:r>
          </w:p>
        </w:tc>
        <w:tc>
          <w:tcPr>
            <w:tcW w:w="100" w:type="dxa"/>
            <w:vAlign w:val="bottom"/>
          </w:tcPr>
          <w:p>
            <w:pPr>
              <w:spacing w:after="0"/>
              <w:rPr>
                <w:sz w:val="10"/>
                <w:szCs w:val="10"/>
                <w:color w:val="auto"/>
              </w:rPr>
            </w:pPr>
          </w:p>
        </w:tc>
        <w:tc>
          <w:tcPr>
            <w:tcW w:w="1000" w:type="dxa"/>
            <w:vAlign w:val="bottom"/>
            <w:gridSpan w:val="3"/>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Continuing</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Lease</w:t>
            </w:r>
          </w:p>
        </w:tc>
        <w:tc>
          <w:tcPr>
            <w:tcW w:w="160" w:type="dxa"/>
            <w:vAlign w:val="bottom"/>
          </w:tcPr>
          <w:p>
            <w:pPr>
              <w:spacing w:after="0"/>
              <w:rPr>
                <w:sz w:val="12"/>
                <w:szCs w:val="12"/>
                <w:color w:val="auto"/>
              </w:rPr>
            </w:pPr>
          </w:p>
        </w:tc>
        <w:tc>
          <w:tcPr>
            <w:tcW w:w="5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(income) expense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(receipts)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Balance, end of period</w:t>
            </w:r>
          </w:p>
        </w:tc>
        <w:tc>
          <w:tcPr>
            <w:tcW w:w="130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00" w:type="dxa"/>
            <w:vAlign w:val="bottom"/>
            <w:gridSpan w:val="2"/>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15—RESTRUCTURING EXPENSE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For The Year Ended December 31, 2011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Employee</w:t>
            </w:r>
          </w:p>
        </w:tc>
        <w:tc>
          <w:tcPr>
            <w:tcW w:w="80" w:type="dxa"/>
            <w:vAlign w:val="bottom"/>
          </w:tcPr>
          <w:p>
            <w:pPr>
              <w:spacing w:after="0"/>
              <w:rPr>
                <w:sz w:val="10"/>
                <w:szCs w:val="10"/>
                <w:color w:val="auto"/>
              </w:rPr>
            </w:pPr>
          </w:p>
        </w:tc>
        <w:tc>
          <w:tcPr>
            <w:tcW w:w="1000" w:type="dxa"/>
            <w:vAlign w:val="bottom"/>
            <w:gridSpan w:val="3"/>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Continuing</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4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expense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Write-offs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41"/>
        <w:spacing w:after="0" w:line="258" w:lineRule="auto"/>
        <w:rPr>
          <w:sz w:val="20"/>
          <w:szCs w:val="20"/>
          <w:color w:val="auto"/>
        </w:rPr>
      </w:pPr>
      <w:r>
        <w:rPr>
          <w:rFonts w:ascii="Times New Roman" w:cs="Times New Roman" w:eastAsia="Times New Roman" w:hAnsi="Times New Roman"/>
          <w:sz w:val="18"/>
          <w:szCs w:val="18"/>
          <w:color w:val="auto"/>
        </w:rPr>
        <w:t>At December 31, 2012, restructuring liabilities of $0.4 million are included in accrued expenses and other current liabilities and $0.5 million are included in other long-term liabilities in the accompanying consolidated balance sheet. At December 31, 2011, restructuring liabilities of $0.4 million are included in accrued expenses and other current liabilities and $0.9 million are included in other long-term liabilities in the accompanying consolidated balance sheet. We do not expect to incur significant additional costs related to the restructurings noted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16—FAIR VALUE MEASUREMENTS</w:t>
      </w:r>
    </w:p>
    <w:p>
      <w:pPr>
        <w:spacing w:after="0" w:line="227" w:lineRule="exact"/>
        <w:rPr>
          <w:sz w:val="20"/>
          <w:szCs w:val="20"/>
          <w:color w:val="auto"/>
        </w:rPr>
      </w:pPr>
    </w:p>
    <w:p>
      <w:pPr>
        <w:ind w:right="20" w:firstLine="351"/>
        <w:spacing w:after="0" w:line="339" w:lineRule="auto"/>
        <w:rPr>
          <w:sz w:val="20"/>
          <w:szCs w:val="20"/>
          <w:color w:val="auto"/>
        </w:rPr>
      </w:pPr>
      <w:r>
        <w:rPr>
          <w:rFonts w:ascii="Times New Roman" w:cs="Times New Roman" w:eastAsia="Times New Roman" w:hAnsi="Times New Roman"/>
          <w:sz w:val="16"/>
          <w:szCs w:val="16"/>
          <w:color w:val="auto"/>
        </w:rPr>
        <w:t>Our non-financial assets, such as goodwill, intangible assets and property and equipment are measured at fair value when there is an indicator of impairment, and recorded at fair value only when an impairment charge is recognized. See Note 4 for discussion of goodwill and intangible asset impairment charges.</w:t>
      </w:r>
    </w:p>
    <w:p>
      <w:pPr>
        <w:spacing w:after="0" w:line="128" w:lineRule="exact"/>
        <w:rPr>
          <w:sz w:val="20"/>
          <w:szCs w:val="20"/>
          <w:color w:val="auto"/>
        </w:rPr>
      </w:pPr>
    </w:p>
    <w:p>
      <w:pPr>
        <w:ind w:right="140" w:firstLine="348"/>
        <w:spacing w:after="0" w:line="291" w:lineRule="auto"/>
        <w:rPr>
          <w:sz w:val="20"/>
          <w:szCs w:val="20"/>
          <w:color w:val="auto"/>
        </w:rPr>
      </w:pPr>
      <w:r>
        <w:rPr>
          <w:rFonts w:ascii="Times New Roman" w:cs="Times New Roman" w:eastAsia="Times New Roman" w:hAnsi="Times New Roman"/>
          <w:sz w:val="16"/>
          <w:szCs w:val="16"/>
          <w:color w:val="auto"/>
        </w:rPr>
        <w:t>The following disclosures represent financial instruments in which the ending balances at December 31, 2012 and 2011 are not carried at fair value in their entirety on our consolidated balance sheets. The additional disclosure below of the estimated fair value of financial instruments has been determined by us using available market information and appropriate valuation methodologies. However, considerable judgment is necessarily required to interpret market data to develop the estimates of fair value. Accordingly, the estimates presented herein are not necessarily indicative of the amounts that could be realized in a current market exchange. The use of different market assumptions or estimation methodologies may have a material impact on the estimated fair value amounts. Our financial instruments also include letters of credit and surety bonds, for which we had $6.5 million and $6.5 million in restricted cash at December 31, 2012 and 2011, respectively, as collateral for the surety bonds. These commitments remain in place to facilitate certain of our commercial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300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2011</w:t>
            </w:r>
          </w:p>
        </w:tc>
      </w:tr>
      <w:tr>
        <w:trPr>
          <w:trHeight w:val="125"/>
        </w:trPr>
        <w:tc>
          <w:tcPr>
            <w:tcW w:w="11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77"/>
              <w:spacing w:after="0" w:line="125" w:lineRule="exact"/>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77"/>
              <w:spacing w:after="0" w:line="125" w:lineRule="exact"/>
              <w:rPr>
                <w:sz w:val="20"/>
                <w:szCs w:val="20"/>
                <w:color w:val="auto"/>
              </w:rPr>
            </w:pPr>
            <w:r>
              <w:rPr>
                <w:rFonts w:ascii="Times New Roman" w:cs="Times New Roman" w:eastAsia="Times New Roman" w:hAnsi="Times New Roman"/>
                <w:sz w:val="14"/>
                <w:szCs w:val="14"/>
                <w:b w:val="1"/>
                <w:bCs w:val="1"/>
                <w:color w:val="auto"/>
              </w:rPr>
              <w:t>Fair</w:t>
            </w:r>
          </w:p>
        </w:tc>
        <w:tc>
          <w:tcPr>
            <w:tcW w:w="1300" w:type="dxa"/>
            <w:vAlign w:val="bottom"/>
            <w:gridSpan w:val="2"/>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0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80,190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45,541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(2,741)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(16,712)</w:t>
            </w:r>
          </w:p>
        </w:tc>
        <w:tc>
          <w:tcPr>
            <w:tcW w:w="114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Surety bonds</w:t>
            </w:r>
          </w:p>
        </w:tc>
        <w:tc>
          <w:tcPr>
            <w:tcW w:w="18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(5,487)</w:t>
            </w:r>
          </w:p>
        </w:tc>
        <w:tc>
          <w:tcPr>
            <w:tcW w:w="1140" w:type="dxa"/>
            <w:vAlign w:val="bottom"/>
          </w:tcPr>
          <w:p>
            <w:pPr>
              <w:spacing w:after="0"/>
              <w:rPr>
                <w:sz w:val="19"/>
                <w:szCs w:val="19"/>
                <w:color w:val="auto"/>
              </w:rPr>
            </w:pPr>
          </w:p>
        </w:tc>
      </w:tr>
      <w:tr>
        <w:trPr>
          <w:trHeight w:val="418"/>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81</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16—FAIR VALUE MEASUREMENTS (Continued)</w:t>
      </w:r>
    </w:p>
    <w:p>
      <w:pPr>
        <w:spacing w:after="0" w:line="227"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and restricted cash and cash equivalents reflected in the accompanying consolidated balance sheets approximate fair value, as they are maintained with various high-quality financial institutions or in short-term duration high-quality debt securities. Accounts receivable, net, are short-term in nature and are generally settled shortly after the sale and, therefore, the carrying amount approximates fair value. The carrying amounts for all other financial instruments approximate their fair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17—SEGMENT INFORMATION</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Effective December 31, 2012, we expanded our reportable segments from one to two, consisting of mortgage and non-mortgage. The change was made as the convergence of economic similarities associated with our mortgage and non-mortgage operating segments was no longer expected. This decision was made in connection with the update of our annual budget and forecast, which occurs in the fourth quarter each year. The non-mortgage reportable segment consists of our auto, education and home services operating segments, which are not yet mature businesses, and have been aggregated. Prior period results have been reclassified to conform with the change in reportable segments.</w:t>
      </w:r>
    </w:p>
    <w:p>
      <w:pPr>
        <w:spacing w:after="0" w:line="193" w:lineRule="exact"/>
        <w:rPr>
          <w:sz w:val="20"/>
          <w:szCs w:val="20"/>
          <w:color w:val="auto"/>
        </w:rPr>
      </w:pPr>
    </w:p>
    <w:p>
      <w:pPr>
        <w:jc w:val="both"/>
        <w:ind w:right="180" w:firstLine="348"/>
        <w:spacing w:after="0" w:line="262" w:lineRule="auto"/>
        <w:rPr>
          <w:sz w:val="20"/>
          <w:szCs w:val="20"/>
          <w:color w:val="auto"/>
        </w:rPr>
      </w:pPr>
      <w:r>
        <w:rPr>
          <w:rFonts w:ascii="Times New Roman" w:cs="Times New Roman" w:eastAsia="Times New Roman" w:hAnsi="Times New Roman"/>
          <w:sz w:val="18"/>
          <w:szCs w:val="18"/>
          <w:color w:val="auto"/>
        </w:rPr>
        <w:t>The expenses presented below for each segment include allocations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86" w:lineRule="exact"/>
        <w:rPr>
          <w:sz w:val="20"/>
          <w:szCs w:val="20"/>
          <w:color w:val="auto"/>
        </w:rPr>
      </w:pPr>
    </w:p>
    <w:p>
      <w:pPr>
        <w:ind w:right="300" w:firstLine="341"/>
        <w:spacing w:after="0" w:line="256" w:lineRule="auto"/>
        <w:rPr>
          <w:sz w:val="20"/>
          <w:szCs w:val="20"/>
          <w:color w:val="auto"/>
        </w:rPr>
      </w:pPr>
      <w:r>
        <w:rPr>
          <w:rFonts w:ascii="Times New Roman" w:cs="Times New Roman" w:eastAsia="Times New Roman" w:hAnsi="Times New Roman"/>
          <w:sz w:val="18"/>
          <w:szCs w:val="18"/>
          <w:color w:val="auto"/>
        </w:rPr>
        <w:t>Adjusted EBITDA is the primary metric by which the chief operating decision maker evaluates the performance of its businesses, on which its internal budgets are based and by which management is compensated. Adjusted EBITDA is defined as operating income or loss (which excludes interest expense and taxes) adjusted to exclude amortization of intangibles and depreciation, and excluding (1) non-cash compensation expense, (2) non-cash intangible asset impairment charges, (3) gain/loss on disposal of assets, (4) restructuring expenses, (5) litigation settlements and contingencies, (6) adjustments for significant acquisitions or dispositions, and (7) one-time items.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and other balance sheet information are not used by the chief operating decision maker.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17—SEGMENT INFORMATION (Continued)</w:t>
      </w:r>
    </w:p>
    <w:p>
      <w:pPr>
        <w:spacing w:after="0" w:line="227"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In the tables below, the Company has updated its annual data to reflect the change in reportable operating segments for the years ended December 31, 2012 and 2011(in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9"/>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For the Year Ended December 31, 2012:</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16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Non-Mortgage</w:t>
            </w:r>
          </w:p>
        </w:tc>
        <w:tc>
          <w:tcPr>
            <w:tcW w:w="160" w:type="dxa"/>
            <w:vAlign w:val="bottom"/>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61,176</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Cost of revenue (exclusive of depreciation shown</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3,238</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35,250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13,677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3,470</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2,888</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15,873</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1,536</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1,991</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45,791</w:t>
            </w:r>
          </w:p>
        </w:tc>
        <w:tc>
          <w:tcPr>
            <w:tcW w:w="160" w:type="dxa"/>
            <w:vAlign w:val="bottom"/>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20,719</w:t>
            </w:r>
          </w:p>
        </w:tc>
        <w:tc>
          <w:tcPr>
            <w:tcW w:w="16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60" w:type="dxa"/>
            <w:vAlign w:val="bottom"/>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80,294</w:t>
            </w:r>
          </w:p>
        </w:tc>
        <w:tc>
          <w:tcPr>
            <w:tcW w:w="16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15,385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(12,137)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to Adjusted EBITDA: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1,536</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1,991</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compensation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(3,101)</w:t>
            </w: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(3,101)</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w w:val="97"/>
              </w:rPr>
              <w:t>Adjustments to reconcile to Income/loss before Taxes:</w:t>
            </w: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5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4"/>
              </w:rPr>
              <w:t>For the Year Ended December 31, 2011: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16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Non-Mortgage</w:t>
            </w:r>
          </w:p>
        </w:tc>
        <w:tc>
          <w:tcPr>
            <w:tcW w:w="160" w:type="dxa"/>
            <w:vAlign w:val="bottom"/>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40,253</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54,617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Cost of revenue (exclusive of depreciation shown</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3,779</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31,759</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46,662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3,261</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2,113</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14,377</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1,429</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1,417</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2,632</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expense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29,000</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29,250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21,672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51,334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115,725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(54,625)</w:t>
            </w:r>
          </w:p>
        </w:tc>
        <w:tc>
          <w:tcPr>
            <w:tcW w:w="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(61,108)</w:t>
            </w:r>
          </w:p>
        </w:tc>
        <w:tc>
          <w:tcPr>
            <w:tcW w:w="16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to Adjusted EBITDA:</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455</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1,417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expense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173</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compensation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550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5,731</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Post-acquisition adjustments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8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(15,577)</w:t>
            </w:r>
          </w:p>
        </w:tc>
        <w:tc>
          <w:tcPr>
            <w:tcW w:w="16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(15,696)</w:t>
            </w:r>
          </w:p>
        </w:tc>
        <w:tc>
          <w:tcPr>
            <w:tcW w:w="16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8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Adjustments to reconcile to Income/loss before Taxes: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(61,476)</w:t>
            </w:r>
          </w:p>
        </w:tc>
        <w:tc>
          <w:tcPr>
            <w:tcW w:w="16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60" w:type="dxa"/>
            <w:vAlign w:val="bottom"/>
            <w:gridSpan w:val="2"/>
            <w:vMerge w:val="restart"/>
          </w:tcPr>
          <w:p>
            <w:pPr>
              <w:jc w:val="right"/>
              <w:ind w:right="65"/>
              <w:spacing w:after="0"/>
              <w:rPr>
                <w:sz w:val="20"/>
                <w:szCs w:val="20"/>
                <w:color w:val="auto"/>
              </w:rPr>
            </w:pPr>
            <w:r>
              <w:rPr>
                <w:rFonts w:ascii="Times New Roman" w:cs="Times New Roman" w:eastAsia="Times New Roman" w:hAnsi="Times New Roman"/>
                <w:sz w:val="18"/>
                <w:szCs w:val="18"/>
                <w:color w:val="auto"/>
              </w:rPr>
              <w:t>84</w:t>
            </w: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7" w:lineRule="exact"/>
        <w:rPr>
          <w:sz w:val="20"/>
          <w:szCs w:val="20"/>
          <w:color w:val="auto"/>
        </w:rPr>
      </w:pPr>
    </w:p>
    <w:p>
      <w:pPr>
        <w:ind w:right="80" w:firstLine="341"/>
        <w:spacing w:after="0" w:line="256"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(the Exchange Act), management, with the participation of our Chief Executive Officer and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due to the material weakness in our internal control over financial reporting that is described below in Management's Report on Internal Control over Financial Reporting, our disclosure controls and procedures were not effective as of December 31, 2012.</w:t>
      </w:r>
    </w:p>
    <w:p>
      <w:pPr>
        <w:spacing w:after="0" w:line="193"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Notwithstanding the identified material weakness described above, management has determined that the financial statements and other financial information included in this report present fairly in all material respects our financial condition, results of operations and cash flows at and for the periods presented in accordance with accounting principles generally accepted in the United States (GAAP).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7"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Management, including our Chief Executive Officer and Chief Financial Officer, assessed the effectiveness of our internal control over financial reporting as of December 31, 2012. In making this assessment, our management used the criteria for effective internal control over financial reporting described in "Internal Control—Integrated Framework" issued by the Committee of Sponsoring Organizations of the Treadway Commission. Based on this assessment, management has determined that due to the material weaknesses described below, our internal control over financial reporting was not effective as of December 31, 2012.</w:t>
      </w:r>
    </w:p>
    <w:p>
      <w:pPr>
        <w:spacing w:after="0" w:line="157" w:lineRule="exact"/>
        <w:rPr>
          <w:sz w:val="20"/>
          <w:szCs w:val="20"/>
          <w:color w:val="auto"/>
        </w:rPr>
      </w:pPr>
    </w:p>
    <w:p>
      <w:pPr>
        <w:ind w:right="100" w:firstLine="341"/>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With respect to our controls over the application and monitoring the accounting for income taxes, we did not have controls designed and in place to ensure effective oversight of the work performed by, and the accuracy of, financial information provided by third-party tax advisors. This control deficiency could result in misstatements of the aforementioned accounts or disclosures that would result in a material misstatement of the consolidated financial statements that would not be prevented or detected. Accordingly, our management has concluded that this control deficiency constitutes a material weakness. This material weakness was identified in connection with our assessment of the effectiveness of internal control over financial reporting as of December 31, 2010, and was determined not to have been remediated as of December 31, 2012.</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With the oversight of our management and the audit committee of our board of directors, we have begun taking steps and plan to take additional measures to remediate the underlying causes of the material weakness described above. With respect to the material weakness related to the application and monitoring of our accounting for income taxes, we have undertaken an evaluation of our available resources to provide effective oversight of the work performed by our third-party tax advisors and are in the process of identifying necessary changes to our processes as required. Additionally, we are evaluating the resources available and provided to us by the third-party tax advisor and identifying changes as required.</w:t>
      </w:r>
    </w:p>
    <w:p>
      <w:pPr>
        <w:spacing w:after="0" w:line="193"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While we believe that these steps and measures will remediate the material weakness, there is a risk that these steps and measures will not be adequate to remediate the material weakness. Until we can provide reasonable assurance that this material weakness has been remediated, this material weakness could result in a misstatement tax related accounts that could result in a material misstatement to our interim or annual consolidated financial statements and disclosures that may not be prevented or detected on a timely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Identified Material Weakness</w:t>
      </w:r>
    </w:p>
    <w:p>
      <w:pPr>
        <w:spacing w:after="0" w:line="227" w:lineRule="exact"/>
        <w:rPr>
          <w:sz w:val="20"/>
          <w:szCs w:val="20"/>
          <w:color w:val="auto"/>
        </w:rPr>
      </w:pPr>
    </w:p>
    <w:p>
      <w:pPr>
        <w:jc w:val="both"/>
        <w:ind w:right="60" w:firstLine="351"/>
        <w:spacing w:after="0" w:line="262" w:lineRule="auto"/>
        <w:rPr>
          <w:sz w:val="20"/>
          <w:szCs w:val="20"/>
          <w:color w:val="auto"/>
        </w:rPr>
      </w:pPr>
      <w:r>
        <w:rPr>
          <w:rFonts w:ascii="Times New Roman" w:cs="Times New Roman" w:eastAsia="Times New Roman" w:hAnsi="Times New Roman"/>
          <w:sz w:val="18"/>
          <w:szCs w:val="18"/>
          <w:color w:val="auto"/>
        </w:rPr>
        <w:t>Management previously identified and disclosed a material weakness in our internal control over financial reporting related to ensuring appropriate levels of review of the methodology and judgmental business and valuation assumptions in accordance with generally accepted valuation techniques that were used in our indefinite-lived intangible assets impairment tests during 2011.</w:t>
      </w:r>
    </w:p>
    <w:p>
      <w:pPr>
        <w:spacing w:after="0" w:line="186"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In response to this material weakness, management strengthened our processes regarding intangible asset impairment analysis, in connection with our annual testing performed during the fourth quarter of each year. These actions included engaging a third-party valuation firm for the annual analysis and implementing additional review procedures over the intangible asset impairment calculation related to overall completeness and accuracy of data inputs in connection with the performance of our annual impairment testing during the fourth quarter. Management tested the implemented and improved controls during the fourth quarter and found them to be effectively designed and operating leading the Company to conclude that this material weakness had been remediated as of December 31, 2012.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ind w:right="80" w:firstLine="341"/>
        <w:spacing w:after="0" w:line="262" w:lineRule="auto"/>
        <w:rPr>
          <w:sz w:val="20"/>
          <w:szCs w:val="20"/>
          <w:color w:val="auto"/>
        </w:rPr>
      </w:pPr>
      <w:r>
        <w:rPr>
          <w:rFonts w:ascii="Times New Roman" w:cs="Times New Roman" w:eastAsia="Times New Roman" w:hAnsi="Times New Roman"/>
          <w:sz w:val="18"/>
          <w:szCs w:val="18"/>
          <w:color w:val="auto"/>
        </w:rPr>
        <w:t>As described above under Remediation of Previously Identified Material Weaknesses, there were changes in our internal control over financial reporting (as defined in the Exchange Act, Rules 13a-15(f)) that occurred during the fourth quarter that have materially affected, or are reasonable likely to materially affect, our internal control over financial reporting.</w:t>
      </w:r>
    </w:p>
    <w:p>
      <w:pPr>
        <w:spacing w:after="0" w:line="18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7"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As set forth below, the information required by Part III (Items 10, 11, 12, 13 and 14) is incorporated herein by reference to Tree.com's definitive proxy statement to be used in connection with its 2013 Annual Meeting of Stockholders and which will be filed with the Securities and Exchange Commission not later than 120 days after the end of the Company's fiscal year ended December 31, 2012 (the "2013 Proxy Statement"), in accordance with General Instruction G(3) of Form 10-K.</w:t>
      </w:r>
    </w:p>
    <w:p>
      <w:pPr>
        <w:spacing w:after="0" w:line="18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i w:val="1"/>
          <w:iCs w:val="1"/>
          <w:color w:val="auto"/>
        </w:rPr>
        <w:t>Directors, Executive Officers and Corporate Governance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information required by Item 10 will be contained in, and is hereby incorporated by reference to, the 2013 Proxy Statement.</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i w:val="1"/>
          <w:iCs w:val="1"/>
          <w:color w:val="auto"/>
        </w:rPr>
        <w:t>Executive Compensation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information required by Item 11 will be contained in, and is hereby incorporated by reference to, the 2013 Proxy Statement.</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information required by Item 12 will be contained in, and is hereby incorporated by reference to, the 2013 Proxy Statement.</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i w:val="1"/>
          <w:iCs w:val="1"/>
          <w:color w:val="auto"/>
        </w:rPr>
        <w:t>Certain Relationships and Related Transactions, and Director Independence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information required by Item 13 will be contained in, and is hereby incorporated by reference to, the 2013 Proxy Statement.</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Principal Accounting Fees and Services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information required by Item 14 will be contained in, and is hereby incorporated by reference to, the 2013 Proxy Statement.</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List of documents filed as part of this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 of Tree.com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Deloitte and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2012 and 2011.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2012 and 2011.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2012 and 2011.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2012 and 2011.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Consolidated Financial Statement Schedules of Tree.com</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Schedule</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771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ind w:left="240"/>
        <w:spacing w:after="0"/>
        <w:tabs>
          <w:tab w:leader="none" w:pos="74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Valuation and Qualifying Accounts</w:t>
      </w:r>
    </w:p>
    <w:p>
      <w:pPr>
        <w:spacing w:after="0" w:line="211" w:lineRule="exact"/>
        <w:rPr>
          <w:sz w:val="20"/>
          <w:szCs w:val="20"/>
          <w:color w:val="auto"/>
        </w:rPr>
      </w:pPr>
    </w:p>
    <w:p>
      <w:pPr>
        <w:ind w:firstLine="341"/>
        <w:spacing w:after="0" w:line="275" w:lineRule="auto"/>
        <w:rPr>
          <w:sz w:val="20"/>
          <w:szCs w:val="20"/>
          <w:color w:val="auto"/>
        </w:rPr>
      </w:pPr>
      <w:r>
        <w:rPr>
          <w:rFonts w:ascii="Times New Roman" w:cs="Times New Roman" w:eastAsia="Times New Roman" w:hAnsi="Times New Roman"/>
          <w:sz w:val="18"/>
          <w:szCs w:val="18"/>
          <w:color w:val="auto"/>
        </w:rPr>
        <w:t>All other financial statements and schedules not listed have been omitted since the required information is included in the Consolidated Financial Statements or the notes thereto, or is not applicable or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27"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The documents set forth below, numbered in accordance with Item 601 of Regulation S-K, are filed herewith or incorporated herein by reference to the location indicated below.</w:t>
      </w:r>
    </w:p>
    <w:p>
      <w:pPr>
        <w:spacing w:after="0" w:line="15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165"/>
        </w:trPr>
        <w:tc>
          <w:tcPr>
            <w:tcW w:w="9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195"/>
        </w:trPr>
        <w:tc>
          <w:tcPr>
            <w:tcW w:w="9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Amended and Restated Certificate of Incorporation of</w:t>
            </w:r>
          </w:p>
        </w:tc>
        <w:tc>
          <w:tcPr>
            <w:tcW w:w="1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Exhibit 3.1 to the Registrant's Current Report on</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Tree.com, Inc.</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8-K filed August 25, 2008</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Amended and Restated By-laws of Tree.com, Inc.</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Exhibit 3.2 to the Registrant's Current Report on</w:t>
            </w:r>
          </w:p>
        </w:tc>
      </w:tr>
      <w:tr>
        <w:trPr>
          <w:trHeight w:val="228"/>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8-K filed August 25, 2008</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Separation and Distribution Agreement, dated as of</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Exhibit 10.1 to the Registrant's Registration Statement</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August 20, 2008, by and among IAC/InterActiveCorp,</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 Form S-1 (No. 333-152700), filed August 1, 2008</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HSN, Inc., Interval Leisure Group, Inc., Ticketmaster</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Tree.com, Inc.</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31" w:lineRule="exact"/>
        <w:rPr>
          <w:sz w:val="20"/>
          <w:szCs w:val="20"/>
          <w:color w:val="auto"/>
        </w:rPr>
      </w:pPr>
    </w:p>
    <w:p>
      <w:pPr>
        <w:ind w:left="2260" w:hanging="495"/>
        <w:spacing w:after="0" w:line="258" w:lineRule="auto"/>
        <w:tabs>
          <w:tab w:leader="none" w:pos="2240" w:val="left"/>
        </w:tabs>
        <w:rPr>
          <w:sz w:val="20"/>
          <w:szCs w:val="20"/>
          <w:color w:val="auto"/>
        </w:rPr>
      </w:pPr>
      <w:r>
        <w:rPr>
          <w:rFonts w:ascii="Times New Roman" w:cs="Times New Roman" w:eastAsia="Times New Roman" w:hAnsi="Times New Roman"/>
          <w:sz w:val="18"/>
          <w:szCs w:val="18"/>
          <w:color w:val="auto"/>
        </w:rPr>
        <w:t>10.2</w:t>
        <w:tab/>
        <w:t>Tax Sharing Agreement, dated as of August 20, 2008, by and among IAC/InterActiveCorp, HSN, Inc., Interval Leisure Group, Inc., Ticketmaster and Tree.com, Inc.</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1500"/>
        <w:spacing w:after="0" w:line="275" w:lineRule="auto"/>
        <w:rPr>
          <w:sz w:val="20"/>
          <w:szCs w:val="20"/>
          <w:color w:val="auto"/>
        </w:rPr>
      </w:pPr>
      <w:r>
        <w:rPr>
          <w:rFonts w:ascii="Times New Roman" w:cs="Times New Roman" w:eastAsia="Times New Roman" w:hAnsi="Times New Roman"/>
          <w:sz w:val="18"/>
          <w:szCs w:val="18"/>
          <w:color w:val="auto"/>
        </w:rPr>
        <w:t>Exhibit 10.2 to the Registrant's Current Report on Form 8-K filed August 25, 2008</w:t>
      </w:r>
    </w:p>
    <w:p>
      <w:pPr>
        <w:spacing w:after="0" w:line="615" w:lineRule="exact"/>
        <w:rPr>
          <w:sz w:val="20"/>
          <w:szCs w:val="20"/>
          <w:color w:val="auto"/>
        </w:rPr>
      </w:pPr>
    </w:p>
    <w:p>
      <w:pPr>
        <w:sectPr>
          <w:pgSz w:w="11900" w:h="16838" w:orient="portrait"/>
          <w:cols w:equalWidth="0" w:num="2">
            <w:col w:w="6040" w:space="320"/>
            <w:col w:w="5000"/>
          </w:cols>
          <w:pgMar w:left="240" w:top="125" w:right="299" w:bottom="1440" w:gutter="0" w:footer="0" w:header="0"/>
          <w:type w:val="continuous"/>
        </w:sectPr>
      </w:pPr>
    </w:p>
    <w:p>
      <w:pPr>
        <w:spacing w:after="0" w:line="17" w:lineRule="exact"/>
        <w:rPr>
          <w:sz w:val="20"/>
          <w:szCs w:val="20"/>
          <w:color w:val="auto"/>
        </w:rPr>
      </w:pPr>
    </w:p>
    <w:p>
      <w:pPr>
        <w:ind w:left="2260" w:hanging="495"/>
        <w:spacing w:after="0" w:line="258" w:lineRule="auto"/>
        <w:tabs>
          <w:tab w:leader="none" w:pos="2240" w:val="left"/>
        </w:tabs>
        <w:rPr>
          <w:sz w:val="20"/>
          <w:szCs w:val="20"/>
          <w:color w:val="auto"/>
        </w:rPr>
      </w:pPr>
      <w:r>
        <w:rPr>
          <w:rFonts w:ascii="Times New Roman" w:cs="Times New Roman" w:eastAsia="Times New Roman" w:hAnsi="Times New Roman"/>
          <w:sz w:val="18"/>
          <w:szCs w:val="18"/>
          <w:color w:val="auto"/>
        </w:rPr>
        <w:t>10.3</w:t>
        <w:tab/>
        <w:t>Employee Matters Agreement, dated as of August 20, 2008, by and among IAC/InterActiveCorp, HSN, Inc., Interval Leisure Group, Inc., Ticketmaster and Tree.com, Inc.</w:t>
      </w:r>
    </w:p>
    <w:p>
      <w:pPr>
        <w:spacing w:after="0" w:line="20" w:lineRule="exact"/>
        <w:rPr>
          <w:sz w:val="20"/>
          <w:szCs w:val="20"/>
          <w:color w:val="auto"/>
        </w:rPr>
      </w:pPr>
      <w:r>
        <w:rPr>
          <w:sz w:val="20"/>
          <w:szCs w:val="20"/>
          <w:color w:val="auto"/>
        </w:rPr>
        <w:br w:type="column"/>
      </w:r>
    </w:p>
    <w:p>
      <w:pPr>
        <w:ind w:right="1500"/>
        <w:spacing w:after="0" w:line="275" w:lineRule="auto"/>
        <w:rPr>
          <w:sz w:val="20"/>
          <w:szCs w:val="20"/>
          <w:color w:val="auto"/>
        </w:rPr>
      </w:pPr>
      <w:r>
        <w:rPr>
          <w:rFonts w:ascii="Times New Roman" w:cs="Times New Roman" w:eastAsia="Times New Roman" w:hAnsi="Times New Roman"/>
          <w:sz w:val="18"/>
          <w:szCs w:val="18"/>
          <w:color w:val="auto"/>
        </w:rPr>
        <w:t>Exhibit 10.3 to the Registrant's Current Report on Form 8-K filed August 25, 2008</w:t>
      </w:r>
    </w:p>
    <w:p>
      <w:pPr>
        <w:spacing w:after="0" w:line="615" w:lineRule="exact"/>
        <w:rPr>
          <w:sz w:val="20"/>
          <w:szCs w:val="20"/>
          <w:color w:val="auto"/>
        </w:rPr>
      </w:pPr>
    </w:p>
    <w:p>
      <w:pPr>
        <w:sectPr>
          <w:pgSz w:w="11900" w:h="16838" w:orient="portrait"/>
          <w:cols w:equalWidth="0" w:num="2">
            <w:col w:w="6080" w:space="280"/>
            <w:col w:w="5000"/>
          </w:cols>
          <w:pgMar w:left="240" w:top="125" w:right="29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ind w:left="1360"/>
        <w:spacing w:after="0"/>
        <w:tabs>
          <w:tab w:leader="none" w:pos="38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902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260" w:hanging="495"/>
        <w:spacing w:after="0" w:line="253" w:lineRule="auto"/>
        <w:tabs>
          <w:tab w:leader="none" w:pos="2240" w:val="left"/>
        </w:tabs>
        <w:rPr>
          <w:sz w:val="20"/>
          <w:szCs w:val="20"/>
          <w:color w:val="auto"/>
        </w:rPr>
      </w:pPr>
      <w:r>
        <w:rPr>
          <w:rFonts w:ascii="Times New Roman" w:cs="Times New Roman" w:eastAsia="Times New Roman" w:hAnsi="Times New Roman"/>
          <w:sz w:val="18"/>
          <w:szCs w:val="18"/>
          <w:color w:val="auto"/>
        </w:rPr>
        <w:t>10.4</w:t>
        <w:tab/>
        <w:t>Transition Services Agreement, dated as of August 20, 2008, by and among IAC/InterActiveCorp, HSN, Inc., Interval Leisure Group, Inc., Ticketmaster and Tree.com,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24872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420"/>
        <w:spacing w:after="0" w:line="259" w:lineRule="auto"/>
        <w:rPr>
          <w:sz w:val="20"/>
          <w:szCs w:val="20"/>
          <w:color w:val="auto"/>
        </w:rPr>
      </w:pPr>
      <w:r>
        <w:rPr>
          <w:rFonts w:ascii="Times New Roman" w:cs="Times New Roman" w:eastAsia="Times New Roman" w:hAnsi="Times New Roman"/>
          <w:sz w:val="18"/>
          <w:szCs w:val="18"/>
          <w:color w:val="auto"/>
        </w:rPr>
        <w:t>Exhibit 10.4 to the Registrant's Current Report on Form 8-K filed August 25, 2008</w:t>
      </w:r>
    </w:p>
    <w:p>
      <w:pPr>
        <w:spacing w:after="0" w:line="626" w:lineRule="exact"/>
        <w:rPr>
          <w:sz w:val="20"/>
          <w:szCs w:val="20"/>
          <w:color w:val="auto"/>
        </w:rPr>
      </w:pPr>
    </w:p>
    <w:p>
      <w:pPr>
        <w:sectPr>
          <w:pgSz w:w="11900" w:h="16838" w:orient="portrait"/>
          <w:cols w:equalWidth="0" w:num="2">
            <w:col w:w="6100" w:space="260"/>
            <w:col w:w="3920"/>
          </w:cols>
          <w:pgMar w:left="240" w:top="125" w:right="1379" w:bottom="1440" w:gutter="0" w:footer="0" w:header="0"/>
        </w:sectPr>
      </w:pPr>
    </w:p>
    <w:p>
      <w:pPr>
        <w:spacing w:after="0" w:line="21" w:lineRule="exact"/>
        <w:rPr>
          <w:sz w:val="20"/>
          <w:szCs w:val="20"/>
          <w:color w:val="auto"/>
        </w:rPr>
      </w:pPr>
    </w:p>
    <w:p>
      <w:pPr>
        <w:ind w:left="2260" w:right="20" w:hanging="495"/>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10.5</w:t>
        <w:tab/>
        <w:t>Registration Rights Agreement, dated as of August 20, 2008, among Tree.com, Inc., Liberty Media Corporation and Liberty USA Holdings, LLC</w:t>
      </w:r>
    </w:p>
    <w:p>
      <w:pPr>
        <w:spacing w:after="0" w:line="213" w:lineRule="exact"/>
        <w:rPr>
          <w:sz w:val="20"/>
          <w:szCs w:val="20"/>
          <w:color w:val="auto"/>
        </w:rPr>
      </w:pPr>
    </w:p>
    <w:p>
      <w:pPr>
        <w:ind w:left="2260" w:hanging="495"/>
        <w:spacing w:after="0" w:line="258" w:lineRule="auto"/>
        <w:tabs>
          <w:tab w:leader="none" w:pos="2240" w:val="left"/>
        </w:tabs>
        <w:rPr>
          <w:sz w:val="20"/>
          <w:szCs w:val="20"/>
          <w:color w:val="auto"/>
        </w:rPr>
      </w:pPr>
      <w:r>
        <w:rPr>
          <w:rFonts w:ascii="Times New Roman" w:cs="Times New Roman" w:eastAsia="Times New Roman" w:hAnsi="Times New Roman"/>
          <w:sz w:val="18"/>
          <w:szCs w:val="18"/>
          <w:color w:val="auto"/>
        </w:rPr>
        <w:t>10.6</w:t>
        <w:tab/>
        <w:t>Spinco Assignment and Assumption Agreement, dated as of August 20, 2008, among IAC/InterActiveCorp, Tree.com, Inc., Liberty Media Corporation and Liberty USA Holdings, LLC</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Exhibit 10.5 to the Registrant's Current Report on Form 8-K filed August 25, 2008</w:t>
      </w:r>
    </w:p>
    <w:p>
      <w:pPr>
        <w:spacing w:after="0" w:line="200" w:lineRule="exact"/>
        <w:rPr>
          <w:sz w:val="20"/>
          <w:szCs w:val="20"/>
          <w:color w:val="auto"/>
        </w:rPr>
      </w:pPr>
    </w:p>
    <w:p>
      <w:pPr>
        <w:spacing w:after="0" w:line="217"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Exhibit 10.6 to the Registrant's Current Report on Form 8-K filed August 25, 2008</w:t>
      </w:r>
    </w:p>
    <w:p>
      <w:pPr>
        <w:spacing w:after="0" w:line="615" w:lineRule="exact"/>
        <w:rPr>
          <w:sz w:val="20"/>
          <w:szCs w:val="20"/>
          <w:color w:val="auto"/>
        </w:rPr>
      </w:pPr>
    </w:p>
    <w:p>
      <w:pPr>
        <w:sectPr>
          <w:pgSz w:w="11900" w:h="16838" w:orient="portrait"/>
          <w:cols w:equalWidth="0" w:num="2">
            <w:col w:w="6120" w:space="240"/>
            <w:col w:w="3920"/>
          </w:cols>
          <w:pgMar w:left="240" w:top="125" w:right="1379" w:bottom="1440" w:gutter="0" w:footer="0" w:header="0"/>
          <w:type w:val="continuous"/>
        </w:sectPr>
      </w:pPr>
    </w:p>
    <w:p>
      <w:pPr>
        <w:spacing w:after="0" w:line="17" w:lineRule="exact"/>
        <w:rPr>
          <w:sz w:val="20"/>
          <w:szCs w:val="20"/>
          <w:color w:val="auto"/>
        </w:rPr>
      </w:pPr>
    </w:p>
    <w:p>
      <w:pPr>
        <w:ind w:left="2260" w:hanging="495"/>
        <w:spacing w:after="0" w:line="275" w:lineRule="auto"/>
        <w:tabs>
          <w:tab w:leader="none" w:pos="2240" w:val="left"/>
        </w:tabs>
        <w:rPr>
          <w:sz w:val="20"/>
          <w:szCs w:val="20"/>
          <w:color w:val="auto"/>
        </w:rPr>
      </w:pPr>
      <w:r>
        <w:rPr>
          <w:rFonts w:ascii="Times New Roman" w:cs="Times New Roman" w:eastAsia="Times New Roman" w:hAnsi="Times New Roman"/>
          <w:sz w:val="18"/>
          <w:szCs w:val="18"/>
          <w:color w:val="auto"/>
        </w:rPr>
        <w:t>10.7</w:t>
        <w:tab/>
        <w:t>Employment Agreement between Robert L. Harris and LendingTree, LLC, dated as of June 30, 2008*</w:t>
      </w:r>
    </w:p>
    <w:p>
      <w:pPr>
        <w:spacing w:after="0" w:line="201" w:lineRule="exact"/>
        <w:rPr>
          <w:sz w:val="20"/>
          <w:szCs w:val="20"/>
          <w:color w:val="auto"/>
        </w:rPr>
      </w:pPr>
    </w:p>
    <w:p>
      <w:pPr>
        <w:ind w:left="2260" w:hanging="495"/>
        <w:spacing w:after="0" w:line="290" w:lineRule="auto"/>
        <w:tabs>
          <w:tab w:leader="none" w:pos="22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6"/>
          <w:szCs w:val="16"/>
          <w:color w:val="auto"/>
        </w:rPr>
        <w:t>Amended and Restated Restricted Share Grant and Shareholders' Agreement, dated as of July 7, 2003, by and among Forest Merger Corp., LendingTree, Inc., InterActiveCorp and the Grantees named therein, as amended (filed as Exhibit 99.4 to Amendment No. 1 to IAC/InterActiveCorp's Registration Statement on Form S-4 (SEC File No. 333-105876) filed on July 10, 2003 and incorporated herein by reference)*</w:t>
      </w:r>
    </w:p>
    <w:p>
      <w:pPr>
        <w:spacing w:after="0" w:line="20" w:lineRule="exact"/>
        <w:rPr>
          <w:sz w:val="20"/>
          <w:szCs w:val="20"/>
          <w:color w:val="auto"/>
        </w:rPr>
      </w:pPr>
      <w:r>
        <w:rPr>
          <w:sz w:val="20"/>
          <w:szCs w:val="20"/>
          <w:color w:val="auto"/>
        </w:rPr>
        <w:br w:type="column"/>
      </w:r>
    </w:p>
    <w:p>
      <w:pPr>
        <w:ind w:right="100"/>
        <w:spacing w:after="0" w:line="339" w:lineRule="auto"/>
        <w:rPr>
          <w:sz w:val="20"/>
          <w:szCs w:val="20"/>
          <w:color w:val="auto"/>
        </w:rPr>
      </w:pPr>
      <w:r>
        <w:rPr>
          <w:rFonts w:ascii="Times New Roman" w:cs="Times New Roman" w:eastAsia="Times New Roman" w:hAnsi="Times New Roman"/>
          <w:sz w:val="16"/>
          <w:szCs w:val="16"/>
          <w:color w:val="auto"/>
        </w:rPr>
        <w:t>Exhibit 10.5 to the Registrant's Registration Statement on Form S-1 (No. 333-152700), filed August 1, 2008</w:t>
      </w:r>
    </w:p>
    <w:p>
      <w:pPr>
        <w:spacing w:after="0" w:line="156"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auto"/>
        </w:rPr>
        <w:t>Exhibit 10.8 to the Registrant's Registration Statement on Form S-1 (No. 333-152700), filed August 1, 2008</w:t>
      </w:r>
    </w:p>
    <w:p>
      <w:pPr>
        <w:spacing w:after="0" w:line="1451" w:lineRule="exact"/>
        <w:rPr>
          <w:sz w:val="20"/>
          <w:szCs w:val="20"/>
          <w:color w:val="auto"/>
        </w:rPr>
      </w:pPr>
    </w:p>
    <w:p>
      <w:pPr>
        <w:sectPr>
          <w:pgSz w:w="11900" w:h="16838" w:orient="portrait"/>
          <w:cols w:equalWidth="0" w:num="2">
            <w:col w:w="6120" w:space="240"/>
            <w:col w:w="3920"/>
          </w:cols>
          <w:pgMar w:left="240" w:top="125" w:right="1379" w:bottom="1440" w:gutter="0" w:footer="0" w:header="0"/>
          <w:type w:val="continuous"/>
        </w:sectPr>
      </w:pPr>
    </w:p>
    <w:p>
      <w:pPr>
        <w:jc w:val="both"/>
        <w:ind w:left="2260" w:hanging="495"/>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10.9</w:t>
        <w:tab/>
        <w:t>Correspondent Loan Purchase Agreement, dated as of April 26, 2004, between CitiMortgage, Inc. and Home Loan Center, Inc.</w:t>
      </w:r>
    </w:p>
    <w:p>
      <w:pPr>
        <w:spacing w:after="0" w:line="213" w:lineRule="exact"/>
        <w:rPr>
          <w:sz w:val="20"/>
          <w:szCs w:val="20"/>
          <w:color w:val="auto"/>
        </w:rPr>
      </w:pPr>
    </w:p>
    <w:p>
      <w:pPr>
        <w:ind w:left="226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10.10</w:t>
        <w:tab/>
        <w:t>Loan Purchase Agreement, dated as of April 16, 2002, between Countrywide Home Loans, Inc. and Home Loan Center, Inc.</w:t>
      </w:r>
    </w:p>
    <w:p>
      <w:pPr>
        <w:spacing w:after="0" w:line="213" w:lineRule="exact"/>
        <w:rPr>
          <w:sz w:val="20"/>
          <w:szCs w:val="20"/>
          <w:color w:val="auto"/>
        </w:rPr>
      </w:pPr>
    </w:p>
    <w:p>
      <w:pPr>
        <w:ind w:left="2260" w:right="280" w:hanging="576"/>
        <w:spacing w:after="0" w:line="275" w:lineRule="auto"/>
        <w:tabs>
          <w:tab w:leader="none" w:pos="2240" w:val="left"/>
        </w:tabs>
        <w:rPr>
          <w:sz w:val="20"/>
          <w:szCs w:val="20"/>
          <w:color w:val="auto"/>
        </w:rPr>
      </w:pPr>
      <w:r>
        <w:rPr>
          <w:rFonts w:ascii="Times New Roman" w:cs="Times New Roman" w:eastAsia="Times New Roman" w:hAnsi="Times New Roman"/>
          <w:sz w:val="18"/>
          <w:szCs w:val="18"/>
          <w:color w:val="auto"/>
        </w:rPr>
        <w:t>10.11</w:t>
        <w:tab/>
        <w:t>Second amended and restated Tree.com, Inc. 2008 Stock and Annual Incentive Plan*</w:t>
      </w:r>
    </w:p>
    <w:p>
      <w:pPr>
        <w:spacing w:after="0" w:line="201" w:lineRule="exact"/>
        <w:rPr>
          <w:sz w:val="20"/>
          <w:szCs w:val="20"/>
          <w:color w:val="auto"/>
        </w:rPr>
      </w:pPr>
    </w:p>
    <w:p>
      <w:pPr>
        <w:ind w:left="2260" w:right="60" w:hanging="583"/>
        <w:spacing w:after="0" w:line="256" w:lineRule="auto"/>
        <w:tabs>
          <w:tab w:leader="none" w:pos="2240" w:val="left"/>
        </w:tabs>
        <w:rPr>
          <w:sz w:val="20"/>
          <w:szCs w:val="20"/>
          <w:color w:val="auto"/>
        </w:rPr>
      </w:pPr>
      <w:r>
        <w:rPr>
          <w:rFonts w:ascii="Times New Roman" w:cs="Times New Roman" w:eastAsia="Times New Roman" w:hAnsi="Times New Roman"/>
          <w:sz w:val="18"/>
          <w:szCs w:val="18"/>
          <w:color w:val="auto"/>
        </w:rPr>
        <w:t>10.12</w:t>
        <w:tab/>
        <w:t>Warehousing Credit Agreement, dated as of November 26, 2007, by and among Home Loan Center, Inc. d/b/a LendingTree Loans, National City Bank and National City Bank in its capacity as Agent for the Banks (as defined therein)</w:t>
      </w:r>
    </w:p>
    <w:p>
      <w:pPr>
        <w:spacing w:after="0" w:line="1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339" w:lineRule="auto"/>
        <w:rPr>
          <w:sz w:val="20"/>
          <w:szCs w:val="20"/>
          <w:color w:val="auto"/>
        </w:rPr>
      </w:pPr>
      <w:r>
        <w:rPr>
          <w:rFonts w:ascii="Times New Roman" w:cs="Times New Roman" w:eastAsia="Times New Roman" w:hAnsi="Times New Roman"/>
          <w:sz w:val="16"/>
          <w:szCs w:val="16"/>
          <w:color w:val="auto"/>
        </w:rPr>
        <w:t>Exhibit 10.9 to the Registrant's Registration Statement on Form S-1 (No. 333-152700), filed August 1, 2008</w:t>
      </w:r>
    </w:p>
    <w:p>
      <w:pPr>
        <w:spacing w:after="0" w:line="372"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Exhibit 10.10 to the Registrant's Registration Statement on Form S-1 (No. 333-152700), filed August 1, 2008</w:t>
      </w:r>
    </w:p>
    <w:p>
      <w:pPr>
        <w:spacing w:after="0" w:line="372"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Exhibit 10.2 to the Registrant's current report on Form 8-K filed May 1, 2009</w:t>
      </w:r>
    </w:p>
    <w:p>
      <w:pPr>
        <w:spacing w:after="0" w:line="201"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Exhibit 10.12 to the Registrant's Registration Statement on Form S-1 (No. 333-152700), filed August 1, 2008</w:t>
      </w:r>
    </w:p>
    <w:p>
      <w:pPr>
        <w:sectPr>
          <w:pgSz w:w="11900" w:h="16838" w:orient="portrait"/>
          <w:cols w:equalWidth="0" w:num="2">
            <w:col w:w="6080" w:space="280"/>
            <w:col w:w="3920"/>
          </w:cols>
          <w:pgMar w:left="240" w:top="125" w:right="137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ind w:left="1360"/>
        <w:spacing w:after="0"/>
        <w:tabs>
          <w:tab w:leader="none" w:pos="38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902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1680"/>
        <w:spacing w:after="0"/>
        <w:tabs>
          <w:tab w:leader="none" w:pos="224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6"/>
          <w:szCs w:val="16"/>
          <w:color w:val="auto"/>
        </w:rPr>
        <w:t>Second Amendment to Warehousing Credit</w:t>
      </w:r>
    </w:p>
    <w:p>
      <w:pPr>
        <w:spacing w:after="0" w:line="8" w:lineRule="exact"/>
        <w:rPr>
          <w:sz w:val="20"/>
          <w:szCs w:val="20"/>
          <w:color w:val="auto"/>
        </w:rPr>
      </w:pPr>
    </w:p>
    <w:p>
      <w:pPr>
        <w:ind w:left="2260"/>
        <w:spacing w:after="0" w:line="234" w:lineRule="auto"/>
        <w:rPr>
          <w:sz w:val="20"/>
          <w:szCs w:val="20"/>
          <w:color w:val="auto"/>
        </w:rPr>
      </w:pPr>
      <w:r>
        <w:rPr>
          <w:rFonts w:ascii="Times New Roman" w:cs="Times New Roman" w:eastAsia="Times New Roman" w:hAnsi="Times New Roman"/>
          <w:sz w:val="18"/>
          <w:szCs w:val="18"/>
          <w:color w:val="auto"/>
        </w:rPr>
        <w:t>Agreement, made and entered into as of the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December, 2008, and to be effective as of the 30 th day of December, 2008, by and among Home Loan Center, Inc. d/b/a LendingTree Loans, National City Bank and National City Bank in its capacity as Agent for the Banks (as defined therein).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24872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420"/>
        <w:spacing w:after="0" w:line="259"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December 17, 2008</w:t>
      </w:r>
    </w:p>
    <w:p>
      <w:pPr>
        <w:spacing w:after="0" w:line="1302" w:lineRule="exact"/>
        <w:rPr>
          <w:sz w:val="20"/>
          <w:szCs w:val="20"/>
          <w:color w:val="auto"/>
        </w:rPr>
      </w:pPr>
    </w:p>
    <w:p>
      <w:pPr>
        <w:sectPr>
          <w:pgSz w:w="11900" w:h="16838" w:orient="portrait"/>
          <w:cols w:equalWidth="0" w:num="2">
            <w:col w:w="6140" w:space="220"/>
            <w:col w:w="3920"/>
          </w:cols>
          <w:pgMar w:left="240" w:top="125" w:right="1379" w:bottom="1440" w:gutter="0" w:footer="0" w:header="0"/>
        </w:sectPr>
      </w:pPr>
    </w:p>
    <w:p>
      <w:pPr>
        <w:spacing w:after="0" w:line="34" w:lineRule="exact"/>
        <w:rPr>
          <w:sz w:val="20"/>
          <w:szCs w:val="20"/>
          <w:color w:val="auto"/>
        </w:rPr>
      </w:pPr>
    </w:p>
    <w:p>
      <w:pPr>
        <w:ind w:left="2260" w:hanging="583"/>
        <w:spacing w:after="0" w:line="258" w:lineRule="auto"/>
        <w:tabs>
          <w:tab w:leader="none" w:pos="2240" w:val="left"/>
        </w:tabs>
        <w:rPr>
          <w:sz w:val="20"/>
          <w:szCs w:val="20"/>
          <w:color w:val="auto"/>
        </w:rPr>
      </w:pPr>
      <w:r>
        <w:rPr>
          <w:rFonts w:ascii="Times New Roman" w:cs="Times New Roman" w:eastAsia="Times New Roman" w:hAnsi="Times New Roman"/>
          <w:sz w:val="18"/>
          <w:szCs w:val="18"/>
          <w:color w:val="auto"/>
        </w:rPr>
        <w:t>10.14</w:t>
        <w:tab/>
        <w:t>Master Repurchase Agreement, dated as of January 25, 2008, by and among Countrywide Bank, FSB and Home Loan Center, Inc. (the "Master Repurchase Agreement")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Exhibit 10.13 to the Registrant's Registration Statement on Form S-1 (No. 333-152700), filed August 1, 2008</w:t>
      </w:r>
    </w:p>
    <w:p>
      <w:pPr>
        <w:spacing w:after="0" w:line="570" w:lineRule="exact"/>
        <w:rPr>
          <w:sz w:val="20"/>
          <w:szCs w:val="20"/>
          <w:color w:val="auto"/>
        </w:rPr>
      </w:pPr>
    </w:p>
    <w:p>
      <w:pPr>
        <w:sectPr>
          <w:pgSz w:w="11900" w:h="16838" w:orient="portrait"/>
          <w:cols w:equalWidth="0" w:num="2">
            <w:col w:w="6140" w:space="220"/>
            <w:col w:w="3920"/>
          </w:cols>
          <w:pgMar w:left="240" w:top="125" w:right="1379" w:bottom="1440" w:gutter="0" w:footer="0" w:header="0"/>
          <w:type w:val="continuous"/>
        </w:sectPr>
      </w:pPr>
    </w:p>
    <w:p>
      <w:pPr>
        <w:spacing w:after="0" w:line="17" w:lineRule="exact"/>
        <w:rPr>
          <w:sz w:val="20"/>
          <w:szCs w:val="20"/>
          <w:color w:val="auto"/>
        </w:rPr>
      </w:pPr>
    </w:p>
    <w:p>
      <w:pPr>
        <w:ind w:left="226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10.15</w:t>
        <w:tab/>
        <w:t>Notice, dated June 25, 2008, issued by Countrywide Warehouse Lending, regarding certain amendments to the Master Repurchase Agreement</w:t>
      </w:r>
    </w:p>
    <w:p>
      <w:pPr>
        <w:spacing w:after="0" w:line="213" w:lineRule="exact"/>
        <w:rPr>
          <w:sz w:val="20"/>
          <w:szCs w:val="20"/>
          <w:color w:val="auto"/>
        </w:rPr>
      </w:pPr>
    </w:p>
    <w:p>
      <w:pPr>
        <w:ind w:left="2260" w:right="20" w:hanging="583"/>
        <w:spacing w:after="0" w:line="301" w:lineRule="auto"/>
        <w:tabs>
          <w:tab w:leader="none" w:pos="224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6"/>
          <w:szCs w:val="16"/>
          <w:color w:val="auto"/>
        </w:rPr>
        <w:t>Amendment to Master Repurchase Agreement No. 1 made and entered into as of February 23, 2009 by and between the Warehouse Lending Division of Countrywide Bank, FSB and Home Loan Center, Inc.</w:t>
      </w:r>
    </w:p>
    <w:p>
      <w:pPr>
        <w:spacing w:after="0" w:line="20" w:lineRule="exact"/>
        <w:rPr>
          <w:sz w:val="20"/>
          <w:szCs w:val="20"/>
          <w:color w:val="auto"/>
        </w:rPr>
      </w:pPr>
      <w:r>
        <w:rPr>
          <w:sz w:val="20"/>
          <w:szCs w:val="20"/>
          <w:color w:val="auto"/>
        </w:rPr>
        <w:br w:type="column"/>
      </w:r>
    </w:p>
    <w:p>
      <w:pPr>
        <w:spacing w:after="0" w:line="339" w:lineRule="auto"/>
        <w:rPr>
          <w:sz w:val="20"/>
          <w:szCs w:val="20"/>
          <w:color w:val="auto"/>
        </w:rPr>
      </w:pPr>
      <w:r>
        <w:rPr>
          <w:rFonts w:ascii="Times New Roman" w:cs="Times New Roman" w:eastAsia="Times New Roman" w:hAnsi="Times New Roman"/>
          <w:sz w:val="16"/>
          <w:szCs w:val="16"/>
          <w:color w:val="auto"/>
        </w:rPr>
        <w:t>Exhibit 10.14 to the Registrant's Registration Statement on Form S-1 (No. 333-152700), filed August 1, 2008</w:t>
      </w:r>
    </w:p>
    <w:p>
      <w:pPr>
        <w:spacing w:after="0" w:line="37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February 27, 2009</w:t>
      </w:r>
    </w:p>
    <w:p>
      <w:pPr>
        <w:spacing w:after="0" w:line="632" w:lineRule="exact"/>
        <w:rPr>
          <w:sz w:val="20"/>
          <w:szCs w:val="20"/>
          <w:color w:val="auto"/>
        </w:rPr>
      </w:pPr>
    </w:p>
    <w:p>
      <w:pPr>
        <w:sectPr>
          <w:pgSz w:w="11900" w:h="16838" w:orient="portrait"/>
          <w:cols w:equalWidth="0" w:num="2">
            <w:col w:w="6060" w:space="300"/>
            <w:col w:w="3920"/>
          </w:cols>
          <w:pgMar w:left="240" w:top="125" w:right="1379" w:bottom="1440" w:gutter="0" w:footer="0" w:header="0"/>
          <w:type w:val="continuous"/>
        </w:sectPr>
      </w:pPr>
    </w:p>
    <w:p>
      <w:pPr>
        <w:ind w:left="2260" w:right="500" w:hanging="583"/>
        <w:spacing w:after="0" w:line="275" w:lineRule="auto"/>
        <w:tabs>
          <w:tab w:leader="none" w:pos="2240" w:val="left"/>
        </w:tabs>
        <w:rPr>
          <w:sz w:val="20"/>
          <w:szCs w:val="20"/>
          <w:color w:val="auto"/>
        </w:rPr>
      </w:pPr>
      <w:r>
        <w:rPr>
          <w:rFonts w:ascii="Times New Roman" w:cs="Times New Roman" w:eastAsia="Times New Roman" w:hAnsi="Times New Roman"/>
          <w:sz w:val="18"/>
          <w:szCs w:val="18"/>
          <w:color w:val="auto"/>
        </w:rPr>
        <w:t>10.17</w:t>
        <w:tab/>
        <w:t>Deferred Compensation Plan for Non-Employee Directors*</w:t>
      </w:r>
    </w:p>
    <w:p>
      <w:pPr>
        <w:spacing w:after="0" w:line="201" w:lineRule="exact"/>
        <w:rPr>
          <w:sz w:val="20"/>
          <w:szCs w:val="20"/>
          <w:color w:val="auto"/>
        </w:rPr>
      </w:pPr>
    </w:p>
    <w:p>
      <w:pPr>
        <w:ind w:left="2260" w:right="320" w:hanging="583"/>
        <w:spacing w:after="0" w:line="339" w:lineRule="auto"/>
        <w:tabs>
          <w:tab w:leader="none" w:pos="224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6"/>
          <w:szCs w:val="16"/>
          <w:color w:val="auto"/>
        </w:rPr>
        <w:t>Employment Agreement between Matt Packey and LendingTree, LLC, dated as of August 3, 2008*</w:t>
      </w:r>
    </w:p>
    <w:p>
      <w:pPr>
        <w:spacing w:after="0" w:line="156" w:lineRule="exact"/>
        <w:rPr>
          <w:sz w:val="20"/>
          <w:szCs w:val="20"/>
          <w:color w:val="auto"/>
        </w:rPr>
      </w:pPr>
    </w:p>
    <w:p>
      <w:pPr>
        <w:ind w:left="2260" w:hanging="583"/>
        <w:spacing w:after="0" w:line="339" w:lineRule="auto"/>
        <w:tabs>
          <w:tab w:leader="none" w:pos="224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6"/>
          <w:szCs w:val="16"/>
          <w:color w:val="auto"/>
        </w:rPr>
        <w:t>Employment Agreement between Douglas R. Lebda and IAC/InterActiveCorp, dated as of January 7, 2008*</w:t>
      </w:r>
    </w:p>
    <w:p>
      <w:pPr>
        <w:spacing w:after="0" w:line="156" w:lineRule="exact"/>
        <w:rPr>
          <w:sz w:val="20"/>
          <w:szCs w:val="20"/>
          <w:color w:val="auto"/>
        </w:rPr>
      </w:pPr>
    </w:p>
    <w:p>
      <w:pPr>
        <w:ind w:left="2260" w:right="2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10.20</w:t>
        <w:tab/>
        <w:t>Amendment No. 1 to Employment Agreement between Douglas R. Lebda and IAC/InterActiveCorp, dated as of August 15, 2008*</w:t>
      </w:r>
    </w:p>
    <w:p>
      <w:pPr>
        <w:spacing w:after="0" w:line="20" w:lineRule="exact"/>
        <w:rPr>
          <w:sz w:val="20"/>
          <w:szCs w:val="20"/>
          <w:color w:val="auto"/>
        </w:rPr>
      </w:pPr>
      <w:r>
        <w:rPr>
          <w:sz w:val="20"/>
          <w:szCs w:val="20"/>
          <w:color w:val="auto"/>
        </w:rPr>
        <w:br w:type="column"/>
      </w:r>
    </w:p>
    <w:p>
      <w:pPr>
        <w:spacing w:after="0" w:line="339" w:lineRule="auto"/>
        <w:rPr>
          <w:sz w:val="20"/>
          <w:szCs w:val="20"/>
          <w:color w:val="auto"/>
        </w:rPr>
      </w:pPr>
      <w:r>
        <w:rPr>
          <w:rFonts w:ascii="Times New Roman" w:cs="Times New Roman" w:eastAsia="Times New Roman" w:hAnsi="Times New Roman"/>
          <w:sz w:val="16"/>
          <w:szCs w:val="16"/>
          <w:color w:val="auto"/>
        </w:rPr>
        <w:t>Exhibit 10.15 to the Registrant's Registration Statement on Form S-1 (No. 333-152700), filed August 1, 2008</w:t>
      </w:r>
    </w:p>
    <w:p>
      <w:pPr>
        <w:spacing w:after="0" w:line="156"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Exhibit 10.16 to the Registrant's Registration Statement on Form S-1 (No. 333-152700), filed August 1, 2008</w:t>
      </w:r>
    </w:p>
    <w:p>
      <w:pPr>
        <w:spacing w:after="0" w:line="156"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auto"/>
        </w:rPr>
        <w:t>Exhibit 10.6 to the Registrant's Registration Statement on Form S-1 (No. 333-152700), filed August 1, 2008</w:t>
      </w:r>
    </w:p>
    <w:p>
      <w:pPr>
        <w:spacing w:after="0" w:line="156"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Exhibit 99.1 to the Registrant's Current Report on Form 8-K filed August 20, 2008</w:t>
      </w:r>
    </w:p>
    <w:p>
      <w:pPr>
        <w:spacing w:after="0" w:line="403" w:lineRule="exact"/>
        <w:rPr>
          <w:sz w:val="20"/>
          <w:szCs w:val="20"/>
          <w:color w:val="auto"/>
        </w:rPr>
      </w:pPr>
    </w:p>
    <w:p>
      <w:pPr>
        <w:sectPr>
          <w:pgSz w:w="11900" w:h="16838" w:orient="portrait"/>
          <w:cols w:equalWidth="0" w:num="2">
            <w:col w:w="6160" w:space="200"/>
            <w:col w:w="3920"/>
          </w:cols>
          <w:pgMar w:left="240" w:top="125" w:right="1379" w:bottom="1440" w:gutter="0" w:footer="0" w:header="0"/>
          <w:type w:val="continuous"/>
        </w:sectPr>
      </w:pPr>
    </w:p>
    <w:p>
      <w:pPr>
        <w:spacing w:after="0" w:line="13" w:lineRule="exact"/>
        <w:rPr>
          <w:sz w:val="20"/>
          <w:szCs w:val="20"/>
          <w:color w:val="auto"/>
        </w:rPr>
      </w:pPr>
    </w:p>
    <w:p>
      <w:pPr>
        <w:ind w:left="2260" w:hanging="583"/>
        <w:spacing w:after="0" w:line="255" w:lineRule="auto"/>
        <w:tabs>
          <w:tab w:leader="none" w:pos="2240" w:val="left"/>
        </w:tabs>
        <w:rPr>
          <w:sz w:val="20"/>
          <w:szCs w:val="20"/>
          <w:color w:val="auto"/>
        </w:rPr>
      </w:pPr>
      <w:r>
        <w:rPr>
          <w:rFonts w:ascii="Times New Roman" w:cs="Times New Roman" w:eastAsia="Times New Roman" w:hAnsi="Times New Roman"/>
          <w:sz w:val="18"/>
          <w:szCs w:val="18"/>
          <w:color w:val="auto"/>
        </w:rPr>
        <w:t>10.21</w:t>
        <w:tab/>
        <w:t>Restricted Share Grant and Stockholder's Agreement, dated as of August 15, 2008, by and among IAC/InterActiveCorp, LendingTree Holdings Corp. and Douglas R. Lebda, together with Exhibit A thereto, Amended and Restated Certificate of Incorporation of LendingTree Holdings Corp.*</w:t>
      </w:r>
    </w:p>
    <w:p>
      <w:pPr>
        <w:spacing w:after="0" w:line="1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40"/>
        <w:spacing w:after="0" w:line="339" w:lineRule="auto"/>
        <w:rPr>
          <w:sz w:val="20"/>
          <w:szCs w:val="20"/>
          <w:color w:val="auto"/>
        </w:rPr>
      </w:pPr>
      <w:r>
        <w:rPr>
          <w:rFonts w:ascii="Times New Roman" w:cs="Times New Roman" w:eastAsia="Times New Roman" w:hAnsi="Times New Roman"/>
          <w:sz w:val="16"/>
          <w:szCs w:val="16"/>
          <w:color w:val="auto"/>
        </w:rPr>
        <w:t>Exhibits 99.2 and 99.3 to the Registrant's Current Report on Form 8-K filed August 20, 2008</w:t>
      </w:r>
    </w:p>
    <w:p>
      <w:pPr>
        <w:sectPr>
          <w:pgSz w:w="11900" w:h="16838" w:orient="portrait"/>
          <w:cols w:equalWidth="0" w:num="2">
            <w:col w:w="6180" w:space="180"/>
            <w:col w:w="3920"/>
          </w:cols>
          <w:pgMar w:left="240" w:top="125" w:right="1379" w:bottom="1440" w:gutter="0" w:footer="0" w:header="0"/>
          <w:type w:val="continuous"/>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165"/>
        </w:trPr>
        <w:tc>
          <w:tcPr>
            <w:tcW w:w="9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5"/>
        </w:trPr>
        <w:tc>
          <w:tcPr>
            <w:tcW w:w="9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Stock Purchase Agreement, dated February 8, 2009,</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between Tree.com, Inc. and Douglas R. Lebda*</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Amendment No. 2 to the Employment Agreement</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between Douglas R. Lebda and Tree.com, Inc.*</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Amendment No. 1 to the Employment Agreement</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between Robert Harris and Tree.com, Inc.*</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Amendment No. 1 to the Employment Agreement</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between Matthew Packey and Tree.com, Inc.*</w:t>
            </w:r>
          </w:p>
        </w:tc>
      </w:tr>
      <w:tr>
        <w:trPr>
          <w:trHeight w:val="459"/>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of Notice of Restricted Stock Unit Award*</w:t>
            </w:r>
          </w:p>
        </w:tc>
      </w:tr>
      <w:tr>
        <w:trPr>
          <w:trHeight w:val="675"/>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of Restricted Stock Award*</w:t>
            </w:r>
          </w:p>
        </w:tc>
      </w:tr>
      <w:tr>
        <w:trPr>
          <w:trHeight w:val="675"/>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of Notice of Stock Option Award*</w:t>
            </w:r>
          </w:p>
        </w:tc>
      </w:tr>
      <w:tr>
        <w:trPr>
          <w:trHeight w:val="663"/>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Option Cancellation Agreement, made and entered into</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of the 28th day of April, 2009, by and between</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Tree.com, Inc. and Douglas R. Lebda*</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Early Purchase Program Addendum to Loan Purchase</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 made and entered into as of May 1, 2009</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 and between Bank of America, N.A. and Home</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 Center, Inc.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24872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359"/>
        <w:spacing w:after="0" w:line="259"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February 11, 2009</w:t>
      </w:r>
    </w:p>
    <w:p>
      <w:pPr>
        <w:spacing w:after="0" w:line="215"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March 27, 2009</w:t>
      </w:r>
    </w:p>
    <w:p>
      <w:pPr>
        <w:spacing w:after="0" w:line="201"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10.2 to the Registrant's Current Report on Form 8-K filed March 27, 2009</w:t>
      </w:r>
    </w:p>
    <w:p>
      <w:pPr>
        <w:spacing w:after="0" w:line="201"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10.3 to the Registrant's Current Report on Form 8-K filed March 27, 2009</w:t>
      </w:r>
    </w:p>
    <w:p>
      <w:pPr>
        <w:spacing w:after="0" w:line="201"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10.4 to the Registrant's Current Report on Form 8-K filed March 27, 2009</w:t>
      </w:r>
    </w:p>
    <w:p>
      <w:pPr>
        <w:spacing w:after="0" w:line="201"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10.5 to the Registrant's Current Report on Form 8-K filed March 27, 2009</w:t>
      </w:r>
    </w:p>
    <w:p>
      <w:pPr>
        <w:spacing w:after="0" w:line="201"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10.6 to the Registrant's Current Report on Form 8-K filed March 27, 2009</w:t>
      </w:r>
    </w:p>
    <w:p>
      <w:pPr>
        <w:spacing w:after="0" w:line="201"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May 1, 2009</w:t>
      </w:r>
    </w:p>
    <w:p>
      <w:pPr>
        <w:spacing w:after="0" w:line="200" w:lineRule="exact"/>
        <w:rPr>
          <w:sz w:val="20"/>
          <w:szCs w:val="20"/>
          <w:color w:val="auto"/>
        </w:rPr>
      </w:pPr>
    </w:p>
    <w:p>
      <w:pPr>
        <w:spacing w:after="0" w:line="217"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May 6, 2009</w:t>
      </w:r>
    </w:p>
    <w:p>
      <w:pPr>
        <w:spacing w:after="0" w:line="602" w:lineRule="exact"/>
        <w:rPr>
          <w:sz w:val="20"/>
          <w:szCs w:val="20"/>
          <w:color w:val="auto"/>
        </w:rPr>
      </w:pPr>
    </w:p>
    <w:p>
      <w:pPr>
        <w:sectPr>
          <w:pgSz w:w="11900" w:h="16838" w:orient="portrait"/>
          <w:cols w:equalWidth="0" w:num="2">
            <w:col w:w="6180" w:space="180"/>
            <w:col w:w="3859"/>
          </w:cols>
          <w:pgMar w:left="240" w:top="125" w:right="1440" w:bottom="1440" w:gutter="0" w:footer="0" w:header="0"/>
        </w:sectPr>
      </w:pPr>
    </w:p>
    <w:p>
      <w:pPr>
        <w:spacing w:after="0" w:line="31" w:lineRule="exact"/>
        <w:rPr>
          <w:sz w:val="20"/>
          <w:szCs w:val="20"/>
          <w:color w:val="auto"/>
        </w:rPr>
      </w:pPr>
    </w:p>
    <w:p>
      <w:pPr>
        <w:jc w:val="both"/>
        <w:ind w:left="226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10.31</w:t>
        <w:tab/>
        <w:t>Master Repurchase Agreement, made and entered into as of May 1, 2009, by and between Bank of America , N.A. and Home Loan Center, Inc.</w:t>
      </w:r>
    </w:p>
    <w:p>
      <w:pPr>
        <w:spacing w:after="0" w:line="213" w:lineRule="exact"/>
        <w:rPr>
          <w:sz w:val="20"/>
          <w:szCs w:val="20"/>
          <w:color w:val="auto"/>
        </w:rPr>
      </w:pPr>
    </w:p>
    <w:p>
      <w:pPr>
        <w:ind w:left="2260" w:right="40" w:hanging="583"/>
        <w:spacing w:after="0" w:line="258" w:lineRule="auto"/>
        <w:tabs>
          <w:tab w:leader="none" w:pos="2240" w:val="left"/>
        </w:tabs>
        <w:rPr>
          <w:sz w:val="20"/>
          <w:szCs w:val="20"/>
          <w:color w:val="auto"/>
        </w:rPr>
      </w:pPr>
      <w:r>
        <w:rPr>
          <w:rFonts w:ascii="Times New Roman" w:cs="Times New Roman" w:eastAsia="Times New Roman" w:hAnsi="Times New Roman"/>
          <w:sz w:val="18"/>
          <w:szCs w:val="18"/>
          <w:color w:val="auto"/>
        </w:rPr>
        <w:t>10.32</w:t>
        <w:tab/>
        <w:t>Transactions Terms Letter for Master Repurchase Agreement, made and entered into as of May 1, 2009, by and between Bank of America, N.A. and Home Loan Center, Inc.</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10.2 to the Registrant's Current Report on Form 8-K filed May 6, 2009</w:t>
      </w:r>
    </w:p>
    <w:p>
      <w:pPr>
        <w:spacing w:after="0" w:line="200" w:lineRule="exact"/>
        <w:rPr>
          <w:sz w:val="20"/>
          <w:szCs w:val="20"/>
          <w:color w:val="auto"/>
        </w:rPr>
      </w:pPr>
    </w:p>
    <w:p>
      <w:pPr>
        <w:spacing w:after="0" w:line="217"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10.3 to the Registrant's Current Report on Form 8-K filed May 6, 2009</w:t>
      </w:r>
    </w:p>
    <w:p>
      <w:pPr>
        <w:spacing w:after="0" w:line="615" w:lineRule="exact"/>
        <w:rPr>
          <w:sz w:val="20"/>
          <w:szCs w:val="20"/>
          <w:color w:val="auto"/>
        </w:rPr>
      </w:pPr>
    </w:p>
    <w:p>
      <w:pPr>
        <w:sectPr>
          <w:pgSz w:w="11900" w:h="16838" w:orient="portrait"/>
          <w:cols w:equalWidth="0" w:num="2">
            <w:col w:w="6080" w:space="280"/>
            <w:col w:w="3859"/>
          </w:cols>
          <w:pgMar w:left="240" w:top="125" w:right="1440" w:bottom="1440" w:gutter="0" w:footer="0" w:header="0"/>
          <w:type w:val="continuous"/>
        </w:sectPr>
      </w:pPr>
    </w:p>
    <w:p>
      <w:pPr>
        <w:spacing w:after="0" w:line="17" w:lineRule="exact"/>
        <w:rPr>
          <w:sz w:val="20"/>
          <w:szCs w:val="20"/>
          <w:color w:val="auto"/>
        </w:rPr>
      </w:pPr>
    </w:p>
    <w:p>
      <w:pPr>
        <w:ind w:left="226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10.33</w:t>
        <w:tab/>
        <w:t>Master Repurchase Agreement dated as of October 30, 2009, by and between Home Loan Center, Inc. and JPMorgan Chase Bank, N.A.</w:t>
      </w:r>
    </w:p>
    <w:p>
      <w:pPr>
        <w:spacing w:after="0" w:line="213" w:lineRule="exact"/>
        <w:rPr>
          <w:sz w:val="20"/>
          <w:szCs w:val="20"/>
          <w:color w:val="auto"/>
        </w:rPr>
      </w:pPr>
    </w:p>
    <w:p>
      <w:pPr>
        <w:ind w:left="2260" w:right="280" w:hanging="583"/>
        <w:spacing w:after="0" w:line="310" w:lineRule="auto"/>
        <w:tabs>
          <w:tab w:leader="none" w:pos="2240" w:val="left"/>
        </w:tabs>
        <w:rPr>
          <w:sz w:val="20"/>
          <w:szCs w:val="20"/>
          <w:color w:val="auto"/>
        </w:rPr>
      </w:pPr>
      <w:r>
        <w:rPr>
          <w:rFonts w:ascii="Times New Roman" w:cs="Times New Roman" w:eastAsia="Times New Roman" w:hAnsi="Times New Roman"/>
          <w:sz w:val="18"/>
          <w:szCs w:val="18"/>
          <w:color w:val="auto"/>
        </w:rPr>
        <w:t>10.34</w:t>
      </w:r>
      <w:r>
        <w:rPr>
          <w:sz w:val="20"/>
          <w:szCs w:val="20"/>
          <w:color w:val="auto"/>
        </w:rPr>
        <w:tab/>
      </w:r>
      <w:r>
        <w:rPr>
          <w:rFonts w:ascii="Times New Roman" w:cs="Times New Roman" w:eastAsia="Times New Roman" w:hAnsi="Times New Roman"/>
          <w:sz w:val="16"/>
          <w:szCs w:val="16"/>
          <w:color w:val="auto"/>
        </w:rPr>
        <w:t>Side Letter dated October 30, 2009 regarding the Master Repurchase Agreement between JPMorgan Chase Bank, and Home Loan Center, Inc.</w:t>
      </w:r>
    </w:p>
    <w:p>
      <w:pPr>
        <w:spacing w:after="0" w:line="1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October 30, 2009</w:t>
      </w:r>
    </w:p>
    <w:p>
      <w:pPr>
        <w:spacing w:after="0" w:line="200" w:lineRule="exact"/>
        <w:rPr>
          <w:sz w:val="20"/>
          <w:szCs w:val="20"/>
          <w:color w:val="auto"/>
        </w:rPr>
      </w:pPr>
    </w:p>
    <w:p>
      <w:pPr>
        <w:spacing w:after="0" w:line="217"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10.2 to the Registrant's Current Report on Form 8-K filed October 30, 2009</w:t>
      </w:r>
    </w:p>
    <w:p>
      <w:pPr>
        <w:sectPr>
          <w:pgSz w:w="11900" w:h="16838" w:orient="portrait"/>
          <w:cols w:equalWidth="0" w:num="2">
            <w:col w:w="6100" w:space="260"/>
            <w:col w:w="3859"/>
          </w:cols>
          <w:pgMar w:left="240" w:top="125" w:right="1440" w:bottom="1440" w:gutter="0" w:footer="0" w:header="0"/>
          <w:type w:val="continuous"/>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ind w:left="1360"/>
        <w:spacing w:after="0"/>
        <w:tabs>
          <w:tab w:leader="none" w:pos="38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902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260" w:hanging="583"/>
        <w:spacing w:after="0" w:line="288" w:lineRule="auto"/>
        <w:tabs>
          <w:tab w:leader="none" w:pos="2240" w:val="left"/>
        </w:tabs>
        <w:rPr>
          <w:sz w:val="20"/>
          <w:szCs w:val="20"/>
          <w:color w:val="auto"/>
        </w:rPr>
      </w:pPr>
      <w:r>
        <w:rPr>
          <w:rFonts w:ascii="Times New Roman" w:cs="Times New Roman" w:eastAsia="Times New Roman" w:hAnsi="Times New Roman"/>
          <w:sz w:val="18"/>
          <w:szCs w:val="18"/>
          <w:color w:val="auto"/>
        </w:rPr>
        <w:t>10.35</w:t>
      </w:r>
      <w:r>
        <w:rPr>
          <w:sz w:val="20"/>
          <w:szCs w:val="20"/>
          <w:color w:val="auto"/>
        </w:rPr>
        <w:tab/>
      </w:r>
      <w:r>
        <w:rPr>
          <w:rFonts w:ascii="Times New Roman" w:cs="Times New Roman" w:eastAsia="Times New Roman" w:hAnsi="Times New Roman"/>
          <w:sz w:val="16"/>
          <w:szCs w:val="16"/>
          <w:color w:val="auto"/>
        </w:rPr>
        <w:t>Third Amendment to Warehousing Credit Agreement, made and entered into as of the 18th day of December, 2009, and to be effective as of the 29th day of December, 2009, by and among Home Loan Center, Inc. d/b/a LendingTree Loans PNC Bank, National Association, successor to National City Bank, its capacity as Agent for the Banks (as defined therein)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24872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359"/>
        <w:spacing w:after="0" w:line="259"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December 23, 2009</w:t>
      </w:r>
    </w:p>
    <w:p>
      <w:pPr>
        <w:spacing w:after="0" w:line="1294" w:lineRule="exact"/>
        <w:rPr>
          <w:sz w:val="20"/>
          <w:szCs w:val="20"/>
          <w:color w:val="auto"/>
        </w:rPr>
      </w:pPr>
    </w:p>
    <w:p>
      <w:pPr>
        <w:sectPr>
          <w:pgSz w:w="11900" w:h="16838" w:orient="portrait"/>
          <w:cols w:equalWidth="0" w:num="2">
            <w:col w:w="6120" w:space="240"/>
            <w:col w:w="3859"/>
          </w:cols>
          <w:pgMar w:left="240" w:top="125" w:right="1440" w:bottom="1440" w:gutter="0" w:footer="0" w:header="0"/>
        </w:sectPr>
      </w:pPr>
    </w:p>
    <w:p>
      <w:pPr>
        <w:ind w:left="2260" w:hanging="583"/>
        <w:spacing w:after="0" w:line="291" w:lineRule="auto"/>
        <w:tabs>
          <w:tab w:leader="none" w:pos="2240" w:val="left"/>
        </w:tabs>
        <w:rPr>
          <w:sz w:val="20"/>
          <w:szCs w:val="20"/>
          <w:color w:val="auto"/>
        </w:rPr>
      </w:pPr>
      <w:r>
        <w:rPr>
          <w:rFonts w:ascii="Times New Roman" w:cs="Times New Roman" w:eastAsia="Times New Roman" w:hAnsi="Times New Roman"/>
          <w:sz w:val="18"/>
          <w:szCs w:val="18"/>
          <w:color w:val="auto"/>
        </w:rPr>
        <w:t>10.36</w:t>
      </w:r>
      <w:r>
        <w:rPr>
          <w:sz w:val="20"/>
          <w:szCs w:val="20"/>
          <w:color w:val="auto"/>
        </w:rPr>
        <w:tab/>
      </w:r>
      <w:r>
        <w:rPr>
          <w:rFonts w:ascii="Times New Roman" w:cs="Times New Roman" w:eastAsia="Times New Roman" w:hAnsi="Times New Roman"/>
          <w:sz w:val="16"/>
          <w:szCs w:val="16"/>
          <w:color w:val="auto"/>
        </w:rPr>
        <w:t>Fourth Amendment to Warehousing Credit Agreement, made and entered into as of February 15, 2010 by and among Home Loan Center, Inc. d/b/a LendingTree Loans, PNC Bank, National Association (successor to National City Bank) and PNC Bank, National Association (successor to National City Bank), in its capacity as Agent for the Banks (as defined therein).</w:t>
      </w:r>
    </w:p>
    <w:p>
      <w:pPr>
        <w:spacing w:after="0" w:line="20" w:lineRule="exact"/>
        <w:rPr>
          <w:sz w:val="20"/>
          <w:szCs w:val="20"/>
          <w:color w:val="auto"/>
        </w:rPr>
      </w:pPr>
      <w:r>
        <w:rPr>
          <w:sz w:val="20"/>
          <w:szCs w:val="20"/>
          <w:color w:val="auto"/>
        </w:rPr>
        <w:br w:type="column"/>
      </w: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February 19, 2010</w:t>
      </w:r>
    </w:p>
    <w:p>
      <w:pPr>
        <w:spacing w:after="0" w:line="1281" w:lineRule="exact"/>
        <w:rPr>
          <w:sz w:val="20"/>
          <w:szCs w:val="20"/>
          <w:color w:val="auto"/>
        </w:rPr>
      </w:pPr>
    </w:p>
    <w:p>
      <w:pPr>
        <w:sectPr>
          <w:pgSz w:w="11900" w:h="16838" w:orient="portrait"/>
          <w:cols w:equalWidth="0" w:num="2">
            <w:col w:w="6140" w:space="220"/>
            <w:col w:w="3859"/>
          </w:cols>
          <w:pgMar w:left="240" w:top="125" w:right="1440" w:bottom="1440" w:gutter="0" w:footer="0" w:header="0"/>
          <w:type w:val="continuous"/>
        </w:sectPr>
      </w:pPr>
    </w:p>
    <w:p>
      <w:pPr>
        <w:ind w:left="2260" w:right="16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10.37</w:t>
        <w:tab/>
        <w:t>Amendment No. 1 to Stock Purchase Agreement between Tree.com, Inc. and Douglas R. Lebda, dated May 10, 2010*</w:t>
      </w:r>
    </w:p>
    <w:p>
      <w:pPr>
        <w:spacing w:after="0" w:line="213" w:lineRule="exact"/>
        <w:rPr>
          <w:sz w:val="20"/>
          <w:szCs w:val="20"/>
          <w:color w:val="auto"/>
        </w:rPr>
      </w:pPr>
    </w:p>
    <w:p>
      <w:pPr>
        <w:ind w:left="2260" w:right="16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10.38</w:t>
        <w:tab/>
        <w:t>Amendment No. 3 to the Employment Agreement between Douglas R. Lebda and Tree.com, Inc., dated May 10, 2010*</w:t>
      </w:r>
    </w:p>
    <w:p>
      <w:pPr>
        <w:spacing w:after="0" w:line="213" w:lineRule="exact"/>
        <w:rPr>
          <w:sz w:val="20"/>
          <w:szCs w:val="20"/>
          <w:color w:val="auto"/>
        </w:rPr>
      </w:pPr>
    </w:p>
    <w:p>
      <w:pPr>
        <w:ind w:left="2260" w:right="200" w:hanging="583"/>
        <w:spacing w:after="0" w:line="275" w:lineRule="auto"/>
        <w:tabs>
          <w:tab w:leader="none" w:pos="2240" w:val="left"/>
        </w:tabs>
        <w:rPr>
          <w:sz w:val="20"/>
          <w:szCs w:val="20"/>
          <w:color w:val="auto"/>
        </w:rPr>
      </w:pPr>
      <w:r>
        <w:rPr>
          <w:rFonts w:ascii="Times New Roman" w:cs="Times New Roman" w:eastAsia="Times New Roman" w:hAnsi="Times New Roman"/>
          <w:sz w:val="18"/>
          <w:szCs w:val="18"/>
          <w:color w:val="auto"/>
        </w:rPr>
        <w:t>10.39</w:t>
        <w:tab/>
        <w:t>Form of Amendment to Restricted Stock Awards for Douglas R. Lebda*</w:t>
      </w:r>
    </w:p>
    <w:p>
      <w:pPr>
        <w:spacing w:after="0" w:line="201" w:lineRule="exact"/>
        <w:rPr>
          <w:sz w:val="20"/>
          <w:szCs w:val="20"/>
          <w:color w:val="auto"/>
        </w:rPr>
      </w:pPr>
    </w:p>
    <w:p>
      <w:pPr>
        <w:jc w:val="center"/>
        <w:ind w:left="1640"/>
        <w:spacing w:after="0"/>
        <w:tabs>
          <w:tab w:leader="none" w:pos="180" w:val="left"/>
        </w:tabs>
        <w:rPr>
          <w:sz w:val="20"/>
          <w:szCs w:val="20"/>
          <w:color w:val="auto"/>
        </w:rPr>
      </w:pPr>
      <w:r>
        <w:rPr>
          <w:rFonts w:ascii="Times New Roman" w:cs="Times New Roman" w:eastAsia="Times New Roman" w:hAnsi="Times New Roman"/>
          <w:sz w:val="18"/>
          <w:szCs w:val="18"/>
          <w:color w:val="auto"/>
        </w:rPr>
        <w:t>10.40</w:t>
      </w:r>
      <w:r>
        <w:rPr>
          <w:sz w:val="20"/>
          <w:szCs w:val="20"/>
          <w:color w:val="auto"/>
        </w:rPr>
        <w:tab/>
      </w:r>
      <w:r>
        <w:rPr>
          <w:rFonts w:ascii="Times New Roman" w:cs="Times New Roman" w:eastAsia="Times New Roman" w:hAnsi="Times New Roman"/>
          <w:sz w:val="16"/>
          <w:szCs w:val="16"/>
          <w:color w:val="auto"/>
        </w:rPr>
        <w:t>Employment Agreement by and between David Norris</w:t>
      </w:r>
    </w:p>
    <w:p>
      <w:pPr>
        <w:spacing w:after="0" w:line="2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8"/>
          <w:szCs w:val="18"/>
          <w:color w:val="auto"/>
        </w:rPr>
        <w:t>and LendingTree, LLC, dated June 30, 2008*</w:t>
      </w:r>
    </w:p>
    <w:p>
      <w:pPr>
        <w:spacing w:after="0" w:line="240" w:lineRule="exact"/>
        <w:rPr>
          <w:sz w:val="20"/>
          <w:szCs w:val="20"/>
          <w:color w:val="auto"/>
        </w:rPr>
      </w:pPr>
    </w:p>
    <w:p>
      <w:pPr>
        <w:ind w:left="2260" w:right="20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10.41</w:t>
        <w:tab/>
        <w:t>Amendment to Employment Agreement between David Norris and Tree.com, Inc., dated December 3, 2009*</w:t>
      </w:r>
    </w:p>
    <w:p>
      <w:pPr>
        <w:spacing w:after="0" w:line="213" w:lineRule="exact"/>
        <w:rPr>
          <w:sz w:val="20"/>
          <w:szCs w:val="20"/>
          <w:color w:val="auto"/>
        </w:rPr>
      </w:pPr>
    </w:p>
    <w:p>
      <w:pPr>
        <w:jc w:val="right"/>
        <w:ind w:left="1680"/>
        <w:spacing w:after="0" w:line="339" w:lineRule="auto"/>
        <w:rPr>
          <w:sz w:val="20"/>
          <w:szCs w:val="20"/>
          <w:color w:val="auto"/>
        </w:rPr>
      </w:pPr>
      <w:r>
        <w:rPr>
          <w:rFonts w:ascii="Times New Roman" w:cs="Times New Roman" w:eastAsia="Times New Roman" w:hAnsi="Times New Roman"/>
          <w:sz w:val="16"/>
          <w:szCs w:val="16"/>
          <w:color w:val="auto"/>
        </w:rPr>
        <w:t>10.42  Amendment No. 2 to Employment Agreement between David Norris and Tree.com, Inc., dated May 10, 2010*</w:t>
      </w:r>
    </w:p>
    <w:p>
      <w:pPr>
        <w:spacing w:after="0" w:line="156" w:lineRule="exact"/>
        <w:rPr>
          <w:sz w:val="20"/>
          <w:szCs w:val="20"/>
          <w:color w:val="auto"/>
        </w:rPr>
      </w:pPr>
    </w:p>
    <w:p>
      <w:pPr>
        <w:ind w:left="2260" w:right="160" w:hanging="583"/>
        <w:spacing w:after="0" w:line="339" w:lineRule="auto"/>
        <w:tabs>
          <w:tab w:leader="none" w:pos="2240" w:val="left"/>
        </w:tabs>
        <w:rPr>
          <w:sz w:val="20"/>
          <w:szCs w:val="20"/>
          <w:color w:val="auto"/>
        </w:rPr>
      </w:pPr>
      <w:r>
        <w:rPr>
          <w:rFonts w:ascii="Times New Roman" w:cs="Times New Roman" w:eastAsia="Times New Roman" w:hAnsi="Times New Roman"/>
          <w:sz w:val="18"/>
          <w:szCs w:val="18"/>
          <w:color w:val="auto"/>
        </w:rPr>
        <w:t>10.43</w:t>
      </w:r>
      <w:r>
        <w:rPr>
          <w:sz w:val="20"/>
          <w:szCs w:val="20"/>
          <w:color w:val="auto"/>
        </w:rPr>
        <w:tab/>
      </w:r>
      <w:r>
        <w:rPr>
          <w:rFonts w:ascii="Times New Roman" w:cs="Times New Roman" w:eastAsia="Times New Roman" w:hAnsi="Times New Roman"/>
          <w:sz w:val="16"/>
          <w:szCs w:val="16"/>
          <w:color w:val="auto"/>
        </w:rPr>
        <w:t>Severance Agreement between Greg Hanson, RealEstate.com and Tree.com, dated April 22, 2009*</w:t>
      </w:r>
    </w:p>
    <w:p>
      <w:pPr>
        <w:spacing w:after="0" w:line="156" w:lineRule="exact"/>
        <w:rPr>
          <w:sz w:val="20"/>
          <w:szCs w:val="20"/>
          <w:color w:val="auto"/>
        </w:rPr>
      </w:pPr>
    </w:p>
    <w:p>
      <w:pPr>
        <w:ind w:left="2260" w:right="100" w:hanging="583"/>
        <w:spacing w:after="0" w:line="275" w:lineRule="auto"/>
        <w:tabs>
          <w:tab w:leader="none" w:pos="2240" w:val="left"/>
        </w:tabs>
        <w:rPr>
          <w:sz w:val="20"/>
          <w:szCs w:val="20"/>
          <w:color w:val="auto"/>
        </w:rPr>
      </w:pPr>
      <w:r>
        <w:rPr>
          <w:rFonts w:ascii="Times New Roman" w:cs="Times New Roman" w:eastAsia="Times New Roman" w:hAnsi="Times New Roman"/>
          <w:sz w:val="18"/>
          <w:szCs w:val="18"/>
          <w:color w:val="auto"/>
        </w:rPr>
        <w:t>10.44</w:t>
        <w:tab/>
        <w:t>Change in Control Letter from Tree.com, Inc. to Greg Hanson, dated March 26, 2010*</w:t>
      </w:r>
    </w:p>
    <w:p>
      <w:pPr>
        <w:spacing w:after="0" w:line="201" w:lineRule="exact"/>
        <w:rPr>
          <w:sz w:val="20"/>
          <w:szCs w:val="20"/>
          <w:color w:val="auto"/>
        </w:rPr>
      </w:pPr>
    </w:p>
    <w:p>
      <w:pPr>
        <w:ind w:left="2260" w:right="2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10.45</w:t>
        <w:tab/>
        <w:t>Confidential Severance Agreement and Release by and between Robert L. Harris and Tree.com, Inc., dated March 2, 2010*</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19"/>
        <w:spacing w:after="0" w:line="275" w:lineRule="auto"/>
        <w:rPr>
          <w:sz w:val="20"/>
          <w:szCs w:val="20"/>
          <w:color w:val="auto"/>
        </w:rPr>
      </w:pPr>
      <w:r>
        <w:rPr>
          <w:rFonts w:ascii="Times New Roman" w:cs="Times New Roman" w:eastAsia="Times New Roman" w:hAnsi="Times New Roman"/>
          <w:sz w:val="18"/>
          <w:szCs w:val="18"/>
          <w:color w:val="auto"/>
        </w:rPr>
        <w:t>Exhibit 10.2 to the Registrant's Quarterly Report on Form 10-Q filed May 12, 2010</w:t>
      </w:r>
    </w:p>
    <w:p>
      <w:pPr>
        <w:spacing w:after="0" w:line="200" w:lineRule="exact"/>
        <w:rPr>
          <w:sz w:val="20"/>
          <w:szCs w:val="20"/>
          <w:color w:val="auto"/>
        </w:rPr>
      </w:pPr>
    </w:p>
    <w:p>
      <w:pPr>
        <w:spacing w:after="0" w:line="217" w:lineRule="exact"/>
        <w:rPr>
          <w:sz w:val="20"/>
          <w:szCs w:val="20"/>
          <w:color w:val="auto"/>
        </w:rPr>
      </w:pPr>
    </w:p>
    <w:p>
      <w:pPr>
        <w:ind w:right="219"/>
        <w:spacing w:after="0" w:line="275" w:lineRule="auto"/>
        <w:rPr>
          <w:sz w:val="20"/>
          <w:szCs w:val="20"/>
          <w:color w:val="auto"/>
        </w:rPr>
      </w:pPr>
      <w:r>
        <w:rPr>
          <w:rFonts w:ascii="Times New Roman" w:cs="Times New Roman" w:eastAsia="Times New Roman" w:hAnsi="Times New Roman"/>
          <w:sz w:val="18"/>
          <w:szCs w:val="18"/>
          <w:color w:val="auto"/>
        </w:rPr>
        <w:t>Exhibit 10.3 to the Registrant's Quarterly Report on Form 10-Q filed May 12, 2010</w:t>
      </w:r>
    </w:p>
    <w:p>
      <w:pPr>
        <w:spacing w:after="0" w:line="200" w:lineRule="exact"/>
        <w:rPr>
          <w:sz w:val="20"/>
          <w:szCs w:val="20"/>
          <w:color w:val="auto"/>
        </w:rPr>
      </w:pPr>
    </w:p>
    <w:p>
      <w:pPr>
        <w:spacing w:after="0" w:line="217" w:lineRule="exact"/>
        <w:rPr>
          <w:sz w:val="20"/>
          <w:szCs w:val="20"/>
          <w:color w:val="auto"/>
        </w:rPr>
      </w:pPr>
    </w:p>
    <w:p>
      <w:pPr>
        <w:ind w:right="219"/>
        <w:spacing w:after="0" w:line="275" w:lineRule="auto"/>
        <w:rPr>
          <w:sz w:val="20"/>
          <w:szCs w:val="20"/>
          <w:color w:val="auto"/>
        </w:rPr>
      </w:pPr>
      <w:r>
        <w:rPr>
          <w:rFonts w:ascii="Times New Roman" w:cs="Times New Roman" w:eastAsia="Times New Roman" w:hAnsi="Times New Roman"/>
          <w:sz w:val="18"/>
          <w:szCs w:val="18"/>
          <w:color w:val="auto"/>
        </w:rPr>
        <w:t>Exhibit 10.4 to the Registrant's Quarterly Report on Form 10-Q filed May 12, 2010</w:t>
      </w:r>
    </w:p>
    <w:p>
      <w:pPr>
        <w:spacing w:after="0" w:line="201" w:lineRule="exact"/>
        <w:rPr>
          <w:sz w:val="20"/>
          <w:szCs w:val="20"/>
          <w:color w:val="auto"/>
        </w:rPr>
      </w:pPr>
    </w:p>
    <w:p>
      <w:pPr>
        <w:ind w:right="219"/>
        <w:spacing w:after="0" w:line="275" w:lineRule="auto"/>
        <w:rPr>
          <w:sz w:val="20"/>
          <w:szCs w:val="20"/>
          <w:color w:val="auto"/>
        </w:rPr>
      </w:pPr>
      <w:r>
        <w:rPr>
          <w:rFonts w:ascii="Times New Roman" w:cs="Times New Roman" w:eastAsia="Times New Roman" w:hAnsi="Times New Roman"/>
          <w:sz w:val="18"/>
          <w:szCs w:val="18"/>
          <w:color w:val="auto"/>
        </w:rPr>
        <w:t>Exhibit 10.5 to the Registrant's Quarterly Report on Form 10-Q filed May 12, 2010</w:t>
      </w:r>
    </w:p>
    <w:p>
      <w:pPr>
        <w:spacing w:after="0" w:line="201" w:lineRule="exact"/>
        <w:rPr>
          <w:sz w:val="20"/>
          <w:szCs w:val="20"/>
          <w:color w:val="auto"/>
        </w:rPr>
      </w:pPr>
    </w:p>
    <w:p>
      <w:pPr>
        <w:ind w:right="219"/>
        <w:spacing w:after="0" w:line="275" w:lineRule="auto"/>
        <w:rPr>
          <w:sz w:val="20"/>
          <w:szCs w:val="20"/>
          <w:color w:val="auto"/>
        </w:rPr>
      </w:pPr>
      <w:r>
        <w:rPr>
          <w:rFonts w:ascii="Times New Roman" w:cs="Times New Roman" w:eastAsia="Times New Roman" w:hAnsi="Times New Roman"/>
          <w:sz w:val="18"/>
          <w:szCs w:val="18"/>
          <w:color w:val="auto"/>
        </w:rPr>
        <w:t>Exhibit 10.6 to the Registrant's Quarterly Report on Form 10-Q filed May 12, 2010</w:t>
      </w:r>
    </w:p>
    <w:p>
      <w:pPr>
        <w:spacing w:after="0" w:line="200" w:lineRule="exact"/>
        <w:rPr>
          <w:sz w:val="20"/>
          <w:szCs w:val="20"/>
          <w:color w:val="auto"/>
        </w:rPr>
      </w:pPr>
    </w:p>
    <w:p>
      <w:pPr>
        <w:spacing w:after="0" w:line="217" w:lineRule="exact"/>
        <w:rPr>
          <w:sz w:val="20"/>
          <w:szCs w:val="20"/>
          <w:color w:val="auto"/>
        </w:rPr>
      </w:pPr>
    </w:p>
    <w:p>
      <w:pPr>
        <w:ind w:right="219"/>
        <w:spacing w:after="0" w:line="275" w:lineRule="auto"/>
        <w:rPr>
          <w:sz w:val="20"/>
          <w:szCs w:val="20"/>
          <w:color w:val="auto"/>
        </w:rPr>
      </w:pPr>
      <w:r>
        <w:rPr>
          <w:rFonts w:ascii="Times New Roman" w:cs="Times New Roman" w:eastAsia="Times New Roman" w:hAnsi="Times New Roman"/>
          <w:sz w:val="18"/>
          <w:szCs w:val="18"/>
          <w:color w:val="auto"/>
        </w:rPr>
        <w:t>Exhibit 10.7 to the Registrant's Quarterly Report on Form 10-Q filed May 12, 2010</w:t>
      </w:r>
    </w:p>
    <w:p>
      <w:pPr>
        <w:spacing w:after="0" w:line="201" w:lineRule="exact"/>
        <w:rPr>
          <w:sz w:val="20"/>
          <w:szCs w:val="20"/>
          <w:color w:val="auto"/>
        </w:rPr>
      </w:pPr>
    </w:p>
    <w:p>
      <w:pPr>
        <w:ind w:right="219"/>
        <w:spacing w:after="0" w:line="275" w:lineRule="auto"/>
        <w:rPr>
          <w:sz w:val="20"/>
          <w:szCs w:val="20"/>
          <w:color w:val="auto"/>
        </w:rPr>
      </w:pPr>
      <w:r>
        <w:rPr>
          <w:rFonts w:ascii="Times New Roman" w:cs="Times New Roman" w:eastAsia="Times New Roman" w:hAnsi="Times New Roman"/>
          <w:sz w:val="18"/>
          <w:szCs w:val="18"/>
          <w:color w:val="auto"/>
        </w:rPr>
        <w:t>Exhibit 10.8 to the Registrant's Quarterly Report on Form 10-Q filed May 12, 2010</w:t>
      </w:r>
    </w:p>
    <w:p>
      <w:pPr>
        <w:spacing w:after="0" w:line="201" w:lineRule="exact"/>
        <w:rPr>
          <w:sz w:val="20"/>
          <w:szCs w:val="20"/>
          <w:color w:val="auto"/>
        </w:rPr>
      </w:pPr>
    </w:p>
    <w:p>
      <w:pPr>
        <w:ind w:right="219"/>
        <w:spacing w:after="0" w:line="275" w:lineRule="auto"/>
        <w:rPr>
          <w:sz w:val="20"/>
          <w:szCs w:val="20"/>
          <w:color w:val="auto"/>
        </w:rPr>
      </w:pPr>
      <w:r>
        <w:rPr>
          <w:rFonts w:ascii="Times New Roman" w:cs="Times New Roman" w:eastAsia="Times New Roman" w:hAnsi="Times New Roman"/>
          <w:sz w:val="18"/>
          <w:szCs w:val="18"/>
          <w:color w:val="auto"/>
        </w:rPr>
        <w:t>Exhibit 10.9 to the Registrant's Quarterly Report on Form 10-Q filed May 12, 2010</w:t>
      </w:r>
    </w:p>
    <w:p>
      <w:pPr>
        <w:spacing w:after="0" w:line="201" w:lineRule="exact"/>
        <w:rPr>
          <w:sz w:val="20"/>
          <w:szCs w:val="20"/>
          <w:color w:val="auto"/>
        </w:rPr>
      </w:pPr>
    </w:p>
    <w:p>
      <w:pPr>
        <w:ind w:right="139"/>
        <w:spacing w:after="0" w:line="275" w:lineRule="auto"/>
        <w:rPr>
          <w:sz w:val="20"/>
          <w:szCs w:val="20"/>
          <w:color w:val="auto"/>
        </w:rPr>
      </w:pPr>
      <w:r>
        <w:rPr>
          <w:rFonts w:ascii="Times New Roman" w:cs="Times New Roman" w:eastAsia="Times New Roman" w:hAnsi="Times New Roman"/>
          <w:sz w:val="18"/>
          <w:szCs w:val="18"/>
          <w:color w:val="auto"/>
        </w:rPr>
        <w:t>Exhibit 10.10 to the Registrant's Quarterly Report on Form 10-Q filed May 12, 2010</w:t>
      </w:r>
    </w:p>
    <w:p>
      <w:pPr>
        <w:sectPr>
          <w:pgSz w:w="11900" w:h="16838" w:orient="portrait"/>
          <w:cols w:equalWidth="0" w:num="2">
            <w:col w:w="6140" w:space="220"/>
            <w:col w:w="3859"/>
          </w:cols>
          <w:pgMar w:left="240" w:top="125" w:right="1440"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165"/>
        </w:trPr>
        <w:tc>
          <w:tcPr>
            <w:tcW w:w="9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195"/>
        </w:trPr>
        <w:tc>
          <w:tcPr>
            <w:tcW w:w="9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10.46</w:t>
            </w:r>
          </w:p>
        </w:tc>
        <w:tc>
          <w:tcPr>
            <w:tcW w:w="1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Form of Restricted Stock Award Agreement*</w:t>
            </w:r>
          </w:p>
        </w:tc>
        <w:tc>
          <w:tcPr>
            <w:tcW w:w="1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Exhibit 10.11 to the Registrant's Quarterly Report on</w:t>
            </w:r>
          </w:p>
        </w:tc>
      </w:tr>
      <w:tr>
        <w:trPr>
          <w:trHeight w:val="228"/>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10-Q filed May 12, 2010</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of Notice of Restricted Stock Unit Award*</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Exhibit 10.12 to the Registrant's Quarterly Report on</w:t>
            </w:r>
          </w:p>
        </w:tc>
      </w:tr>
      <w:tr>
        <w:trPr>
          <w:trHeight w:val="228"/>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10-Q filed May 12, 2010</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of Notice of Stock Option Award*</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Exhibit 10.13 to the Registrant's Quarterly Report on</w:t>
            </w:r>
          </w:p>
        </w:tc>
      </w:tr>
      <w:tr>
        <w:trPr>
          <w:trHeight w:val="228"/>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10-Q filed May 12, 2010</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Amendment No. 1 to Transactions Term Letter, made</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Exhibit 10.1 to the Registrant's Current Report on</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entered into as of April 28, 2010 by and between</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8-K filed April 30, 2010</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Home Loan Center, Inc. d/b/a LendingTree Loans and</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 of America</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280"/>
          </w:cols>
          <w:pgMar w:left="240" w:top="125" w:right="1379" w:bottom="1440" w:gutter="0" w:footer="0" w:header="0"/>
        </w:sectPr>
      </w:pPr>
    </w:p>
    <w:p>
      <w:pPr>
        <w:spacing w:after="0" w:line="31" w:lineRule="exact"/>
        <w:rPr>
          <w:sz w:val="20"/>
          <w:szCs w:val="20"/>
          <w:color w:val="auto"/>
        </w:rPr>
      </w:pPr>
    </w:p>
    <w:p>
      <w:pPr>
        <w:ind w:left="2260" w:right="580" w:hanging="583"/>
        <w:spacing w:after="0" w:line="310" w:lineRule="auto"/>
        <w:tabs>
          <w:tab w:leader="none" w:pos="2240" w:val="left"/>
        </w:tabs>
        <w:rPr>
          <w:sz w:val="20"/>
          <w:szCs w:val="20"/>
          <w:color w:val="auto"/>
        </w:rPr>
      </w:pPr>
      <w:r>
        <w:rPr>
          <w:rFonts w:ascii="Times New Roman" w:cs="Times New Roman" w:eastAsia="Times New Roman" w:hAnsi="Times New Roman"/>
          <w:sz w:val="18"/>
          <w:szCs w:val="18"/>
          <w:color w:val="auto"/>
        </w:rPr>
        <w:t>10.50</w:t>
      </w:r>
      <w:r>
        <w:rPr>
          <w:sz w:val="20"/>
          <w:szCs w:val="20"/>
          <w:color w:val="auto"/>
        </w:rPr>
        <w:tab/>
      </w:r>
      <w:r>
        <w:rPr>
          <w:rFonts w:ascii="Times New Roman" w:cs="Times New Roman" w:eastAsia="Times New Roman" w:hAnsi="Times New Roman"/>
          <w:sz w:val="16"/>
          <w:szCs w:val="16"/>
          <w:color w:val="auto"/>
        </w:rPr>
        <w:t>Amendment No. 1 to the Stock Option Award Agreement between Douglas R. Lebda and Tree.com, Inc., dated May 10, 2010*</w:t>
      </w:r>
    </w:p>
    <w:p>
      <w:pPr>
        <w:spacing w:after="0" w:line="178" w:lineRule="exact"/>
        <w:rPr>
          <w:sz w:val="20"/>
          <w:szCs w:val="20"/>
          <w:color w:val="auto"/>
        </w:rPr>
      </w:pPr>
    </w:p>
    <w:p>
      <w:pPr>
        <w:jc w:val="both"/>
        <w:ind w:left="2260" w:hanging="583"/>
        <w:spacing w:after="0" w:line="258" w:lineRule="auto"/>
        <w:tabs>
          <w:tab w:leader="none" w:pos="2240" w:val="left"/>
        </w:tabs>
        <w:rPr>
          <w:sz w:val="20"/>
          <w:szCs w:val="20"/>
          <w:color w:val="auto"/>
        </w:rPr>
      </w:pPr>
      <w:r>
        <w:rPr>
          <w:rFonts w:ascii="Times New Roman" w:cs="Times New Roman" w:eastAsia="Times New Roman" w:hAnsi="Times New Roman"/>
          <w:sz w:val="18"/>
          <w:szCs w:val="18"/>
          <w:color w:val="auto"/>
        </w:rPr>
        <w:t>10.51</w:t>
        <w:tab/>
        <w:t>Amendment No. 1 to Transactions Term Letter, made and entered into as of April 28, 2010 by and between Home Loan Center, Inc. d/b/a LendingTree Loans and Bank of America</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Exhibit 10.15 to the Registrant's Quarterly Report on Form 10-Q filed May 12, 2010</w:t>
      </w:r>
    </w:p>
    <w:p>
      <w:pPr>
        <w:spacing w:after="0" w:line="200" w:lineRule="exact"/>
        <w:rPr>
          <w:sz w:val="20"/>
          <w:szCs w:val="20"/>
          <w:color w:val="auto"/>
        </w:rPr>
      </w:pPr>
    </w:p>
    <w:p>
      <w:pPr>
        <w:spacing w:after="0" w:line="217"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April 30, 2010</w:t>
      </w:r>
    </w:p>
    <w:p>
      <w:pPr>
        <w:spacing w:after="0" w:line="615" w:lineRule="exact"/>
        <w:rPr>
          <w:sz w:val="20"/>
          <w:szCs w:val="20"/>
          <w:color w:val="auto"/>
        </w:rPr>
      </w:pPr>
    </w:p>
    <w:p>
      <w:pPr>
        <w:sectPr>
          <w:pgSz w:w="11900" w:h="16838" w:orient="portrait"/>
          <w:cols w:equalWidth="0" w:num="2">
            <w:col w:w="6060" w:space="300"/>
            <w:col w:w="3920"/>
          </w:cols>
          <w:pgMar w:left="240" w:top="125" w:right="1379" w:bottom="1440" w:gutter="0" w:footer="0" w:header="0"/>
          <w:type w:val="continuous"/>
        </w:sectPr>
      </w:pPr>
    </w:p>
    <w:p>
      <w:pPr>
        <w:spacing w:after="0" w:line="17" w:lineRule="exact"/>
        <w:rPr>
          <w:sz w:val="20"/>
          <w:szCs w:val="20"/>
          <w:color w:val="auto"/>
        </w:rPr>
      </w:pPr>
    </w:p>
    <w:p>
      <w:pPr>
        <w:ind w:left="2260" w:right="200" w:hanging="583"/>
        <w:spacing w:after="0" w:line="275" w:lineRule="auto"/>
        <w:tabs>
          <w:tab w:leader="none" w:pos="2240" w:val="left"/>
        </w:tabs>
        <w:rPr>
          <w:sz w:val="20"/>
          <w:szCs w:val="20"/>
          <w:color w:val="auto"/>
        </w:rPr>
      </w:pPr>
      <w:r>
        <w:rPr>
          <w:rFonts w:ascii="Times New Roman" w:cs="Times New Roman" w:eastAsia="Times New Roman" w:hAnsi="Times New Roman"/>
          <w:sz w:val="18"/>
          <w:szCs w:val="18"/>
          <w:color w:val="auto"/>
        </w:rPr>
        <w:t>10.52</w:t>
        <w:tab/>
        <w:t>Severance Agreement between Tree.com, Inc. and Matthew Packey, dated May 10, 2010*</w:t>
      </w:r>
    </w:p>
    <w:p>
      <w:pPr>
        <w:spacing w:after="0" w:line="201" w:lineRule="exact"/>
        <w:rPr>
          <w:sz w:val="20"/>
          <w:szCs w:val="20"/>
          <w:color w:val="auto"/>
        </w:rPr>
      </w:pPr>
    </w:p>
    <w:p>
      <w:pPr>
        <w:ind w:left="2260" w:right="500" w:hanging="583"/>
        <w:spacing w:after="0" w:line="339" w:lineRule="auto"/>
        <w:tabs>
          <w:tab w:leader="none" w:pos="2240" w:val="left"/>
        </w:tabs>
        <w:rPr>
          <w:sz w:val="20"/>
          <w:szCs w:val="20"/>
          <w:color w:val="auto"/>
        </w:rPr>
      </w:pPr>
      <w:r>
        <w:rPr>
          <w:rFonts w:ascii="Times New Roman" w:cs="Times New Roman" w:eastAsia="Times New Roman" w:hAnsi="Times New Roman"/>
          <w:sz w:val="18"/>
          <w:szCs w:val="18"/>
          <w:color w:val="auto"/>
        </w:rPr>
        <w:t>10.53</w:t>
      </w:r>
      <w:r>
        <w:rPr>
          <w:sz w:val="20"/>
          <w:szCs w:val="20"/>
          <w:color w:val="auto"/>
        </w:rPr>
        <w:tab/>
      </w:r>
      <w:r>
        <w:rPr>
          <w:rFonts w:ascii="Times New Roman" w:cs="Times New Roman" w:eastAsia="Times New Roman" w:hAnsi="Times New Roman"/>
          <w:sz w:val="16"/>
          <w:szCs w:val="16"/>
          <w:color w:val="auto"/>
        </w:rPr>
        <w:t>Letter Agreement between Tree.com, Inc. and Christopher Hayek, dated June 28, 2010*</w:t>
      </w:r>
    </w:p>
    <w:p>
      <w:pPr>
        <w:spacing w:after="0" w:line="156" w:lineRule="exact"/>
        <w:rPr>
          <w:sz w:val="20"/>
          <w:szCs w:val="20"/>
          <w:color w:val="auto"/>
        </w:rPr>
      </w:pPr>
    </w:p>
    <w:p>
      <w:pPr>
        <w:ind w:left="2260" w:hanging="583"/>
        <w:spacing w:after="0" w:line="258" w:lineRule="auto"/>
        <w:tabs>
          <w:tab w:leader="none" w:pos="2240" w:val="left"/>
        </w:tabs>
        <w:rPr>
          <w:sz w:val="20"/>
          <w:szCs w:val="20"/>
          <w:color w:val="auto"/>
        </w:rPr>
      </w:pPr>
      <w:r>
        <w:rPr>
          <w:rFonts w:ascii="Times New Roman" w:cs="Times New Roman" w:eastAsia="Times New Roman" w:hAnsi="Times New Roman"/>
          <w:sz w:val="18"/>
          <w:szCs w:val="18"/>
          <w:color w:val="auto"/>
        </w:rPr>
        <w:t>10.54</w:t>
        <w:tab/>
        <w:t>Amendment No. 1 to Early Purchase Program Addendum to Loan Purchase Agreement, dated July 15, 2010, by and among Bank of America, N.A. and Home Loan Center, Inc.</w:t>
      </w:r>
    </w:p>
    <w:p>
      <w:pPr>
        <w:spacing w:after="0" w:line="20" w:lineRule="exact"/>
        <w:rPr>
          <w:sz w:val="20"/>
          <w:szCs w:val="20"/>
          <w:color w:val="auto"/>
        </w:rPr>
      </w:pPr>
      <w:r>
        <w:rPr>
          <w:sz w:val="20"/>
          <w:szCs w:val="20"/>
          <w:color w:val="auto"/>
        </w:rPr>
        <w:br w:type="column"/>
      </w:r>
    </w:p>
    <w:p>
      <w:pPr>
        <w:ind w:right="280"/>
        <w:spacing w:after="0" w:line="275" w:lineRule="auto"/>
        <w:rPr>
          <w:sz w:val="20"/>
          <w:szCs w:val="20"/>
          <w:color w:val="auto"/>
        </w:rPr>
      </w:pPr>
      <w:r>
        <w:rPr>
          <w:rFonts w:ascii="Times New Roman" w:cs="Times New Roman" w:eastAsia="Times New Roman" w:hAnsi="Times New Roman"/>
          <w:sz w:val="18"/>
          <w:szCs w:val="18"/>
          <w:color w:val="auto"/>
        </w:rPr>
        <w:t>Exhibit 10.2 to the Registrant's Quarterly Report on Form 10-Q filed August 3, 2010</w:t>
      </w:r>
    </w:p>
    <w:p>
      <w:pPr>
        <w:spacing w:after="0" w:line="201"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Exhibit 10.3 to the Registrant's Quarterly Report on Form 10-Q filed August 3, 2010</w:t>
      </w:r>
    </w:p>
    <w:p>
      <w:pPr>
        <w:spacing w:after="0" w:line="201"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July 21, 2010</w:t>
      </w:r>
    </w:p>
    <w:p>
      <w:pPr>
        <w:spacing w:after="0" w:line="615" w:lineRule="exact"/>
        <w:rPr>
          <w:sz w:val="20"/>
          <w:szCs w:val="20"/>
          <w:color w:val="auto"/>
        </w:rPr>
      </w:pPr>
    </w:p>
    <w:p>
      <w:pPr>
        <w:sectPr>
          <w:pgSz w:w="11900" w:h="16838" w:orient="portrait"/>
          <w:cols w:equalWidth="0" w:num="2">
            <w:col w:w="5980" w:space="380"/>
            <w:col w:w="3920"/>
          </w:cols>
          <w:pgMar w:left="240" w:top="125" w:right="1379" w:bottom="1440" w:gutter="0" w:footer="0" w:header="0"/>
          <w:type w:val="continuous"/>
        </w:sectPr>
      </w:pPr>
    </w:p>
    <w:p>
      <w:pPr>
        <w:spacing w:after="0" w:line="17" w:lineRule="exact"/>
        <w:rPr>
          <w:sz w:val="20"/>
          <w:szCs w:val="20"/>
          <w:color w:val="auto"/>
        </w:rPr>
      </w:pPr>
    </w:p>
    <w:p>
      <w:pPr>
        <w:ind w:left="226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10.55</w:t>
        <w:tab/>
        <w:t>Mandatory Forward Loan Volume Commitment, dated July 15, 2010, by and among Bank of America, N.A. and Home Loan Center, Inc.</w:t>
      </w:r>
    </w:p>
    <w:p>
      <w:pPr>
        <w:spacing w:after="0" w:line="213" w:lineRule="exact"/>
        <w:rPr>
          <w:sz w:val="20"/>
          <w:szCs w:val="20"/>
          <w:color w:val="auto"/>
        </w:rPr>
      </w:pPr>
    </w:p>
    <w:p>
      <w:pPr>
        <w:ind w:left="2260" w:right="100" w:hanging="583"/>
        <w:spacing w:after="0" w:line="310" w:lineRule="auto"/>
        <w:tabs>
          <w:tab w:leader="none" w:pos="2240" w:val="left"/>
        </w:tabs>
        <w:rPr>
          <w:sz w:val="20"/>
          <w:szCs w:val="20"/>
          <w:color w:val="auto"/>
        </w:rPr>
      </w:pPr>
      <w:r>
        <w:rPr>
          <w:rFonts w:ascii="Times New Roman" w:cs="Times New Roman" w:eastAsia="Times New Roman" w:hAnsi="Times New Roman"/>
          <w:sz w:val="18"/>
          <w:szCs w:val="18"/>
          <w:color w:val="auto"/>
        </w:rPr>
        <w:t>10.56</w:t>
      </w:r>
      <w:r>
        <w:rPr>
          <w:sz w:val="20"/>
          <w:szCs w:val="20"/>
          <w:color w:val="auto"/>
        </w:rPr>
        <w:tab/>
      </w:r>
      <w:r>
        <w:rPr>
          <w:rFonts w:ascii="Times New Roman" w:cs="Times New Roman" w:eastAsia="Times New Roman" w:hAnsi="Times New Roman"/>
          <w:sz w:val="16"/>
          <w:szCs w:val="16"/>
          <w:color w:val="auto"/>
        </w:rPr>
        <w:t>Transaction Terms Letter for Master Repurchase Agreement, dated July 15, 2010, by and among Bank of America, N.A. and Home Loan Center, Inc.</w:t>
      </w:r>
    </w:p>
    <w:p>
      <w:pPr>
        <w:spacing w:after="0" w:line="178" w:lineRule="exact"/>
        <w:rPr>
          <w:sz w:val="20"/>
          <w:szCs w:val="20"/>
          <w:color w:val="auto"/>
        </w:rPr>
      </w:pPr>
    </w:p>
    <w:p>
      <w:pPr>
        <w:ind w:left="2260" w:right="100" w:hanging="583"/>
        <w:spacing w:after="0" w:line="310" w:lineRule="auto"/>
        <w:tabs>
          <w:tab w:leader="none" w:pos="2240" w:val="left"/>
        </w:tabs>
        <w:rPr>
          <w:sz w:val="20"/>
          <w:szCs w:val="20"/>
          <w:color w:val="auto"/>
        </w:rPr>
      </w:pPr>
      <w:r>
        <w:rPr>
          <w:rFonts w:ascii="Times New Roman" w:cs="Times New Roman" w:eastAsia="Times New Roman" w:hAnsi="Times New Roman"/>
          <w:sz w:val="18"/>
          <w:szCs w:val="18"/>
          <w:color w:val="auto"/>
        </w:rPr>
        <w:t>10.57</w:t>
      </w:r>
      <w:r>
        <w:rPr>
          <w:sz w:val="20"/>
          <w:szCs w:val="20"/>
          <w:color w:val="auto"/>
        </w:rPr>
        <w:tab/>
      </w:r>
      <w:r>
        <w:rPr>
          <w:rFonts w:ascii="Times New Roman" w:cs="Times New Roman" w:eastAsia="Times New Roman" w:hAnsi="Times New Roman"/>
          <w:sz w:val="16"/>
          <w:szCs w:val="16"/>
          <w:color w:val="auto"/>
        </w:rPr>
        <w:t>Amendment No. 3 to Master Repurchase Agreement, dated July 22, 2010, by and between Home Loan Center, Inc. and JPMorgan Chase Bank, N.A.</w:t>
      </w:r>
    </w:p>
    <w:p>
      <w:pPr>
        <w:spacing w:after="0" w:line="1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20"/>
        <w:spacing w:after="0" w:line="275" w:lineRule="auto"/>
        <w:rPr>
          <w:sz w:val="20"/>
          <w:szCs w:val="20"/>
          <w:color w:val="auto"/>
        </w:rPr>
      </w:pPr>
      <w:r>
        <w:rPr>
          <w:rFonts w:ascii="Times New Roman" w:cs="Times New Roman" w:eastAsia="Times New Roman" w:hAnsi="Times New Roman"/>
          <w:sz w:val="18"/>
          <w:szCs w:val="18"/>
          <w:color w:val="auto"/>
        </w:rPr>
        <w:t>Exhibit 10.2 to the Registrant's Current Report on Form 8-K filed July 21, 2010</w:t>
      </w:r>
    </w:p>
    <w:p>
      <w:pPr>
        <w:spacing w:after="0" w:line="200" w:lineRule="exact"/>
        <w:rPr>
          <w:sz w:val="20"/>
          <w:szCs w:val="20"/>
          <w:color w:val="auto"/>
        </w:rPr>
      </w:pPr>
    </w:p>
    <w:p>
      <w:pPr>
        <w:spacing w:after="0" w:line="217"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Exhibit 10.4 to the Registrant's Current Report on Form 8-K filed July 21, 2010</w:t>
      </w:r>
    </w:p>
    <w:p>
      <w:pPr>
        <w:spacing w:after="0" w:line="200" w:lineRule="exact"/>
        <w:rPr>
          <w:sz w:val="20"/>
          <w:szCs w:val="20"/>
          <w:color w:val="auto"/>
        </w:rPr>
      </w:pPr>
    </w:p>
    <w:p>
      <w:pPr>
        <w:spacing w:after="0" w:line="217"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July 28, 2010</w:t>
      </w:r>
    </w:p>
    <w:p>
      <w:pPr>
        <w:sectPr>
          <w:pgSz w:w="11900" w:h="16838" w:orient="portrait"/>
          <w:cols w:equalWidth="0" w:num="2">
            <w:col w:w="6100" w:space="260"/>
            <w:col w:w="3920"/>
          </w:cols>
          <w:pgMar w:left="240" w:top="125" w:right="137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165"/>
        </w:trPr>
        <w:tc>
          <w:tcPr>
            <w:tcW w:w="9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5"/>
        </w:trPr>
        <w:tc>
          <w:tcPr>
            <w:tcW w:w="9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10.58</w:t>
            </w:r>
          </w:p>
        </w:tc>
        <w:tc>
          <w:tcPr>
            <w:tcW w:w="1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Amendment No. 4 to Master Repurchase Agreement,</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dated as of October 29, 2010 by and between Home</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 Center, Inc. and JPMorgan Chase Bank, N.A.</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Amendment to Side Letter dated as of</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 29, 2010 with respect to the Home Loan</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Center, Inc. warehouse facility with JPMorgan Chase</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 N.A.</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24872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360"/>
        <w:spacing w:after="0" w:line="259"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October 25, 2010</w:t>
      </w:r>
    </w:p>
    <w:p>
      <w:pPr>
        <w:spacing w:after="0" w:line="200" w:lineRule="exact"/>
        <w:rPr>
          <w:sz w:val="20"/>
          <w:szCs w:val="20"/>
          <w:color w:val="auto"/>
        </w:rPr>
      </w:pPr>
    </w:p>
    <w:p>
      <w:pPr>
        <w:spacing w:after="0" w:line="231"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Exhibit 10.2 to the Registrant's Current Report on Form 8-K filed October 25, 2010.</w:t>
      </w:r>
    </w:p>
    <w:p>
      <w:pPr>
        <w:spacing w:after="0" w:line="602" w:lineRule="exact"/>
        <w:rPr>
          <w:sz w:val="20"/>
          <w:szCs w:val="20"/>
          <w:color w:val="auto"/>
        </w:rPr>
      </w:pPr>
    </w:p>
    <w:p>
      <w:pPr>
        <w:sectPr>
          <w:pgSz w:w="11900" w:h="16838" w:orient="portrait"/>
          <w:cols w:equalWidth="0" w:num="2">
            <w:col w:w="6180" w:space="180"/>
            <w:col w:w="3860"/>
          </w:cols>
          <w:pgMar w:left="240" w:top="125" w:right="1439" w:bottom="1440" w:gutter="0" w:footer="0" w:header="0"/>
        </w:sectPr>
      </w:pPr>
    </w:p>
    <w:p>
      <w:pPr>
        <w:spacing w:after="0" w:line="31" w:lineRule="exact"/>
        <w:rPr>
          <w:sz w:val="20"/>
          <w:szCs w:val="20"/>
          <w:color w:val="auto"/>
        </w:rPr>
      </w:pPr>
    </w:p>
    <w:p>
      <w:pPr>
        <w:ind w:left="2260" w:right="120" w:hanging="583"/>
        <w:spacing w:after="0" w:line="339" w:lineRule="auto"/>
        <w:tabs>
          <w:tab w:leader="none" w:pos="2240" w:val="left"/>
        </w:tabs>
        <w:rPr>
          <w:sz w:val="20"/>
          <w:szCs w:val="20"/>
          <w:color w:val="auto"/>
        </w:rPr>
      </w:pPr>
      <w:r>
        <w:rPr>
          <w:rFonts w:ascii="Times New Roman" w:cs="Times New Roman" w:eastAsia="Times New Roman" w:hAnsi="Times New Roman"/>
          <w:sz w:val="18"/>
          <w:szCs w:val="18"/>
          <w:color w:val="auto"/>
        </w:rPr>
        <w:t>10.60</w:t>
      </w:r>
      <w:r>
        <w:rPr>
          <w:sz w:val="20"/>
          <w:szCs w:val="20"/>
          <w:color w:val="auto"/>
        </w:rPr>
        <w:tab/>
      </w:r>
      <w:r>
        <w:rPr>
          <w:rFonts w:ascii="Times New Roman" w:cs="Times New Roman" w:eastAsia="Times New Roman" w:hAnsi="Times New Roman"/>
          <w:sz w:val="16"/>
          <w:szCs w:val="16"/>
          <w:color w:val="auto"/>
        </w:rPr>
        <w:t>Share Exchange Agreement dated August 30, 2010, between Tree.com, Inc. and Douglas R. Lebda*</w:t>
      </w:r>
    </w:p>
    <w:p>
      <w:pPr>
        <w:spacing w:after="0" w:line="156" w:lineRule="exact"/>
        <w:rPr>
          <w:sz w:val="20"/>
          <w:szCs w:val="20"/>
          <w:color w:val="auto"/>
        </w:rPr>
      </w:pPr>
    </w:p>
    <w:p>
      <w:pPr>
        <w:ind w:left="2260" w:hanging="583"/>
        <w:spacing w:after="0" w:line="258" w:lineRule="auto"/>
        <w:tabs>
          <w:tab w:leader="none" w:pos="2240" w:val="left"/>
        </w:tabs>
        <w:rPr>
          <w:sz w:val="20"/>
          <w:szCs w:val="20"/>
          <w:color w:val="auto"/>
        </w:rPr>
      </w:pPr>
      <w:r>
        <w:rPr>
          <w:rFonts w:ascii="Times New Roman" w:cs="Times New Roman" w:eastAsia="Times New Roman" w:hAnsi="Times New Roman"/>
          <w:sz w:val="18"/>
          <w:szCs w:val="18"/>
          <w:color w:val="auto"/>
        </w:rPr>
        <w:t>10.61</w:t>
        <w:tab/>
        <w:t>Amendment No. 1 to the Restricted Share Grant and Stockholder's Agreement, dated August 30, 2010 between Tree.com, Inc., LendingTree Holdings Corp. and Douglas R. Lebda*</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September 1, 2010</w:t>
      </w:r>
    </w:p>
    <w:p>
      <w:pPr>
        <w:spacing w:after="0" w:line="20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Exhibit 10.4 to the Registrant's Quarterly Report on Form 10-Q filed November 12, 2010</w:t>
      </w:r>
    </w:p>
    <w:p>
      <w:pPr>
        <w:spacing w:after="0" w:line="615" w:lineRule="exact"/>
        <w:rPr>
          <w:sz w:val="20"/>
          <w:szCs w:val="20"/>
          <w:color w:val="auto"/>
        </w:rPr>
      </w:pPr>
    </w:p>
    <w:p>
      <w:pPr>
        <w:sectPr>
          <w:pgSz w:w="11900" w:h="16838" w:orient="portrait"/>
          <w:cols w:equalWidth="0" w:num="2">
            <w:col w:w="6020" w:space="340"/>
            <w:col w:w="3860"/>
          </w:cols>
          <w:pgMar w:left="240" w:top="125" w:right="1439" w:bottom="1440" w:gutter="0" w:footer="0" w:header="0"/>
          <w:type w:val="continuous"/>
        </w:sectPr>
      </w:pPr>
    </w:p>
    <w:p>
      <w:pPr>
        <w:spacing w:after="0" w:line="17" w:lineRule="exact"/>
        <w:rPr>
          <w:sz w:val="20"/>
          <w:szCs w:val="20"/>
          <w:color w:val="auto"/>
        </w:rPr>
      </w:pPr>
    </w:p>
    <w:p>
      <w:pPr>
        <w:ind w:left="2260" w:hanging="583"/>
        <w:spacing w:after="0" w:line="310" w:lineRule="auto"/>
        <w:tabs>
          <w:tab w:leader="none" w:pos="2240" w:val="left"/>
        </w:tabs>
        <w:rPr>
          <w:sz w:val="20"/>
          <w:szCs w:val="20"/>
          <w:color w:val="auto"/>
        </w:rPr>
      </w:pPr>
      <w:r>
        <w:rPr>
          <w:rFonts w:ascii="Times New Roman" w:cs="Times New Roman" w:eastAsia="Times New Roman" w:hAnsi="Times New Roman"/>
          <w:sz w:val="18"/>
          <w:szCs w:val="18"/>
          <w:color w:val="auto"/>
        </w:rPr>
        <w:t>10.62</w:t>
      </w:r>
      <w:r>
        <w:rPr>
          <w:sz w:val="20"/>
          <w:szCs w:val="20"/>
          <w:color w:val="auto"/>
        </w:rPr>
        <w:tab/>
      </w:r>
      <w:r>
        <w:rPr>
          <w:rFonts w:ascii="Times New Roman" w:cs="Times New Roman" w:eastAsia="Times New Roman" w:hAnsi="Times New Roman"/>
          <w:sz w:val="16"/>
          <w:szCs w:val="16"/>
          <w:color w:val="auto"/>
        </w:rPr>
        <w:t>Amendment No. 3 to the Master Repurchase Agreement, dated July 22, 2010, by and between Home Loan Center, Inc. and JPMorgan Chase Bank, N.A.</w:t>
      </w:r>
    </w:p>
    <w:p>
      <w:pPr>
        <w:spacing w:after="0" w:line="20" w:lineRule="exact"/>
        <w:rPr>
          <w:sz w:val="20"/>
          <w:szCs w:val="20"/>
          <w:color w:val="auto"/>
        </w:rPr>
      </w:pPr>
      <w:r>
        <w:rPr>
          <w:sz w:val="20"/>
          <w:szCs w:val="20"/>
          <w:color w:val="auto"/>
        </w:rPr>
        <w:br w:type="column"/>
      </w:r>
    </w:p>
    <w:p>
      <w:pPr>
        <w:ind w:right="360"/>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July 28, 2010</w:t>
      </w:r>
    </w:p>
    <w:p>
      <w:pPr>
        <w:spacing w:after="0" w:line="416" w:lineRule="exact"/>
        <w:rPr>
          <w:sz w:val="20"/>
          <w:szCs w:val="20"/>
          <w:color w:val="auto"/>
        </w:rPr>
      </w:pPr>
    </w:p>
    <w:p>
      <w:pPr>
        <w:sectPr>
          <w:pgSz w:w="11900" w:h="16838" w:orient="portrait"/>
          <w:cols w:equalWidth="0" w:num="2">
            <w:col w:w="6160" w:space="200"/>
            <w:col w:w="3860"/>
          </w:cols>
          <w:pgMar w:left="240" w:top="125" w:right="1439" w:bottom="1440" w:gutter="0" w:footer="0" w:header="0"/>
          <w:type w:val="continuous"/>
        </w:sectPr>
      </w:pPr>
    </w:p>
    <w:p>
      <w:pPr>
        <w:ind w:left="2260" w:right="40" w:hanging="583"/>
        <w:spacing w:after="0" w:line="275" w:lineRule="auto"/>
        <w:tabs>
          <w:tab w:leader="none" w:pos="2240" w:val="left"/>
        </w:tabs>
        <w:rPr>
          <w:sz w:val="20"/>
          <w:szCs w:val="20"/>
          <w:color w:val="auto"/>
        </w:rPr>
      </w:pPr>
      <w:r>
        <w:rPr>
          <w:rFonts w:ascii="Times New Roman" w:cs="Times New Roman" w:eastAsia="Times New Roman" w:hAnsi="Times New Roman"/>
          <w:sz w:val="18"/>
          <w:szCs w:val="18"/>
          <w:color w:val="auto"/>
        </w:rPr>
        <w:t>10.63</w:t>
        <w:tab/>
        <w:t>Employment Agreement between Tree.com, Inc. and Steven Ozonian, dated October 31, 2010*</w:t>
      </w:r>
    </w:p>
    <w:p>
      <w:pPr>
        <w:spacing w:after="0" w:line="201" w:lineRule="exact"/>
        <w:rPr>
          <w:sz w:val="20"/>
          <w:szCs w:val="20"/>
          <w:color w:val="auto"/>
        </w:rPr>
      </w:pPr>
    </w:p>
    <w:p>
      <w:pPr>
        <w:jc w:val="both"/>
        <w:ind w:left="2260" w:right="14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10.64</w:t>
        <w:tab/>
        <w:t>Amended and Restated Employment Agreement by and between Tree.com, Inc. and Douglas R. Lebda, dated October 26, 2010*</w:t>
      </w:r>
    </w:p>
    <w:p>
      <w:pPr>
        <w:spacing w:after="0" w:line="213" w:lineRule="exact"/>
        <w:rPr>
          <w:sz w:val="20"/>
          <w:szCs w:val="20"/>
          <w:color w:val="auto"/>
        </w:rPr>
      </w:pPr>
    </w:p>
    <w:p>
      <w:pPr>
        <w:ind w:left="2260" w:hanging="583"/>
        <w:spacing w:after="0" w:line="256" w:lineRule="auto"/>
        <w:tabs>
          <w:tab w:leader="none" w:pos="2240" w:val="left"/>
        </w:tabs>
        <w:rPr>
          <w:sz w:val="20"/>
          <w:szCs w:val="20"/>
          <w:color w:val="auto"/>
        </w:rPr>
      </w:pPr>
      <w:r>
        <w:rPr>
          <w:rFonts w:ascii="Times New Roman" w:cs="Times New Roman" w:eastAsia="Times New Roman" w:hAnsi="Times New Roman"/>
          <w:sz w:val="18"/>
          <w:szCs w:val="18"/>
          <w:color w:val="auto"/>
        </w:rPr>
        <w:t>10.65</w:t>
        <w:tab/>
        <w:t>Asset Purchase Agreement dated November 15, 2010 by and among Home Loan Center, Inc., First Residential Mortgage Network, Inc. dba SurePoint Lending, and the shareholders of First Residential Mortgage Network named therein</w:t>
      </w:r>
    </w:p>
    <w:p>
      <w:pPr>
        <w:spacing w:after="0" w:line="20" w:lineRule="exact"/>
        <w:rPr>
          <w:sz w:val="20"/>
          <w:szCs w:val="20"/>
          <w:color w:val="auto"/>
        </w:rPr>
      </w:pPr>
      <w:r>
        <w:rPr>
          <w:sz w:val="20"/>
          <w:szCs w:val="20"/>
          <w:color w:val="auto"/>
        </w:rPr>
        <w:br w:type="column"/>
      </w:r>
    </w:p>
    <w:p>
      <w:pPr>
        <w:ind w:right="360"/>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November 1, 2010</w:t>
      </w:r>
    </w:p>
    <w:p>
      <w:pPr>
        <w:spacing w:after="0" w:line="201"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Exhibit 10.2 to the Registrant's Current Report on Form 8-K filed November 1, 2010</w:t>
      </w:r>
    </w:p>
    <w:p>
      <w:pPr>
        <w:spacing w:after="0" w:line="200" w:lineRule="exact"/>
        <w:rPr>
          <w:sz w:val="20"/>
          <w:szCs w:val="20"/>
          <w:color w:val="auto"/>
        </w:rPr>
      </w:pPr>
    </w:p>
    <w:p>
      <w:pPr>
        <w:spacing w:after="0" w:line="21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Exhibit 2.1 to Registrant's Current Report on Form 8K filed November 16, 2010</w:t>
      </w:r>
    </w:p>
    <w:p>
      <w:pPr>
        <w:spacing w:after="0" w:line="829" w:lineRule="exact"/>
        <w:rPr>
          <w:sz w:val="20"/>
          <w:szCs w:val="20"/>
          <w:color w:val="auto"/>
        </w:rPr>
      </w:pPr>
    </w:p>
    <w:p>
      <w:pPr>
        <w:sectPr>
          <w:pgSz w:w="11900" w:h="16838" w:orient="portrait"/>
          <w:cols w:equalWidth="0" w:num="2">
            <w:col w:w="6020" w:space="340"/>
            <w:col w:w="3860"/>
          </w:cols>
          <w:pgMar w:left="240" w:top="125" w:right="1439" w:bottom="1440" w:gutter="0" w:footer="0" w:header="0"/>
          <w:type w:val="continuous"/>
        </w:sectPr>
      </w:pPr>
    </w:p>
    <w:p>
      <w:pPr>
        <w:spacing w:after="0" w:line="20" w:lineRule="exact"/>
        <w:rPr>
          <w:sz w:val="20"/>
          <w:szCs w:val="20"/>
          <w:color w:val="auto"/>
        </w:rPr>
      </w:pPr>
    </w:p>
    <w:p>
      <w:pPr>
        <w:ind w:left="2260" w:right="20" w:hanging="583"/>
        <w:spacing w:after="0" w:line="339" w:lineRule="auto"/>
        <w:tabs>
          <w:tab w:leader="none" w:pos="2240" w:val="left"/>
        </w:tabs>
        <w:rPr>
          <w:sz w:val="20"/>
          <w:szCs w:val="20"/>
          <w:color w:val="auto"/>
        </w:rPr>
      </w:pPr>
      <w:r>
        <w:rPr>
          <w:rFonts w:ascii="Times New Roman" w:cs="Times New Roman" w:eastAsia="Times New Roman" w:hAnsi="Times New Roman"/>
          <w:sz w:val="18"/>
          <w:szCs w:val="18"/>
          <w:color w:val="auto"/>
        </w:rPr>
        <w:t>10.66</w:t>
      </w:r>
      <w:r>
        <w:rPr>
          <w:sz w:val="20"/>
          <w:szCs w:val="20"/>
          <w:color w:val="auto"/>
        </w:rPr>
        <w:tab/>
      </w:r>
      <w:r>
        <w:rPr>
          <w:rFonts w:ascii="Times New Roman" w:cs="Times New Roman" w:eastAsia="Times New Roman" w:hAnsi="Times New Roman"/>
          <w:sz w:val="16"/>
          <w:szCs w:val="16"/>
          <w:color w:val="auto"/>
        </w:rPr>
        <w:t>Letter Agreement dated as of January 24, 2011 by and between RealEstate.com, Inc. and Steven Ozonian*</w:t>
      </w:r>
    </w:p>
    <w:p>
      <w:pPr>
        <w:spacing w:after="0" w:line="156" w:lineRule="exact"/>
        <w:rPr>
          <w:sz w:val="20"/>
          <w:szCs w:val="20"/>
          <w:color w:val="auto"/>
        </w:rPr>
      </w:pPr>
    </w:p>
    <w:p>
      <w:pPr>
        <w:ind w:left="2260" w:hanging="583"/>
        <w:spacing w:after="0" w:line="275" w:lineRule="auto"/>
        <w:tabs>
          <w:tab w:leader="none" w:pos="2240" w:val="left"/>
        </w:tabs>
        <w:rPr>
          <w:sz w:val="20"/>
          <w:szCs w:val="20"/>
          <w:color w:val="auto"/>
        </w:rPr>
      </w:pPr>
      <w:r>
        <w:rPr>
          <w:rFonts w:ascii="Times New Roman" w:cs="Times New Roman" w:eastAsia="Times New Roman" w:hAnsi="Times New Roman"/>
          <w:sz w:val="18"/>
          <w:szCs w:val="18"/>
          <w:color w:val="auto"/>
        </w:rPr>
        <w:t>10.67</w:t>
        <w:tab/>
        <w:t>Award Letter between Greg Hanson and Tree.com BU Holding Company, Inc. dated January 28, 2011*</w:t>
      </w:r>
    </w:p>
    <w:p>
      <w:pPr>
        <w:spacing w:after="0" w:line="201" w:lineRule="exact"/>
        <w:rPr>
          <w:sz w:val="20"/>
          <w:szCs w:val="20"/>
          <w:color w:val="auto"/>
        </w:rPr>
      </w:pPr>
    </w:p>
    <w:p>
      <w:pPr>
        <w:ind w:left="2260" w:right="22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10.68</w:t>
        <w:tab/>
        <w:t>Standard Terms and Conditions to Restricted Stock Award Letters of Tree.com BU Holding Company, Inc.*</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75" w:lineRule="auto"/>
        <w:rPr>
          <w:sz w:val="20"/>
          <w:szCs w:val="20"/>
          <w:color w:val="auto"/>
        </w:rPr>
      </w:pPr>
      <w:r>
        <w:rPr>
          <w:rFonts w:ascii="Times New Roman" w:cs="Times New Roman" w:eastAsia="Times New Roman" w:hAnsi="Times New Roman"/>
          <w:sz w:val="18"/>
          <w:szCs w:val="18"/>
          <w:color w:val="auto"/>
        </w:rPr>
        <w:t>Exhibit 10.66 to the Registrant's Annual Report on Form 10-K filed February 28, 2011</w:t>
      </w:r>
    </w:p>
    <w:p>
      <w:pPr>
        <w:spacing w:after="0" w:line="20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Exhibit 10.1 to Registrant's Current Report on Form 8-K filed February 3, 2011</w:t>
      </w:r>
    </w:p>
    <w:p>
      <w:pPr>
        <w:spacing w:after="0" w:line="20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Exhibit 10.2 to Registrant's Current Report on Form 8-K filed February 3, 2011</w:t>
      </w:r>
    </w:p>
    <w:p>
      <w:pPr>
        <w:sectPr>
          <w:pgSz w:w="11900" w:h="16838" w:orient="portrait"/>
          <w:cols w:equalWidth="0" w:num="2">
            <w:col w:w="6080" w:space="280"/>
            <w:col w:w="3860"/>
          </w:cols>
          <w:pgMar w:left="240" w:top="125" w:right="1439" w:bottom="1440" w:gutter="0" w:footer="0" w:header="0"/>
          <w:type w:val="continuous"/>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165"/>
        </w:trPr>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5"/>
        </w:trPr>
        <w:tc>
          <w:tcPr>
            <w:tcW w:w="9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10.69</w:t>
            </w:r>
          </w:p>
        </w:tc>
        <w:tc>
          <w:tcPr>
            <w:tcW w:w="1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First Amendment to Asset Purchase Agreement dated</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March 14, 2011 by and among HLC, SurePoint and the</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shareholders party thereto</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Amendment to Asset Purchase Agreement</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dated March 15, 2011 by and among HLC, SurePoint</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the shareholders party thereto</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Amendment No. 5 to Master Repurchase Agreement,</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dated March 31, 2011, by and between Home Loan</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Center, Inc. and JPMorgan Chase Bank, N.A.</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Third Amendment to Side Letter, dated March 31,</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2011, by and between Home Loan Center, Inc. and</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JPMorgan Chase Bank, N.A.</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Confidential Severance Agreement and Release, dated</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2011, by and between Tree.com, Inc. and</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Steven Ozonian*</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Asset Purchase Agreement dated May 12, 2011 by and</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among Tree.com, Inc., Home Loan Center, Inc.,</w:t>
            </w:r>
          </w:p>
        </w:tc>
      </w:tr>
    </w:tbl>
    <w:p>
      <w:pPr>
        <w:ind w:left="2260" w:right="280"/>
        <w:spacing w:after="0" w:line="261" w:lineRule="auto"/>
        <w:rPr>
          <w:sz w:val="20"/>
          <w:szCs w:val="20"/>
          <w:color w:val="auto"/>
        </w:rPr>
      </w:pPr>
      <w:r>
        <w:rPr>
          <w:rFonts w:ascii="Times New Roman" w:cs="Times New Roman" w:eastAsia="Times New Roman" w:hAnsi="Times New Roman"/>
          <w:sz w:val="18"/>
          <w:szCs w:val="18"/>
          <w:color w:val="auto"/>
        </w:rPr>
        <w:t>LendingTree, LLC, HLC Escrow, Inc. and Discover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24872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1660"/>
        <w:spacing w:after="0" w:line="259" w:lineRule="auto"/>
        <w:rPr>
          <w:sz w:val="20"/>
          <w:szCs w:val="20"/>
          <w:color w:val="auto"/>
        </w:rPr>
      </w:pPr>
      <w:r>
        <w:rPr>
          <w:rFonts w:ascii="Times New Roman" w:cs="Times New Roman" w:eastAsia="Times New Roman" w:hAnsi="Times New Roman"/>
          <w:sz w:val="18"/>
          <w:szCs w:val="18"/>
          <w:color w:val="auto"/>
        </w:rPr>
        <w:t>Exhibit 2.1 to the Registrant's Current Report on Form 8-K filed March 21, 2011</w:t>
      </w:r>
    </w:p>
    <w:p>
      <w:pPr>
        <w:spacing w:after="0" w:line="200" w:lineRule="exact"/>
        <w:rPr>
          <w:sz w:val="20"/>
          <w:szCs w:val="20"/>
          <w:color w:val="auto"/>
        </w:rPr>
      </w:pPr>
    </w:p>
    <w:p>
      <w:pPr>
        <w:spacing w:after="0" w:line="231" w:lineRule="exact"/>
        <w:rPr>
          <w:sz w:val="20"/>
          <w:szCs w:val="20"/>
          <w:color w:val="auto"/>
        </w:rPr>
      </w:pPr>
    </w:p>
    <w:p>
      <w:pPr>
        <w:ind w:right="1660"/>
        <w:spacing w:after="0" w:line="275" w:lineRule="auto"/>
        <w:rPr>
          <w:sz w:val="20"/>
          <w:szCs w:val="20"/>
          <w:color w:val="auto"/>
        </w:rPr>
      </w:pPr>
      <w:r>
        <w:rPr>
          <w:rFonts w:ascii="Times New Roman" w:cs="Times New Roman" w:eastAsia="Times New Roman" w:hAnsi="Times New Roman"/>
          <w:sz w:val="18"/>
          <w:szCs w:val="18"/>
          <w:color w:val="auto"/>
        </w:rPr>
        <w:t>Exhibit 2.2 to the Registrant's Current Report on Form 8-K filed March 21, 2011</w:t>
      </w:r>
    </w:p>
    <w:p>
      <w:pPr>
        <w:spacing w:after="0" w:line="200" w:lineRule="exact"/>
        <w:rPr>
          <w:sz w:val="20"/>
          <w:szCs w:val="20"/>
          <w:color w:val="auto"/>
        </w:rPr>
      </w:pPr>
    </w:p>
    <w:p>
      <w:pPr>
        <w:spacing w:after="0" w:line="217" w:lineRule="exact"/>
        <w:rPr>
          <w:sz w:val="20"/>
          <w:szCs w:val="20"/>
          <w:color w:val="auto"/>
        </w:rPr>
      </w:pPr>
    </w:p>
    <w:p>
      <w:pPr>
        <w:ind w:right="1560"/>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April 6, 2011</w:t>
      </w:r>
    </w:p>
    <w:p>
      <w:pPr>
        <w:spacing w:after="0" w:line="200" w:lineRule="exact"/>
        <w:rPr>
          <w:sz w:val="20"/>
          <w:szCs w:val="20"/>
          <w:color w:val="auto"/>
        </w:rPr>
      </w:pPr>
    </w:p>
    <w:p>
      <w:pPr>
        <w:spacing w:after="0" w:line="217" w:lineRule="exact"/>
        <w:rPr>
          <w:sz w:val="20"/>
          <w:szCs w:val="20"/>
          <w:color w:val="auto"/>
        </w:rPr>
      </w:pPr>
    </w:p>
    <w:p>
      <w:pPr>
        <w:ind w:right="1560"/>
        <w:spacing w:after="0" w:line="275" w:lineRule="auto"/>
        <w:rPr>
          <w:sz w:val="20"/>
          <w:szCs w:val="20"/>
          <w:color w:val="auto"/>
        </w:rPr>
      </w:pPr>
      <w:r>
        <w:rPr>
          <w:rFonts w:ascii="Times New Roman" w:cs="Times New Roman" w:eastAsia="Times New Roman" w:hAnsi="Times New Roman"/>
          <w:sz w:val="18"/>
          <w:szCs w:val="18"/>
          <w:color w:val="auto"/>
        </w:rPr>
        <w:t>Exhibit 10.2 to the Registrant's Current Report on Form 8-K filed April 6, 2011</w:t>
      </w:r>
    </w:p>
    <w:p>
      <w:pPr>
        <w:spacing w:after="0" w:line="200" w:lineRule="exact"/>
        <w:rPr>
          <w:sz w:val="20"/>
          <w:szCs w:val="20"/>
          <w:color w:val="auto"/>
        </w:rPr>
      </w:pPr>
    </w:p>
    <w:p>
      <w:pPr>
        <w:spacing w:after="0" w:line="217" w:lineRule="exact"/>
        <w:rPr>
          <w:sz w:val="20"/>
          <w:szCs w:val="20"/>
          <w:color w:val="auto"/>
        </w:rPr>
      </w:pPr>
    </w:p>
    <w:p>
      <w:pPr>
        <w:ind w:right="1560"/>
        <w:spacing w:after="0" w:line="275" w:lineRule="auto"/>
        <w:rPr>
          <w:sz w:val="20"/>
          <w:szCs w:val="20"/>
          <w:color w:val="auto"/>
        </w:rPr>
      </w:pPr>
      <w:r>
        <w:rPr>
          <w:rFonts w:ascii="Times New Roman" w:cs="Times New Roman" w:eastAsia="Times New Roman" w:hAnsi="Times New Roman"/>
          <w:sz w:val="18"/>
          <w:szCs w:val="18"/>
          <w:color w:val="auto"/>
        </w:rPr>
        <w:t>Exhibit 10.3 to the Registrant's Current Report on Form 8-K filed April 6, 2011</w:t>
      </w:r>
    </w:p>
    <w:p>
      <w:pPr>
        <w:spacing w:after="0" w:line="200" w:lineRule="exact"/>
        <w:rPr>
          <w:sz w:val="20"/>
          <w:szCs w:val="20"/>
          <w:color w:val="auto"/>
        </w:rPr>
      </w:pPr>
    </w:p>
    <w:p>
      <w:pPr>
        <w:spacing w:after="0" w:line="217" w:lineRule="exact"/>
        <w:rPr>
          <w:sz w:val="20"/>
          <w:szCs w:val="20"/>
          <w:color w:val="auto"/>
        </w:rPr>
      </w:pPr>
    </w:p>
    <w:p>
      <w:pPr>
        <w:ind w:right="1660"/>
        <w:spacing w:after="0" w:line="275" w:lineRule="auto"/>
        <w:rPr>
          <w:sz w:val="20"/>
          <w:szCs w:val="20"/>
          <w:color w:val="auto"/>
        </w:rPr>
      </w:pPr>
      <w:r>
        <w:rPr>
          <w:rFonts w:ascii="Times New Roman" w:cs="Times New Roman" w:eastAsia="Times New Roman" w:hAnsi="Times New Roman"/>
          <w:sz w:val="18"/>
          <w:szCs w:val="18"/>
          <w:color w:val="auto"/>
        </w:rPr>
        <w:t>Exhibit 2.1 to the Registrant's Current Report on Form 8-K filed May 16, 2011</w:t>
      </w:r>
    </w:p>
    <w:p>
      <w:pPr>
        <w:spacing w:after="0" w:line="620" w:lineRule="exact"/>
        <w:rPr>
          <w:sz w:val="20"/>
          <w:szCs w:val="20"/>
          <w:color w:val="auto"/>
        </w:rPr>
      </w:pPr>
    </w:p>
    <w:p>
      <w:pPr>
        <w:sectPr>
          <w:pgSz w:w="11900" w:h="16838" w:orient="portrait"/>
          <w:cols w:equalWidth="0" w:num="2">
            <w:col w:w="6180" w:space="180"/>
            <w:col w:w="5060"/>
          </w:cols>
          <w:pgMar w:left="240" w:top="125" w:right="239" w:bottom="1440" w:gutter="0" w:footer="0" w:header="0"/>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10.75</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Assignment and Assumption Agreement</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 2.2 to the Registrant's Current Report on</w:t>
            </w:r>
          </w:p>
        </w:tc>
      </w:tr>
      <w:tr>
        <w:trPr>
          <w:trHeight w:val="228"/>
        </w:trPr>
        <w:tc>
          <w:tcPr>
            <w:tcW w:w="21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8-K filed May 16, 2011</w:t>
            </w: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10.76</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Bill of Sale</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 2.3 to the Registrant's Current Report on</w:t>
            </w:r>
          </w:p>
        </w:tc>
      </w:tr>
      <w:tr>
        <w:trPr>
          <w:trHeight w:val="228"/>
        </w:trPr>
        <w:tc>
          <w:tcPr>
            <w:tcW w:w="21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8-K filed May 16, 2011</w:t>
            </w: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10.77</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Escrow Agreement Terms</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 2.4 to the Registrant's Current Report on</w:t>
            </w:r>
          </w:p>
        </w:tc>
      </w:tr>
      <w:tr>
        <w:trPr>
          <w:trHeight w:val="228"/>
        </w:trPr>
        <w:tc>
          <w:tcPr>
            <w:tcW w:w="21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8-K/A filed August 12, 2011</w:t>
            </w: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10.78</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Voting and Support Agreement of Douglas R.</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 99.1 to the Registrant's Current Report on</w:t>
            </w:r>
          </w:p>
        </w:tc>
      </w:tr>
      <w:tr>
        <w:trPr>
          <w:trHeight w:val="228"/>
        </w:trPr>
        <w:tc>
          <w:tcPr>
            <w:tcW w:w="216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Lebda</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8-K filed May 16, 2011</w:t>
            </w: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10.79</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Voting and Support Agreement of Liberty</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 99.2 to the Registrant's Current Report on</w:t>
            </w:r>
          </w:p>
        </w:tc>
      </w:tr>
      <w:tr>
        <w:trPr>
          <w:trHeight w:val="228"/>
        </w:trPr>
        <w:tc>
          <w:tcPr>
            <w:tcW w:w="216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Media Corporation</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8-K filed May 16, 2011</w:t>
            </w: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10.80</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Voting and Support Agreement of Second</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 99.3 to the Registrant's Current Report on</w:t>
            </w:r>
          </w:p>
        </w:tc>
      </w:tr>
      <w:tr>
        <w:trPr>
          <w:trHeight w:val="228"/>
        </w:trPr>
        <w:tc>
          <w:tcPr>
            <w:tcW w:w="216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Curve, LLC</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8-K filed May 16, 2011</w:t>
            </w: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10.81</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No. 6 to Master Repurchase Agreement,</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 10.1 to the Registrant's Current Report on</w:t>
            </w:r>
          </w:p>
        </w:tc>
      </w:tr>
      <w:tr>
        <w:trPr>
          <w:trHeight w:val="216"/>
        </w:trPr>
        <w:tc>
          <w:tcPr>
            <w:tcW w:w="21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dated as of June 29, 2011, by and between Home Loan</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8-K filed July 6, 2011</w:t>
            </w:r>
          </w:p>
        </w:tc>
      </w:tr>
      <w:tr>
        <w:trPr>
          <w:trHeight w:val="228"/>
        </w:trPr>
        <w:tc>
          <w:tcPr>
            <w:tcW w:w="216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Center, Inc. and JPMorgan Chase Bank, N.A.</w:t>
            </w:r>
          </w:p>
        </w:tc>
        <w:tc>
          <w:tcPr>
            <w:tcW w:w="5180" w:type="dxa"/>
            <w:vAlign w:val="bottom"/>
          </w:tcPr>
          <w:p>
            <w:pPr>
              <w:spacing w:after="0"/>
              <w:rPr>
                <w:sz w:val="19"/>
                <w:szCs w:val="19"/>
                <w:color w:val="auto"/>
              </w:rPr>
            </w:pPr>
          </w:p>
        </w:tc>
      </w:tr>
      <w:tr>
        <w:trPr>
          <w:trHeight w:val="432"/>
        </w:trPr>
        <w:tc>
          <w:tcPr>
            <w:tcW w:w="2160" w:type="dxa"/>
            <w:vAlign w:val="bottom"/>
          </w:tcPr>
          <w:p>
            <w:pPr>
              <w:spacing w:after="0"/>
              <w:rPr>
                <w:sz w:val="24"/>
                <w:szCs w:val="24"/>
                <w:color w:val="auto"/>
              </w:rPr>
            </w:pPr>
          </w:p>
        </w:tc>
        <w:tc>
          <w:tcPr>
            <w:tcW w:w="408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95</w:t>
            </w:r>
          </w:p>
        </w:tc>
        <w:tc>
          <w:tcPr>
            <w:tcW w:w="5180" w:type="dxa"/>
            <w:vAlign w:val="bottom"/>
          </w:tcPr>
          <w:p>
            <w:pPr>
              <w:spacing w:after="0"/>
              <w:rPr>
                <w:sz w:val="24"/>
                <w:szCs w:val="24"/>
                <w:color w:val="auto"/>
              </w:rPr>
            </w:pPr>
          </w:p>
        </w:tc>
      </w:tr>
      <w:tr>
        <w:trPr>
          <w:trHeight w:val="228"/>
        </w:trPr>
        <w:tc>
          <w:tcPr>
            <w:tcW w:w="216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ind w:left="1360"/>
        <w:spacing w:after="0"/>
        <w:tabs>
          <w:tab w:leader="none" w:pos="38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902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260" w:right="80" w:hanging="583"/>
        <w:spacing w:after="0" w:line="254" w:lineRule="auto"/>
        <w:tabs>
          <w:tab w:leader="none" w:pos="2240" w:val="left"/>
        </w:tabs>
        <w:rPr>
          <w:sz w:val="20"/>
          <w:szCs w:val="20"/>
          <w:color w:val="auto"/>
        </w:rPr>
      </w:pPr>
      <w:r>
        <w:rPr>
          <w:rFonts w:ascii="Times New Roman" w:cs="Times New Roman" w:eastAsia="Times New Roman" w:hAnsi="Times New Roman"/>
          <w:sz w:val="18"/>
          <w:szCs w:val="18"/>
          <w:color w:val="auto"/>
        </w:rPr>
        <w:t>10.82</w:t>
        <w:tab/>
        <w:t>Fourth Amendment to Side Letter, dated as of June 29, 2011, with respect to the Home Loan Center, Inc. warehouse facility with JPMorgan Chase Bank, N.A.</w:t>
      </w:r>
    </w:p>
    <w:p>
      <w:pPr>
        <w:spacing w:after="0" w:line="220" w:lineRule="exact"/>
        <w:rPr>
          <w:sz w:val="20"/>
          <w:szCs w:val="20"/>
          <w:color w:val="auto"/>
        </w:rPr>
      </w:pPr>
    </w:p>
    <w:p>
      <w:pPr>
        <w:ind w:left="2260" w:hanging="583"/>
        <w:spacing w:after="0" w:line="256" w:lineRule="auto"/>
        <w:tabs>
          <w:tab w:leader="none" w:pos="2240" w:val="left"/>
        </w:tabs>
        <w:rPr>
          <w:sz w:val="20"/>
          <w:szCs w:val="20"/>
          <w:color w:val="auto"/>
        </w:rPr>
      </w:pPr>
      <w:r>
        <w:rPr>
          <w:rFonts w:ascii="Times New Roman" w:cs="Times New Roman" w:eastAsia="Times New Roman" w:hAnsi="Times New Roman"/>
          <w:sz w:val="18"/>
          <w:szCs w:val="18"/>
          <w:color w:val="auto"/>
        </w:rPr>
        <w:t>10.83</w:t>
        <w:tab/>
        <w:t>Amendment No. 1 to Transaction Terms Letter dated as of June 29,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24872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359"/>
        <w:spacing w:after="0" w:line="259" w:lineRule="auto"/>
        <w:rPr>
          <w:sz w:val="20"/>
          <w:szCs w:val="20"/>
          <w:color w:val="auto"/>
        </w:rPr>
      </w:pPr>
      <w:r>
        <w:rPr>
          <w:rFonts w:ascii="Times New Roman" w:cs="Times New Roman" w:eastAsia="Times New Roman" w:hAnsi="Times New Roman"/>
          <w:sz w:val="18"/>
          <w:szCs w:val="18"/>
          <w:color w:val="auto"/>
        </w:rPr>
        <w:t>Exhibit 10.2 to the Registrant's Current Report on Form 8-K filed July 6, 2011</w:t>
      </w:r>
    </w:p>
    <w:p>
      <w:pPr>
        <w:spacing w:after="0" w:line="200" w:lineRule="exact"/>
        <w:rPr>
          <w:sz w:val="20"/>
          <w:szCs w:val="20"/>
          <w:color w:val="auto"/>
        </w:rPr>
      </w:pPr>
    </w:p>
    <w:p>
      <w:pPr>
        <w:spacing w:after="0" w:line="231"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10.3 to the Registrant's Current Report on Form 8-K filed July 6, 2011</w:t>
      </w:r>
    </w:p>
    <w:p>
      <w:pPr>
        <w:spacing w:after="0" w:line="829" w:lineRule="exact"/>
        <w:rPr>
          <w:sz w:val="20"/>
          <w:szCs w:val="20"/>
          <w:color w:val="auto"/>
        </w:rPr>
      </w:pPr>
    </w:p>
    <w:p>
      <w:pPr>
        <w:sectPr>
          <w:pgSz w:w="11900" w:h="16838" w:orient="portrait"/>
          <w:cols w:equalWidth="0" w:num="2">
            <w:col w:w="6180" w:space="180"/>
            <w:col w:w="3859"/>
          </w:cols>
          <w:pgMar w:left="240" w:top="125" w:right="1440" w:bottom="1440" w:gutter="0" w:footer="0" w:header="0"/>
        </w:sectPr>
      </w:pPr>
    </w:p>
    <w:p>
      <w:pPr>
        <w:spacing w:after="0" w:line="20" w:lineRule="exact"/>
        <w:rPr>
          <w:sz w:val="20"/>
          <w:szCs w:val="20"/>
          <w:color w:val="auto"/>
        </w:rPr>
      </w:pPr>
    </w:p>
    <w:p>
      <w:pPr>
        <w:ind w:left="2260" w:hanging="583"/>
        <w:spacing w:after="0" w:line="256" w:lineRule="auto"/>
        <w:tabs>
          <w:tab w:leader="none" w:pos="2240" w:val="left"/>
        </w:tabs>
        <w:rPr>
          <w:sz w:val="20"/>
          <w:szCs w:val="20"/>
          <w:color w:val="auto"/>
        </w:rPr>
      </w:pPr>
      <w:r>
        <w:rPr>
          <w:rFonts w:ascii="Times New Roman" w:cs="Times New Roman" w:eastAsia="Times New Roman" w:hAnsi="Times New Roman"/>
          <w:sz w:val="18"/>
          <w:szCs w:val="18"/>
          <w:color w:val="auto"/>
        </w:rPr>
        <w:t>10.84</w:t>
        <w:tab/>
        <w:t>Amendment No. 2 to Transactions Terms Letter dated as of July 12,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July 15, 2011</w:t>
      </w:r>
    </w:p>
    <w:p>
      <w:pPr>
        <w:spacing w:after="0" w:line="829" w:lineRule="exact"/>
        <w:rPr>
          <w:sz w:val="20"/>
          <w:szCs w:val="20"/>
          <w:color w:val="auto"/>
        </w:rPr>
      </w:pPr>
    </w:p>
    <w:p>
      <w:pPr>
        <w:sectPr>
          <w:pgSz w:w="11900" w:h="16838" w:orient="portrait"/>
          <w:cols w:equalWidth="0" w:num="2">
            <w:col w:w="6180" w:space="180"/>
            <w:col w:w="3859"/>
          </w:cols>
          <w:pgMar w:left="240" w:top="125" w:right="1440" w:bottom="1440" w:gutter="0" w:footer="0" w:header="0"/>
          <w:type w:val="continuous"/>
        </w:sectPr>
      </w:pPr>
    </w:p>
    <w:p>
      <w:pPr>
        <w:spacing w:after="0" w:line="20" w:lineRule="exact"/>
        <w:rPr>
          <w:sz w:val="20"/>
          <w:szCs w:val="20"/>
          <w:color w:val="auto"/>
        </w:rPr>
      </w:pPr>
    </w:p>
    <w:p>
      <w:pPr>
        <w:ind w:left="2260" w:hanging="583"/>
        <w:spacing w:after="0" w:line="255" w:lineRule="auto"/>
        <w:tabs>
          <w:tab w:leader="none" w:pos="2240" w:val="left"/>
        </w:tabs>
        <w:rPr>
          <w:sz w:val="20"/>
          <w:szCs w:val="20"/>
          <w:color w:val="auto"/>
        </w:rPr>
      </w:pPr>
      <w:r>
        <w:rPr>
          <w:rFonts w:ascii="Times New Roman" w:cs="Times New Roman" w:eastAsia="Times New Roman" w:hAnsi="Times New Roman"/>
          <w:sz w:val="18"/>
          <w:szCs w:val="18"/>
          <w:color w:val="auto"/>
        </w:rPr>
        <w:t>10.85</w:t>
        <w:tab/>
        <w:t>Amendment No. 2 to Early Purchase Program Addendum to Loan Purchase Agreement dated as of July 12, 2011, which supplements that certain Loan Purchase Agreement by and between Bank of America, N.A. and Home Loan Center, Inc. dated April 16, 2002.</w:t>
      </w:r>
    </w:p>
    <w:p>
      <w:pPr>
        <w:spacing w:after="0" w:line="20" w:lineRule="exact"/>
        <w:rPr>
          <w:sz w:val="20"/>
          <w:szCs w:val="20"/>
          <w:color w:val="auto"/>
        </w:rPr>
      </w:pPr>
      <w:r>
        <w:rPr>
          <w:sz w:val="20"/>
          <w:szCs w:val="20"/>
          <w:color w:val="auto"/>
        </w:rPr>
        <w:br w:type="column"/>
      </w: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10.2 to the Registrant's Current Report on Form 8-K filed July 15, 2011</w:t>
      </w:r>
    </w:p>
    <w:p>
      <w:pPr>
        <w:spacing w:after="0" w:line="1045" w:lineRule="exact"/>
        <w:rPr>
          <w:sz w:val="20"/>
          <w:szCs w:val="20"/>
          <w:color w:val="auto"/>
        </w:rPr>
      </w:pPr>
    </w:p>
    <w:p>
      <w:pPr>
        <w:sectPr>
          <w:pgSz w:w="11900" w:h="16838" w:orient="portrait"/>
          <w:cols w:equalWidth="0" w:num="2">
            <w:col w:w="6160" w:space="200"/>
            <w:col w:w="3859"/>
          </w:cols>
          <w:pgMar w:left="240" w:top="125" w:right="1440" w:bottom="1440" w:gutter="0" w:footer="0" w:header="0"/>
          <w:type w:val="continuous"/>
        </w:sectPr>
      </w:pPr>
    </w:p>
    <w:p>
      <w:pPr>
        <w:spacing w:after="0" w:line="20" w:lineRule="exact"/>
        <w:rPr>
          <w:sz w:val="20"/>
          <w:szCs w:val="20"/>
          <w:color w:val="auto"/>
        </w:rPr>
      </w:pPr>
    </w:p>
    <w:p>
      <w:pPr>
        <w:ind w:left="2260" w:hanging="583"/>
        <w:spacing w:after="0" w:line="258" w:lineRule="auto"/>
        <w:tabs>
          <w:tab w:leader="none" w:pos="2240" w:val="left"/>
        </w:tabs>
        <w:rPr>
          <w:sz w:val="20"/>
          <w:szCs w:val="20"/>
          <w:color w:val="auto"/>
        </w:rPr>
      </w:pPr>
      <w:r>
        <w:rPr>
          <w:rFonts w:ascii="Times New Roman" w:cs="Times New Roman" w:eastAsia="Times New Roman" w:hAnsi="Times New Roman"/>
          <w:sz w:val="18"/>
          <w:szCs w:val="18"/>
          <w:color w:val="auto"/>
        </w:rPr>
        <w:t>10.86</w:t>
        <w:tab/>
        <w:t>Extension Letter Agreement dated as of August 11, 2011, regarding the Master Repurchase Agreement by and between Bank of America, N.A. and Home Loan Center, Inc. dated May 1, 2009</w:t>
      </w:r>
    </w:p>
    <w:p>
      <w:pPr>
        <w:spacing w:after="0" w:line="20" w:lineRule="exact"/>
        <w:rPr>
          <w:sz w:val="20"/>
          <w:szCs w:val="20"/>
          <w:color w:val="auto"/>
        </w:rPr>
      </w:pPr>
      <w:r>
        <w:rPr>
          <w:sz w:val="20"/>
          <w:szCs w:val="20"/>
          <w:color w:val="auto"/>
        </w:rPr>
        <w:br w:type="column"/>
      </w:r>
    </w:p>
    <w:p>
      <w:pPr>
        <w:ind w:right="139"/>
        <w:spacing w:after="0" w:line="275" w:lineRule="auto"/>
        <w:rPr>
          <w:sz w:val="20"/>
          <w:szCs w:val="20"/>
          <w:color w:val="auto"/>
        </w:rPr>
      </w:pPr>
      <w:r>
        <w:rPr>
          <w:rFonts w:ascii="Times New Roman" w:cs="Times New Roman" w:eastAsia="Times New Roman" w:hAnsi="Times New Roman"/>
          <w:sz w:val="18"/>
          <w:szCs w:val="18"/>
          <w:color w:val="auto"/>
        </w:rPr>
        <w:t>Exhibit 10.12 to the Registrant's Quarterly Report on Form 10-Q filed August 15, 2011</w:t>
      </w:r>
    </w:p>
    <w:p>
      <w:pPr>
        <w:spacing w:after="0" w:line="615" w:lineRule="exact"/>
        <w:rPr>
          <w:sz w:val="20"/>
          <w:szCs w:val="20"/>
          <w:color w:val="auto"/>
        </w:rPr>
      </w:pPr>
    </w:p>
    <w:p>
      <w:pPr>
        <w:sectPr>
          <w:pgSz w:w="11900" w:h="16838" w:orient="portrait"/>
          <w:cols w:equalWidth="0" w:num="2">
            <w:col w:w="6060" w:space="300"/>
            <w:col w:w="3859"/>
          </w:cols>
          <w:pgMar w:left="240" w:top="125" w:right="1440" w:bottom="1440" w:gutter="0" w:footer="0" w:header="0"/>
          <w:type w:val="continuous"/>
        </w:sectPr>
      </w:pPr>
    </w:p>
    <w:p>
      <w:pPr>
        <w:spacing w:after="0" w:line="17" w:lineRule="exact"/>
        <w:rPr>
          <w:sz w:val="20"/>
          <w:szCs w:val="20"/>
          <w:color w:val="auto"/>
        </w:rPr>
      </w:pPr>
    </w:p>
    <w:p>
      <w:pPr>
        <w:ind w:left="226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10.87</w:t>
        <w:tab/>
        <w:t>Asset Purchase Agreement dated September 15, 2011 by and among LendingTree, LLC, RealEstate.com, Inc. and Market Leader, Inc.**</w:t>
      </w:r>
    </w:p>
    <w:p>
      <w:pPr>
        <w:spacing w:after="0" w:line="213" w:lineRule="exact"/>
        <w:rPr>
          <w:sz w:val="20"/>
          <w:szCs w:val="20"/>
          <w:color w:val="auto"/>
        </w:rPr>
      </w:pPr>
    </w:p>
    <w:p>
      <w:pPr>
        <w:jc w:val="both"/>
        <w:ind w:left="2260" w:right="20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10.88</w:t>
        <w:tab/>
        <w:t>Bill of Sale dated September 16, 2011 by and among LendingTree, LLC, RealEstate.com, Inc. and Market Leader, Inc.</w:t>
      </w:r>
    </w:p>
    <w:p>
      <w:pPr>
        <w:spacing w:after="0" w:line="213" w:lineRule="exact"/>
        <w:rPr>
          <w:sz w:val="20"/>
          <w:szCs w:val="20"/>
          <w:color w:val="auto"/>
        </w:rPr>
      </w:pPr>
    </w:p>
    <w:p>
      <w:pPr>
        <w:ind w:left="2260" w:right="6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10.89</w:t>
        <w:tab/>
        <w:t>Assignment and Assumption Agreement dated September 16, 2011 by and among LendingTree, LLC, RealEstate.com, Inc. and Market Leader, Inc.</w:t>
      </w:r>
    </w:p>
    <w:p>
      <w:pPr>
        <w:spacing w:after="0" w:line="213" w:lineRule="exact"/>
        <w:rPr>
          <w:sz w:val="20"/>
          <w:szCs w:val="20"/>
          <w:color w:val="auto"/>
        </w:rPr>
      </w:pPr>
    </w:p>
    <w:p>
      <w:pPr>
        <w:ind w:left="2260" w:hanging="583"/>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10.90</w:t>
        <w:tab/>
        <w:t>Master Repurchase Agreement, dated as of October 13, 2011, by and between Home Loan Center, Inc. and Citibank, N.A.</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59"/>
        <w:spacing w:after="0" w:line="275" w:lineRule="auto"/>
        <w:rPr>
          <w:sz w:val="20"/>
          <w:szCs w:val="20"/>
          <w:color w:val="auto"/>
        </w:rPr>
      </w:pPr>
      <w:r>
        <w:rPr>
          <w:rFonts w:ascii="Times New Roman" w:cs="Times New Roman" w:eastAsia="Times New Roman" w:hAnsi="Times New Roman"/>
          <w:sz w:val="18"/>
          <w:szCs w:val="18"/>
          <w:color w:val="auto"/>
        </w:rPr>
        <w:t>Exhibit 2.1 to the Registrant's Current Report on Form 8-K filed September 21, 2011</w:t>
      </w:r>
    </w:p>
    <w:p>
      <w:pPr>
        <w:spacing w:after="0" w:line="200" w:lineRule="exact"/>
        <w:rPr>
          <w:sz w:val="20"/>
          <w:szCs w:val="20"/>
          <w:color w:val="auto"/>
        </w:rPr>
      </w:pPr>
    </w:p>
    <w:p>
      <w:pPr>
        <w:spacing w:after="0" w:line="217" w:lineRule="exact"/>
        <w:rPr>
          <w:sz w:val="20"/>
          <w:szCs w:val="20"/>
          <w:color w:val="auto"/>
        </w:rPr>
      </w:pPr>
    </w:p>
    <w:p>
      <w:pPr>
        <w:ind w:right="459"/>
        <w:spacing w:after="0" w:line="275" w:lineRule="auto"/>
        <w:rPr>
          <w:sz w:val="20"/>
          <w:szCs w:val="20"/>
          <w:color w:val="auto"/>
        </w:rPr>
      </w:pPr>
      <w:r>
        <w:rPr>
          <w:rFonts w:ascii="Times New Roman" w:cs="Times New Roman" w:eastAsia="Times New Roman" w:hAnsi="Times New Roman"/>
          <w:sz w:val="18"/>
          <w:szCs w:val="18"/>
          <w:color w:val="auto"/>
        </w:rPr>
        <w:t>Exhibit 2.2 to the Registrant's Current Report on Form 8-K filed September 21, 2011</w:t>
      </w:r>
    </w:p>
    <w:p>
      <w:pPr>
        <w:spacing w:after="0" w:line="200" w:lineRule="exact"/>
        <w:rPr>
          <w:sz w:val="20"/>
          <w:szCs w:val="20"/>
          <w:color w:val="auto"/>
        </w:rPr>
      </w:pPr>
    </w:p>
    <w:p>
      <w:pPr>
        <w:spacing w:after="0" w:line="217" w:lineRule="exact"/>
        <w:rPr>
          <w:sz w:val="20"/>
          <w:szCs w:val="20"/>
          <w:color w:val="auto"/>
        </w:rPr>
      </w:pPr>
    </w:p>
    <w:p>
      <w:pPr>
        <w:ind w:right="459"/>
        <w:spacing w:after="0" w:line="275" w:lineRule="auto"/>
        <w:rPr>
          <w:sz w:val="20"/>
          <w:szCs w:val="20"/>
          <w:color w:val="auto"/>
        </w:rPr>
      </w:pPr>
      <w:r>
        <w:rPr>
          <w:rFonts w:ascii="Times New Roman" w:cs="Times New Roman" w:eastAsia="Times New Roman" w:hAnsi="Times New Roman"/>
          <w:sz w:val="18"/>
          <w:szCs w:val="18"/>
          <w:color w:val="auto"/>
        </w:rPr>
        <w:t>Exhibit 2.3 to the Registrant's Current Report on Form 8-K filed September 21, 2011</w:t>
      </w:r>
    </w:p>
    <w:p>
      <w:pPr>
        <w:spacing w:after="0" w:line="200" w:lineRule="exact"/>
        <w:rPr>
          <w:sz w:val="20"/>
          <w:szCs w:val="20"/>
          <w:color w:val="auto"/>
        </w:rPr>
      </w:pPr>
    </w:p>
    <w:p>
      <w:pPr>
        <w:spacing w:after="0" w:line="217"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October 19, 2011</w:t>
      </w:r>
    </w:p>
    <w:p>
      <w:pPr>
        <w:sectPr>
          <w:pgSz w:w="11900" w:h="16838" w:orient="portrait"/>
          <w:cols w:equalWidth="0" w:num="2">
            <w:col w:w="6160" w:space="200"/>
            <w:col w:w="3859"/>
          </w:cols>
          <w:pgMar w:left="240" w:top="125" w:right="1440" w:bottom="1440" w:gutter="0" w:footer="0" w:header="0"/>
          <w:type w:val="continuous"/>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ind w:left="1360"/>
        <w:spacing w:after="0"/>
        <w:tabs>
          <w:tab w:leader="none" w:pos="38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902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both"/>
        <w:ind w:left="2260" w:right="260" w:hanging="583"/>
        <w:spacing w:after="0" w:line="254" w:lineRule="auto"/>
        <w:tabs>
          <w:tab w:leader="none" w:pos="2240" w:val="left"/>
        </w:tabs>
        <w:rPr>
          <w:sz w:val="20"/>
          <w:szCs w:val="20"/>
          <w:color w:val="auto"/>
        </w:rPr>
      </w:pPr>
      <w:r>
        <w:rPr>
          <w:rFonts w:ascii="Times New Roman" w:cs="Times New Roman" w:eastAsia="Times New Roman" w:hAnsi="Times New Roman"/>
          <w:sz w:val="18"/>
          <w:szCs w:val="18"/>
          <w:color w:val="auto"/>
        </w:rPr>
        <w:t>10.91</w:t>
        <w:tab/>
        <w:t>Pricing Side Letter dated as of October 13, 2011, by and between Home Loan Center, Inc. and Citibank, N.A.</w:t>
      </w:r>
    </w:p>
    <w:p>
      <w:pPr>
        <w:spacing w:after="0" w:line="220" w:lineRule="exact"/>
        <w:rPr>
          <w:sz w:val="20"/>
          <w:szCs w:val="20"/>
          <w:color w:val="auto"/>
        </w:rPr>
      </w:pPr>
    </w:p>
    <w:p>
      <w:pPr>
        <w:ind w:left="2260" w:hanging="583"/>
        <w:spacing w:after="0" w:line="256" w:lineRule="auto"/>
        <w:tabs>
          <w:tab w:leader="none" w:pos="2240" w:val="left"/>
        </w:tabs>
        <w:rPr>
          <w:sz w:val="20"/>
          <w:szCs w:val="20"/>
          <w:color w:val="auto"/>
        </w:rPr>
      </w:pPr>
      <w:r>
        <w:rPr>
          <w:rFonts w:ascii="Times New Roman" w:cs="Times New Roman" w:eastAsia="Times New Roman" w:hAnsi="Times New Roman"/>
          <w:sz w:val="18"/>
          <w:szCs w:val="18"/>
          <w:color w:val="auto"/>
        </w:rPr>
        <w:t>10.92</w:t>
        <w:tab/>
        <w:t>Amendment No. 3 to Transaction Terms Letter dated as of September 30,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24872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359"/>
        <w:spacing w:after="0" w:line="259" w:lineRule="auto"/>
        <w:rPr>
          <w:sz w:val="20"/>
          <w:szCs w:val="20"/>
          <w:color w:val="auto"/>
        </w:rPr>
      </w:pPr>
      <w:r>
        <w:rPr>
          <w:rFonts w:ascii="Times New Roman" w:cs="Times New Roman" w:eastAsia="Times New Roman" w:hAnsi="Times New Roman"/>
          <w:sz w:val="18"/>
          <w:szCs w:val="18"/>
          <w:color w:val="auto"/>
        </w:rPr>
        <w:t>Exhibit 10.2 to the Registrant's Current Report on Form 8-K filed October 19, 2011</w:t>
      </w:r>
    </w:p>
    <w:p>
      <w:pPr>
        <w:spacing w:after="0" w:line="200" w:lineRule="exact"/>
        <w:rPr>
          <w:sz w:val="20"/>
          <w:szCs w:val="20"/>
          <w:color w:val="auto"/>
        </w:rPr>
      </w:pPr>
    </w:p>
    <w:p>
      <w:pPr>
        <w:spacing w:after="0" w:line="231"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October 5, 2011</w:t>
      </w:r>
    </w:p>
    <w:p>
      <w:pPr>
        <w:spacing w:after="0" w:line="829" w:lineRule="exact"/>
        <w:rPr>
          <w:sz w:val="20"/>
          <w:szCs w:val="20"/>
          <w:color w:val="auto"/>
        </w:rPr>
      </w:pPr>
    </w:p>
    <w:p>
      <w:pPr>
        <w:sectPr>
          <w:pgSz w:w="11900" w:h="16838" w:orient="portrait"/>
          <w:cols w:equalWidth="0" w:num="2">
            <w:col w:w="6180" w:space="180"/>
            <w:col w:w="3859"/>
          </w:cols>
          <w:pgMar w:left="240" w:top="125" w:right="1440" w:bottom="1440" w:gutter="0" w:footer="0" w:header="0"/>
        </w:sectPr>
      </w:pPr>
    </w:p>
    <w:p>
      <w:pPr>
        <w:spacing w:after="0" w:line="20" w:lineRule="exact"/>
        <w:rPr>
          <w:sz w:val="20"/>
          <w:szCs w:val="20"/>
          <w:color w:val="auto"/>
        </w:rPr>
      </w:pPr>
    </w:p>
    <w:p>
      <w:pPr>
        <w:jc w:val="both"/>
        <w:ind w:left="2260" w:right="140" w:hanging="583"/>
        <w:spacing w:after="0" w:line="310" w:lineRule="auto"/>
        <w:tabs>
          <w:tab w:leader="none" w:pos="2240" w:val="left"/>
        </w:tabs>
        <w:rPr>
          <w:sz w:val="20"/>
          <w:szCs w:val="20"/>
          <w:color w:val="auto"/>
        </w:rPr>
      </w:pPr>
      <w:r>
        <w:rPr>
          <w:rFonts w:ascii="Times New Roman" w:cs="Times New Roman" w:eastAsia="Times New Roman" w:hAnsi="Times New Roman"/>
          <w:sz w:val="18"/>
          <w:szCs w:val="18"/>
          <w:color w:val="auto"/>
        </w:rPr>
        <w:t>10.93</w:t>
      </w:r>
      <w:r>
        <w:rPr>
          <w:sz w:val="20"/>
          <w:szCs w:val="20"/>
          <w:color w:val="auto"/>
        </w:rPr>
        <w:tab/>
      </w:r>
      <w:r>
        <w:rPr>
          <w:rFonts w:ascii="Times New Roman" w:cs="Times New Roman" w:eastAsia="Times New Roman" w:hAnsi="Times New Roman"/>
          <w:sz w:val="16"/>
          <w:szCs w:val="16"/>
          <w:color w:val="auto"/>
        </w:rPr>
        <w:t>Amendment No. 7 to Master Repurchase Agreement dated as of October 28, 2011, by and between Home Loan Center, Inc. and JPMorgan Chase Bank, N.A.</w:t>
      </w:r>
    </w:p>
    <w:p>
      <w:pPr>
        <w:spacing w:after="0" w:line="178" w:lineRule="exact"/>
        <w:rPr>
          <w:sz w:val="20"/>
          <w:szCs w:val="20"/>
          <w:color w:val="auto"/>
        </w:rPr>
      </w:pPr>
    </w:p>
    <w:p>
      <w:pPr>
        <w:ind w:left="2260" w:hanging="583"/>
        <w:spacing w:after="0" w:line="256" w:lineRule="auto"/>
        <w:tabs>
          <w:tab w:leader="none" w:pos="2240" w:val="left"/>
        </w:tabs>
        <w:rPr>
          <w:sz w:val="20"/>
          <w:szCs w:val="20"/>
          <w:color w:val="auto"/>
        </w:rPr>
      </w:pPr>
      <w:r>
        <w:rPr>
          <w:rFonts w:ascii="Times New Roman" w:cs="Times New Roman" w:eastAsia="Times New Roman" w:hAnsi="Times New Roman"/>
          <w:sz w:val="18"/>
          <w:szCs w:val="18"/>
          <w:color w:val="auto"/>
        </w:rPr>
        <w:t>10.94</w:t>
        <w:tab/>
        <w:t>Amendment No. 5 to Side Letter dated as of October 28, 2011, which supplements that certain Master Repurchase Agreement dated as of October 30, 2009 by and between Home Loan Center, Inc. and JPMorgan Chase Bank, N.A.</w:t>
      </w:r>
    </w:p>
    <w:p>
      <w:pPr>
        <w:spacing w:after="0" w:line="20" w:lineRule="exact"/>
        <w:rPr>
          <w:sz w:val="20"/>
          <w:szCs w:val="20"/>
          <w:color w:val="auto"/>
        </w:rPr>
      </w:pPr>
      <w:r>
        <w:rPr>
          <w:sz w:val="20"/>
          <w:szCs w:val="20"/>
          <w:color w:val="auto"/>
        </w:rPr>
        <w:br w:type="column"/>
      </w:r>
    </w:p>
    <w:p>
      <w:pPr>
        <w:ind w:right="219"/>
        <w:spacing w:after="0" w:line="275" w:lineRule="auto"/>
        <w:rPr>
          <w:sz w:val="20"/>
          <w:szCs w:val="20"/>
          <w:color w:val="auto"/>
        </w:rPr>
      </w:pPr>
      <w:r>
        <w:rPr>
          <w:rFonts w:ascii="Times New Roman" w:cs="Times New Roman" w:eastAsia="Times New Roman" w:hAnsi="Times New Roman"/>
          <w:sz w:val="18"/>
          <w:szCs w:val="18"/>
          <w:color w:val="auto"/>
        </w:rPr>
        <w:t>Exhibit 10.9 to the Registrant's Quarterly Report on Form 10-Q filed November 14, 2011</w:t>
      </w:r>
    </w:p>
    <w:p>
      <w:pPr>
        <w:spacing w:after="0" w:line="200" w:lineRule="exact"/>
        <w:rPr>
          <w:sz w:val="20"/>
          <w:szCs w:val="20"/>
          <w:color w:val="auto"/>
        </w:rPr>
      </w:pPr>
    </w:p>
    <w:p>
      <w:pPr>
        <w:spacing w:after="0" w:line="217" w:lineRule="exact"/>
        <w:rPr>
          <w:sz w:val="20"/>
          <w:szCs w:val="20"/>
          <w:color w:val="auto"/>
        </w:rPr>
      </w:pPr>
    </w:p>
    <w:p>
      <w:pPr>
        <w:ind w:right="139"/>
        <w:spacing w:after="0" w:line="275" w:lineRule="auto"/>
        <w:rPr>
          <w:sz w:val="20"/>
          <w:szCs w:val="20"/>
          <w:color w:val="auto"/>
        </w:rPr>
      </w:pPr>
      <w:r>
        <w:rPr>
          <w:rFonts w:ascii="Times New Roman" w:cs="Times New Roman" w:eastAsia="Times New Roman" w:hAnsi="Times New Roman"/>
          <w:sz w:val="18"/>
          <w:szCs w:val="18"/>
          <w:color w:val="auto"/>
        </w:rPr>
        <w:t>Exhibit 10.10 to the Registrant's Quarterly Report on Form 10-Q filed November 14, 2011</w:t>
      </w:r>
    </w:p>
    <w:p>
      <w:pPr>
        <w:spacing w:after="0" w:line="829" w:lineRule="exact"/>
        <w:rPr>
          <w:sz w:val="20"/>
          <w:szCs w:val="20"/>
          <w:color w:val="auto"/>
        </w:rPr>
      </w:pPr>
    </w:p>
    <w:p>
      <w:pPr>
        <w:sectPr>
          <w:pgSz w:w="11900" w:h="16838" w:orient="portrait"/>
          <w:cols w:equalWidth="0" w:num="2">
            <w:col w:w="6100" w:space="260"/>
            <w:col w:w="3859"/>
          </w:cols>
          <w:pgMar w:left="240" w:top="125" w:right="1440" w:bottom="1440" w:gutter="0" w:footer="0" w:header="0"/>
          <w:type w:val="continuous"/>
        </w:sectPr>
      </w:pPr>
    </w:p>
    <w:p>
      <w:pPr>
        <w:spacing w:after="0" w:line="20" w:lineRule="exact"/>
        <w:rPr>
          <w:sz w:val="20"/>
          <w:szCs w:val="20"/>
          <w:color w:val="auto"/>
        </w:rPr>
      </w:pPr>
    </w:p>
    <w:p>
      <w:pPr>
        <w:ind w:left="2260" w:hanging="583"/>
        <w:spacing w:after="0" w:line="256" w:lineRule="auto"/>
        <w:tabs>
          <w:tab w:leader="none" w:pos="2240" w:val="left"/>
        </w:tabs>
        <w:rPr>
          <w:sz w:val="20"/>
          <w:szCs w:val="20"/>
          <w:color w:val="auto"/>
        </w:rPr>
      </w:pPr>
      <w:r>
        <w:rPr>
          <w:rFonts w:ascii="Times New Roman" w:cs="Times New Roman" w:eastAsia="Times New Roman" w:hAnsi="Times New Roman"/>
          <w:sz w:val="18"/>
          <w:szCs w:val="18"/>
          <w:color w:val="auto"/>
        </w:rPr>
        <w:t>10.95</w:t>
        <w:tab/>
        <w:t>Amendment No. 2 to Master Repurchase Agreement dated as of November 1,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ind w:right="139"/>
        <w:spacing w:after="0" w:line="275" w:lineRule="auto"/>
        <w:rPr>
          <w:sz w:val="20"/>
          <w:szCs w:val="20"/>
          <w:color w:val="auto"/>
        </w:rPr>
      </w:pPr>
      <w:r>
        <w:rPr>
          <w:rFonts w:ascii="Times New Roman" w:cs="Times New Roman" w:eastAsia="Times New Roman" w:hAnsi="Times New Roman"/>
          <w:sz w:val="18"/>
          <w:szCs w:val="18"/>
          <w:color w:val="auto"/>
        </w:rPr>
        <w:t>Exhibit 10.11 to the Registrant's Quarterly Report on Form 10-Q filed November 14, 2011</w:t>
      </w:r>
    </w:p>
    <w:p>
      <w:pPr>
        <w:spacing w:after="0" w:line="829" w:lineRule="exact"/>
        <w:rPr>
          <w:sz w:val="20"/>
          <w:szCs w:val="20"/>
          <w:color w:val="auto"/>
        </w:rPr>
      </w:pPr>
    </w:p>
    <w:p>
      <w:pPr>
        <w:sectPr>
          <w:pgSz w:w="11900" w:h="16838" w:orient="portrait"/>
          <w:cols w:equalWidth="0" w:num="2">
            <w:col w:w="6120" w:space="240"/>
            <w:col w:w="3859"/>
          </w:cols>
          <w:pgMar w:left="240" w:top="125" w:right="1440" w:bottom="1440" w:gutter="0" w:footer="0" w:header="0"/>
          <w:type w:val="continuous"/>
        </w:sectPr>
      </w:pPr>
    </w:p>
    <w:p>
      <w:pPr>
        <w:spacing w:after="0" w:line="20" w:lineRule="exact"/>
        <w:rPr>
          <w:sz w:val="20"/>
          <w:szCs w:val="20"/>
          <w:color w:val="auto"/>
        </w:rPr>
      </w:pPr>
    </w:p>
    <w:p>
      <w:pPr>
        <w:ind w:left="2260" w:hanging="583"/>
        <w:spacing w:after="0" w:line="256" w:lineRule="auto"/>
        <w:tabs>
          <w:tab w:leader="none" w:pos="2240" w:val="left"/>
        </w:tabs>
        <w:rPr>
          <w:sz w:val="20"/>
          <w:szCs w:val="20"/>
          <w:color w:val="auto"/>
        </w:rPr>
      </w:pPr>
      <w:r>
        <w:rPr>
          <w:rFonts w:ascii="Times New Roman" w:cs="Times New Roman" w:eastAsia="Times New Roman" w:hAnsi="Times New Roman"/>
          <w:sz w:val="18"/>
          <w:szCs w:val="18"/>
          <w:color w:val="auto"/>
        </w:rPr>
        <w:t>10.96</w:t>
        <w:tab/>
        <w:t>Amendment No. 4 to Transaction Terms Letter dated as of November 1,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ind w:right="139"/>
        <w:spacing w:after="0" w:line="275" w:lineRule="auto"/>
        <w:rPr>
          <w:sz w:val="20"/>
          <w:szCs w:val="20"/>
          <w:color w:val="auto"/>
        </w:rPr>
      </w:pPr>
      <w:r>
        <w:rPr>
          <w:rFonts w:ascii="Times New Roman" w:cs="Times New Roman" w:eastAsia="Times New Roman" w:hAnsi="Times New Roman"/>
          <w:sz w:val="18"/>
          <w:szCs w:val="18"/>
          <w:color w:val="auto"/>
        </w:rPr>
        <w:t>Exhibit 10.12 to the Registrant's Quarterly Report on Form 10-Q filed November 14, 2011</w:t>
      </w:r>
    </w:p>
    <w:p>
      <w:pPr>
        <w:spacing w:after="0" w:line="829" w:lineRule="exact"/>
        <w:rPr>
          <w:sz w:val="20"/>
          <w:szCs w:val="20"/>
          <w:color w:val="auto"/>
        </w:rPr>
      </w:pPr>
    </w:p>
    <w:p>
      <w:pPr>
        <w:sectPr>
          <w:pgSz w:w="11900" w:h="16838" w:orient="portrait"/>
          <w:cols w:equalWidth="0" w:num="2">
            <w:col w:w="6180" w:space="180"/>
            <w:col w:w="3859"/>
          </w:cols>
          <w:pgMar w:left="240" w:top="125" w:right="1440" w:bottom="1440" w:gutter="0" w:footer="0" w:header="0"/>
          <w:type w:val="continuous"/>
        </w:sectPr>
      </w:pPr>
    </w:p>
    <w:p>
      <w:pPr>
        <w:spacing w:after="0" w:line="20" w:lineRule="exact"/>
        <w:rPr>
          <w:sz w:val="20"/>
          <w:szCs w:val="20"/>
          <w:color w:val="auto"/>
        </w:rPr>
      </w:pPr>
    </w:p>
    <w:p>
      <w:pPr>
        <w:ind w:left="2260" w:hanging="583"/>
        <w:spacing w:after="0" w:line="258" w:lineRule="auto"/>
        <w:tabs>
          <w:tab w:leader="none" w:pos="2240" w:val="left"/>
        </w:tabs>
        <w:rPr>
          <w:sz w:val="20"/>
          <w:szCs w:val="20"/>
          <w:color w:val="auto"/>
        </w:rPr>
      </w:pPr>
      <w:r>
        <w:rPr>
          <w:rFonts w:ascii="Times New Roman" w:cs="Times New Roman" w:eastAsia="Times New Roman" w:hAnsi="Times New Roman"/>
          <w:sz w:val="18"/>
          <w:szCs w:val="18"/>
          <w:color w:val="auto"/>
        </w:rPr>
        <w:t>10.97</w:t>
        <w:tab/>
        <w:t>Amendment Number One dated as of December 13, 2011 to the Master Repurchase Agreement dated as of October 13, 2011 by and between Home Loan Center, Inc. and CitiBank, N.A.</w:t>
      </w:r>
    </w:p>
    <w:p>
      <w:pPr>
        <w:spacing w:after="0" w:line="20" w:lineRule="exact"/>
        <w:rPr>
          <w:sz w:val="20"/>
          <w:szCs w:val="20"/>
          <w:color w:val="auto"/>
        </w:rPr>
      </w:pPr>
      <w:r>
        <w:rPr>
          <w:sz w:val="20"/>
          <w:szCs w:val="20"/>
          <w:color w:val="auto"/>
        </w:rPr>
        <w:br w:type="column"/>
      </w:r>
    </w:p>
    <w:p>
      <w:pPr>
        <w:ind w:right="299"/>
        <w:spacing w:after="0" w:line="275" w:lineRule="auto"/>
        <w:rPr>
          <w:sz w:val="20"/>
          <w:szCs w:val="20"/>
          <w:color w:val="auto"/>
        </w:rPr>
      </w:pPr>
      <w:r>
        <w:rPr>
          <w:rFonts w:ascii="Times New Roman" w:cs="Times New Roman" w:eastAsia="Times New Roman" w:hAnsi="Times New Roman"/>
          <w:sz w:val="18"/>
          <w:szCs w:val="18"/>
          <w:color w:val="auto"/>
        </w:rPr>
        <w:t>Exhibit 10.97 to the Registrant's Annual Report on Form 10-K filed April 16, 2012</w:t>
      </w:r>
    </w:p>
    <w:p>
      <w:pPr>
        <w:spacing w:after="0" w:line="615" w:lineRule="exact"/>
        <w:rPr>
          <w:sz w:val="20"/>
          <w:szCs w:val="20"/>
          <w:color w:val="auto"/>
        </w:rPr>
      </w:pPr>
    </w:p>
    <w:p>
      <w:pPr>
        <w:sectPr>
          <w:pgSz w:w="11900" w:h="16838" w:orient="portrait"/>
          <w:cols w:equalWidth="0" w:num="2">
            <w:col w:w="6060" w:space="300"/>
            <w:col w:w="3859"/>
          </w:cols>
          <w:pgMar w:left="240" w:top="125" w:right="1440" w:bottom="1440" w:gutter="0" w:footer="0" w:header="0"/>
          <w:type w:val="continuous"/>
        </w:sectPr>
      </w:pPr>
    </w:p>
    <w:p>
      <w:pPr>
        <w:spacing w:after="0" w:line="17" w:lineRule="exact"/>
        <w:rPr>
          <w:sz w:val="20"/>
          <w:szCs w:val="20"/>
          <w:color w:val="auto"/>
        </w:rPr>
      </w:pPr>
    </w:p>
    <w:p>
      <w:pPr>
        <w:ind w:left="2260" w:hanging="583"/>
        <w:spacing w:after="0" w:line="256" w:lineRule="auto"/>
        <w:tabs>
          <w:tab w:leader="none" w:pos="2240" w:val="left"/>
        </w:tabs>
        <w:rPr>
          <w:sz w:val="20"/>
          <w:szCs w:val="20"/>
          <w:color w:val="auto"/>
        </w:rPr>
      </w:pPr>
      <w:r>
        <w:rPr>
          <w:rFonts w:ascii="Times New Roman" w:cs="Times New Roman" w:eastAsia="Times New Roman" w:hAnsi="Times New Roman"/>
          <w:sz w:val="18"/>
          <w:szCs w:val="18"/>
          <w:color w:val="auto"/>
        </w:rPr>
        <w:t>10.98</w:t>
        <w:tab/>
        <w:t>Amendment to Asset Purchase Agreement dated as of February 7, 2012 by and among Home Loan Center, Inc., HLC Escrow, Inc., LendingTree, LLC, Tree.com, Inc., Discover Bank and Discover Financial Services**</w:t>
      </w:r>
    </w:p>
    <w:p>
      <w:pPr>
        <w:spacing w:after="0" w:line="20" w:lineRule="exact"/>
        <w:rPr>
          <w:sz w:val="20"/>
          <w:szCs w:val="20"/>
          <w:color w:val="auto"/>
        </w:rPr>
      </w:pPr>
      <w:r>
        <w:rPr>
          <w:sz w:val="20"/>
          <w:szCs w:val="20"/>
          <w:color w:val="auto"/>
        </w:rPr>
        <w:br w:type="column"/>
      </w:r>
    </w:p>
    <w:p>
      <w:pPr>
        <w:ind w:right="459"/>
        <w:spacing w:after="0" w:line="275" w:lineRule="auto"/>
        <w:rPr>
          <w:sz w:val="20"/>
          <w:szCs w:val="20"/>
          <w:color w:val="auto"/>
        </w:rPr>
      </w:pPr>
      <w:r>
        <w:rPr>
          <w:rFonts w:ascii="Times New Roman" w:cs="Times New Roman" w:eastAsia="Times New Roman" w:hAnsi="Times New Roman"/>
          <w:sz w:val="18"/>
          <w:szCs w:val="18"/>
          <w:color w:val="auto"/>
        </w:rPr>
        <w:t>Exhibit 2.1 to the Registrant's Current Report on Form 8-K filed February 8, 2012</w:t>
      </w:r>
    </w:p>
    <w:p>
      <w:pPr>
        <w:spacing w:after="0" w:line="829" w:lineRule="exact"/>
        <w:rPr>
          <w:sz w:val="20"/>
          <w:szCs w:val="20"/>
          <w:color w:val="auto"/>
        </w:rPr>
      </w:pPr>
    </w:p>
    <w:p>
      <w:pPr>
        <w:sectPr>
          <w:pgSz w:w="11900" w:h="16838" w:orient="portrait"/>
          <w:cols w:equalWidth="0" w:num="2">
            <w:col w:w="6080" w:space="280"/>
            <w:col w:w="3859"/>
          </w:cols>
          <w:pgMar w:left="240" w:top="125" w:right="1440" w:bottom="1440" w:gutter="0" w:footer="0" w:header="0"/>
          <w:type w:val="continuous"/>
        </w:sectPr>
      </w:pPr>
    </w:p>
    <w:p>
      <w:pPr>
        <w:spacing w:after="0" w:line="20" w:lineRule="exact"/>
        <w:rPr>
          <w:sz w:val="20"/>
          <w:szCs w:val="20"/>
          <w:color w:val="auto"/>
        </w:rPr>
      </w:pPr>
    </w:p>
    <w:p>
      <w:pPr>
        <w:ind w:left="2260" w:hanging="583"/>
        <w:spacing w:after="0" w:line="310" w:lineRule="auto"/>
        <w:tabs>
          <w:tab w:leader="none" w:pos="2240" w:val="left"/>
        </w:tabs>
        <w:rPr>
          <w:sz w:val="20"/>
          <w:szCs w:val="20"/>
          <w:color w:val="auto"/>
        </w:rPr>
      </w:pPr>
      <w:r>
        <w:rPr>
          <w:rFonts w:ascii="Times New Roman" w:cs="Times New Roman" w:eastAsia="Times New Roman" w:hAnsi="Times New Roman"/>
          <w:sz w:val="18"/>
          <w:szCs w:val="18"/>
          <w:color w:val="auto"/>
        </w:rPr>
        <w:t>10.99</w:t>
      </w:r>
      <w:r>
        <w:rPr>
          <w:sz w:val="20"/>
          <w:szCs w:val="20"/>
          <w:color w:val="auto"/>
        </w:rPr>
        <w:tab/>
      </w:r>
      <w:r>
        <w:rPr>
          <w:rFonts w:ascii="Times New Roman" w:cs="Times New Roman" w:eastAsia="Times New Roman" w:hAnsi="Times New Roman"/>
          <w:sz w:val="16"/>
          <w:szCs w:val="16"/>
          <w:color w:val="auto"/>
        </w:rPr>
        <w:t>Master Repurchase Agreement dated as of January 6, 2012 by and between Credit Suisse First Boston Mortgage Capital LLC and Home Loan Center, Inc.</w:t>
      </w:r>
    </w:p>
    <w:p>
      <w:pPr>
        <w:spacing w:after="0" w:line="1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19"/>
        <w:spacing w:after="0" w:line="275" w:lineRule="auto"/>
        <w:rPr>
          <w:sz w:val="20"/>
          <w:szCs w:val="20"/>
          <w:color w:val="auto"/>
        </w:rPr>
      </w:pPr>
      <w:r>
        <w:rPr>
          <w:rFonts w:ascii="Times New Roman" w:cs="Times New Roman" w:eastAsia="Times New Roman" w:hAnsi="Times New Roman"/>
          <w:sz w:val="18"/>
          <w:szCs w:val="18"/>
          <w:color w:val="auto"/>
        </w:rPr>
        <w:t>Exhibit 10.1 to the Registrant's Quarterly Report on Form 10-Q filed May 15, 2012</w:t>
      </w:r>
    </w:p>
    <w:p>
      <w:pPr>
        <w:sectPr>
          <w:pgSz w:w="11900" w:h="16838" w:orient="portrait"/>
          <w:cols w:equalWidth="0" w:num="2">
            <w:col w:w="6000" w:space="360"/>
            <w:col w:w="3859"/>
          </w:cols>
          <w:pgMar w:left="240" w:top="125" w:right="1440"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ind w:left="1360"/>
        <w:spacing w:after="0"/>
        <w:tabs>
          <w:tab w:leader="none" w:pos="38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902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260" w:hanging="671"/>
        <w:spacing w:after="0" w:line="253" w:lineRule="auto"/>
        <w:tabs>
          <w:tab w:leader="none" w:pos="2240" w:val="left"/>
        </w:tabs>
        <w:rPr>
          <w:sz w:val="20"/>
          <w:szCs w:val="20"/>
          <w:color w:val="auto"/>
        </w:rPr>
      </w:pPr>
      <w:r>
        <w:rPr>
          <w:rFonts w:ascii="Times New Roman" w:cs="Times New Roman" w:eastAsia="Times New Roman" w:hAnsi="Times New Roman"/>
          <w:sz w:val="18"/>
          <w:szCs w:val="18"/>
          <w:color w:val="auto"/>
        </w:rPr>
        <w:t>10.100</w:t>
        <w:tab/>
        <w:t>Amendment No. 2 dated as of January 20, 2012 to the Master Repurchase Agreement dated as of October 13, 2011 by and between Home Loan Center, Inc. and Citibank,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24872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1420"/>
        <w:spacing w:after="0" w:line="259" w:lineRule="auto"/>
        <w:rPr>
          <w:sz w:val="20"/>
          <w:szCs w:val="20"/>
          <w:color w:val="auto"/>
        </w:rPr>
      </w:pPr>
      <w:r>
        <w:rPr>
          <w:rFonts w:ascii="Times New Roman" w:cs="Times New Roman" w:eastAsia="Times New Roman" w:hAnsi="Times New Roman"/>
          <w:sz w:val="18"/>
          <w:szCs w:val="18"/>
          <w:color w:val="auto"/>
        </w:rPr>
        <w:t>Exhibit 10.2 to the Registrant's Quarterly Report on Form 10-Q filed May 15, 2012</w:t>
      </w:r>
    </w:p>
    <w:p>
      <w:pPr>
        <w:spacing w:after="0" w:line="626" w:lineRule="exact"/>
        <w:rPr>
          <w:sz w:val="20"/>
          <w:szCs w:val="20"/>
          <w:color w:val="auto"/>
        </w:rPr>
      </w:pPr>
    </w:p>
    <w:p>
      <w:pPr>
        <w:sectPr>
          <w:pgSz w:w="11900" w:h="16838" w:orient="portrait"/>
          <w:cols w:equalWidth="0" w:num="2">
            <w:col w:w="6100" w:space="260"/>
            <w:col w:w="5060"/>
          </w:cols>
          <w:pgMar w:left="240" w:top="125" w:right="239" w:bottom="1440" w:gutter="0" w:footer="0" w:header="0"/>
        </w:sectPr>
      </w:pPr>
    </w:p>
    <w:p>
      <w:pPr>
        <w:spacing w:after="0" w:line="21" w:lineRule="exact"/>
        <w:rPr>
          <w:sz w:val="20"/>
          <w:szCs w:val="20"/>
          <w:color w:val="auto"/>
        </w:rPr>
      </w:pPr>
    </w:p>
    <w:p>
      <w:pPr>
        <w:ind w:left="2260" w:hanging="671"/>
        <w:spacing w:after="0" w:line="258" w:lineRule="auto"/>
        <w:tabs>
          <w:tab w:leader="none" w:pos="2240" w:val="left"/>
        </w:tabs>
        <w:rPr>
          <w:sz w:val="20"/>
          <w:szCs w:val="20"/>
          <w:color w:val="auto"/>
        </w:rPr>
      </w:pPr>
      <w:r>
        <w:rPr>
          <w:rFonts w:ascii="Times New Roman" w:cs="Times New Roman" w:eastAsia="Times New Roman" w:hAnsi="Times New Roman"/>
          <w:sz w:val="18"/>
          <w:szCs w:val="18"/>
          <w:color w:val="auto"/>
        </w:rPr>
        <w:t>10.101</w:t>
        <w:tab/>
        <w:t>Amendment No. 3 dated as of January 31, 2012 to the Master Repurchase Agreement dated as of October 13, 2011 by and between Home Loan Center, Inc. and Citibank, N.A.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420"/>
        <w:spacing w:after="0" w:line="275" w:lineRule="auto"/>
        <w:rPr>
          <w:sz w:val="20"/>
          <w:szCs w:val="20"/>
          <w:color w:val="auto"/>
        </w:rPr>
      </w:pPr>
      <w:r>
        <w:rPr>
          <w:rFonts w:ascii="Times New Roman" w:cs="Times New Roman" w:eastAsia="Times New Roman" w:hAnsi="Times New Roman"/>
          <w:sz w:val="18"/>
          <w:szCs w:val="18"/>
          <w:color w:val="auto"/>
        </w:rPr>
        <w:t>Exhibit 10.3 to the Registrant's Quarterly Report on Form 10-Q filed May 15, 2012</w:t>
      </w:r>
    </w:p>
    <w:p>
      <w:pPr>
        <w:spacing w:after="0" w:line="615" w:lineRule="exact"/>
        <w:rPr>
          <w:sz w:val="20"/>
          <w:szCs w:val="20"/>
          <w:color w:val="auto"/>
        </w:rPr>
      </w:pPr>
    </w:p>
    <w:p>
      <w:pPr>
        <w:sectPr>
          <w:pgSz w:w="11900" w:h="16838" w:orient="portrait"/>
          <w:cols w:equalWidth="0" w:num="2">
            <w:col w:w="6100" w:space="260"/>
            <w:col w:w="5060"/>
          </w:cols>
          <w:pgMar w:left="240" w:top="125" w:right="239" w:bottom="1440" w:gutter="0" w:footer="0" w:header="0"/>
          <w:type w:val="continuous"/>
        </w:sectPr>
      </w:pPr>
    </w:p>
    <w:p>
      <w:pPr>
        <w:spacing w:after="0" w:line="17" w:lineRule="exact"/>
        <w:rPr>
          <w:sz w:val="20"/>
          <w:szCs w:val="20"/>
          <w:color w:val="auto"/>
        </w:rPr>
      </w:pPr>
    </w:p>
    <w:p>
      <w:pPr>
        <w:ind w:left="2260" w:right="60" w:hanging="671"/>
        <w:spacing w:after="0" w:line="339" w:lineRule="auto"/>
        <w:tabs>
          <w:tab w:leader="none" w:pos="2240" w:val="left"/>
        </w:tabs>
        <w:rPr>
          <w:sz w:val="20"/>
          <w:szCs w:val="20"/>
          <w:color w:val="auto"/>
        </w:rPr>
      </w:pPr>
      <w:r>
        <w:rPr>
          <w:rFonts w:ascii="Times New Roman" w:cs="Times New Roman" w:eastAsia="Times New Roman" w:hAnsi="Times New Roman"/>
          <w:sz w:val="18"/>
          <w:szCs w:val="18"/>
          <w:color w:val="auto"/>
        </w:rPr>
        <w:t>10.102</w:t>
      </w:r>
      <w:r>
        <w:rPr>
          <w:sz w:val="20"/>
          <w:szCs w:val="20"/>
          <w:color w:val="auto"/>
        </w:rPr>
        <w:tab/>
      </w:r>
      <w:r>
        <w:rPr>
          <w:rFonts w:ascii="Times New Roman" w:cs="Times New Roman" w:eastAsia="Times New Roman" w:hAnsi="Times New Roman"/>
          <w:sz w:val="16"/>
          <w:szCs w:val="16"/>
          <w:color w:val="auto"/>
        </w:rPr>
        <w:t>Employment Agreement by and between David Norris and Tree.com, Inc. effective as of February 7, 2012*</w:t>
      </w:r>
    </w:p>
    <w:p>
      <w:pPr>
        <w:spacing w:after="0" w:line="156" w:lineRule="exact"/>
        <w:rPr>
          <w:sz w:val="20"/>
          <w:szCs w:val="20"/>
          <w:color w:val="auto"/>
        </w:rPr>
      </w:pPr>
    </w:p>
    <w:p>
      <w:pPr>
        <w:ind w:left="2260" w:right="60" w:hanging="671"/>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10.103</w:t>
        <w:tab/>
        <w:t>Amended and Restated Master Repurchase Agreement dated as of February 17, 2012 by and between Citibank, N.A. and Home Loan Center, Inc.</w:t>
      </w:r>
    </w:p>
    <w:p>
      <w:pPr>
        <w:spacing w:after="0" w:line="213" w:lineRule="exact"/>
        <w:rPr>
          <w:sz w:val="20"/>
          <w:szCs w:val="20"/>
          <w:color w:val="auto"/>
        </w:rPr>
      </w:pPr>
    </w:p>
    <w:p>
      <w:pPr>
        <w:ind w:left="2260" w:hanging="671"/>
        <w:spacing w:after="0" w:line="262" w:lineRule="auto"/>
        <w:tabs>
          <w:tab w:leader="none" w:pos="2240" w:val="left"/>
        </w:tabs>
        <w:rPr>
          <w:sz w:val="20"/>
          <w:szCs w:val="20"/>
          <w:color w:val="auto"/>
        </w:rPr>
      </w:pPr>
      <w:r>
        <w:rPr>
          <w:rFonts w:ascii="Times New Roman" w:cs="Times New Roman" w:eastAsia="Times New Roman" w:hAnsi="Times New Roman"/>
          <w:sz w:val="18"/>
          <w:szCs w:val="18"/>
          <w:color w:val="auto"/>
        </w:rPr>
        <w:t>10.104</w:t>
        <w:tab/>
        <w:t>Amendment No. 8 to Master Repurchase Agreement dated as of April 25, 2012, by and between Home Loan Center, Inc. and JPMorgan Chase Bank, N.A.</w:t>
      </w:r>
    </w:p>
    <w:p>
      <w:pPr>
        <w:spacing w:after="0" w:line="213" w:lineRule="exact"/>
        <w:rPr>
          <w:sz w:val="20"/>
          <w:szCs w:val="20"/>
          <w:color w:val="auto"/>
        </w:rPr>
      </w:pPr>
    </w:p>
    <w:p>
      <w:pPr>
        <w:ind w:left="2260" w:right="340" w:hanging="671"/>
        <w:spacing w:after="0" w:line="339" w:lineRule="auto"/>
        <w:tabs>
          <w:tab w:leader="none" w:pos="2240" w:val="left"/>
        </w:tabs>
        <w:rPr>
          <w:sz w:val="20"/>
          <w:szCs w:val="20"/>
          <w:color w:val="auto"/>
        </w:rPr>
      </w:pPr>
      <w:r>
        <w:rPr>
          <w:rFonts w:ascii="Times New Roman" w:cs="Times New Roman" w:eastAsia="Times New Roman" w:hAnsi="Times New Roman"/>
          <w:sz w:val="18"/>
          <w:szCs w:val="18"/>
          <w:color w:val="auto"/>
        </w:rPr>
        <w:t>10.105</w:t>
      </w:r>
      <w:r>
        <w:rPr>
          <w:sz w:val="20"/>
          <w:szCs w:val="20"/>
          <w:color w:val="auto"/>
        </w:rPr>
        <w:tab/>
      </w:r>
      <w:r>
        <w:rPr>
          <w:rFonts w:ascii="Times New Roman" w:cs="Times New Roman" w:eastAsia="Times New Roman" w:hAnsi="Times New Roman"/>
          <w:sz w:val="16"/>
          <w:szCs w:val="16"/>
          <w:color w:val="auto"/>
        </w:rPr>
        <w:t>Letter Agreement dated as of July 27, 2012 by and between Tree.com, Inc. and Alexander Mandel*</w:t>
      </w:r>
    </w:p>
    <w:p>
      <w:pPr>
        <w:spacing w:after="0" w:line="156" w:lineRule="exact"/>
        <w:rPr>
          <w:sz w:val="20"/>
          <w:szCs w:val="20"/>
          <w:color w:val="auto"/>
        </w:rPr>
      </w:pPr>
    </w:p>
    <w:p>
      <w:pPr>
        <w:ind w:left="2260" w:right="120" w:hanging="671"/>
        <w:spacing w:after="0" w:line="339" w:lineRule="auto"/>
        <w:tabs>
          <w:tab w:leader="none" w:pos="2240" w:val="left"/>
        </w:tabs>
        <w:rPr>
          <w:sz w:val="20"/>
          <w:szCs w:val="20"/>
          <w:color w:val="auto"/>
        </w:rPr>
      </w:pPr>
      <w:r>
        <w:rPr>
          <w:rFonts w:ascii="Times New Roman" w:cs="Times New Roman" w:eastAsia="Times New Roman" w:hAnsi="Times New Roman"/>
          <w:sz w:val="18"/>
          <w:szCs w:val="18"/>
          <w:color w:val="auto"/>
        </w:rPr>
        <w:t>10.106</w:t>
      </w:r>
      <w:r>
        <w:rPr>
          <w:sz w:val="20"/>
          <w:szCs w:val="20"/>
          <w:color w:val="auto"/>
        </w:rPr>
        <w:tab/>
      </w:r>
      <w:r>
        <w:rPr>
          <w:rFonts w:ascii="Times New Roman" w:cs="Times New Roman" w:eastAsia="Times New Roman" w:hAnsi="Times New Roman"/>
          <w:sz w:val="16"/>
          <w:szCs w:val="16"/>
          <w:color w:val="auto"/>
        </w:rPr>
        <w:t>Change in Control Letter dated as of July 27, 2012 by and between Tree.com, Inc. and Alexander Mandel*</w:t>
      </w:r>
    </w:p>
    <w:p>
      <w:pPr>
        <w:spacing w:after="0" w:line="156" w:lineRule="exact"/>
        <w:rPr>
          <w:sz w:val="20"/>
          <w:szCs w:val="20"/>
          <w:color w:val="auto"/>
        </w:rPr>
      </w:pPr>
    </w:p>
    <w:p>
      <w:pPr>
        <w:ind w:left="2260" w:right="380" w:hanging="671"/>
        <w:spacing w:after="0" w:line="275" w:lineRule="auto"/>
        <w:tabs>
          <w:tab w:leader="none" w:pos="2240" w:val="left"/>
        </w:tabs>
        <w:rPr>
          <w:sz w:val="20"/>
          <w:szCs w:val="20"/>
          <w:color w:val="auto"/>
        </w:rPr>
      </w:pPr>
      <w:r>
        <w:rPr>
          <w:rFonts w:ascii="Times New Roman" w:cs="Times New Roman" w:eastAsia="Times New Roman" w:hAnsi="Times New Roman"/>
          <w:sz w:val="18"/>
          <w:szCs w:val="18"/>
          <w:color w:val="auto"/>
        </w:rPr>
        <w:t>10.108</w:t>
        <w:tab/>
        <w:t>Third Amended and Restated Tree.com, Inc. 2008 Stock and Annual Incentive Plan*</w:t>
      </w:r>
    </w:p>
    <w:p>
      <w:pPr>
        <w:spacing w:after="0" w:line="200" w:lineRule="exact"/>
        <w:rPr>
          <w:sz w:val="20"/>
          <w:szCs w:val="20"/>
          <w:color w:val="auto"/>
        </w:rPr>
      </w:pPr>
    </w:p>
    <w:p>
      <w:pPr>
        <w:spacing w:after="0" w:line="217" w:lineRule="exact"/>
        <w:rPr>
          <w:sz w:val="20"/>
          <w:szCs w:val="20"/>
          <w:color w:val="auto"/>
        </w:rPr>
      </w:pPr>
    </w:p>
    <w:p>
      <w:pPr>
        <w:ind w:left="1580"/>
        <w:spacing w:after="0"/>
        <w:tabs>
          <w:tab w:leader="none" w:pos="2240" w:val="left"/>
        </w:tabs>
        <w:rPr>
          <w:sz w:val="20"/>
          <w:szCs w:val="20"/>
          <w:color w:val="auto"/>
        </w:rPr>
      </w:pPr>
      <w:r>
        <w:rPr>
          <w:rFonts w:ascii="Times New Roman" w:cs="Times New Roman" w:eastAsia="Times New Roman" w:hAnsi="Times New Roman"/>
          <w:sz w:val="18"/>
          <w:szCs w:val="18"/>
          <w:color w:val="auto"/>
        </w:rPr>
        <w:t>10.109</w:t>
      </w:r>
      <w:r>
        <w:rPr>
          <w:sz w:val="20"/>
          <w:szCs w:val="20"/>
          <w:color w:val="auto"/>
        </w:rPr>
        <w:tab/>
      </w:r>
      <w:r>
        <w:rPr>
          <w:rFonts w:ascii="Times New Roman" w:cs="Times New Roman" w:eastAsia="Times New Roman" w:hAnsi="Times New Roman"/>
          <w:sz w:val="16"/>
          <w:szCs w:val="16"/>
          <w:color w:val="auto"/>
        </w:rPr>
        <w:t>Form of Notice of Restricted Stock Unit Award*</w:t>
      </w:r>
    </w:p>
    <w:p>
      <w:pPr>
        <w:spacing w:after="0" w:line="20" w:lineRule="exact"/>
        <w:rPr>
          <w:sz w:val="20"/>
          <w:szCs w:val="20"/>
          <w:color w:val="auto"/>
        </w:rPr>
      </w:pPr>
      <w:r>
        <w:rPr>
          <w:sz w:val="20"/>
          <w:szCs w:val="20"/>
          <w:color w:val="auto"/>
        </w:rPr>
        <w:br w:type="column"/>
      </w:r>
    </w:p>
    <w:p>
      <w:pPr>
        <w:ind w:right="1420"/>
        <w:spacing w:after="0" w:line="275" w:lineRule="auto"/>
        <w:rPr>
          <w:sz w:val="20"/>
          <w:szCs w:val="20"/>
          <w:color w:val="auto"/>
        </w:rPr>
      </w:pPr>
      <w:r>
        <w:rPr>
          <w:rFonts w:ascii="Times New Roman" w:cs="Times New Roman" w:eastAsia="Times New Roman" w:hAnsi="Times New Roman"/>
          <w:sz w:val="18"/>
          <w:szCs w:val="18"/>
          <w:color w:val="auto"/>
        </w:rPr>
        <w:t>Exhibit 10.4 to the Registrant's Quarterly Report on Form 10-Q filed May 15, 2012</w:t>
      </w:r>
    </w:p>
    <w:p>
      <w:pPr>
        <w:spacing w:after="0" w:line="201" w:lineRule="exact"/>
        <w:rPr>
          <w:sz w:val="20"/>
          <w:szCs w:val="20"/>
          <w:color w:val="auto"/>
        </w:rPr>
      </w:pPr>
    </w:p>
    <w:p>
      <w:pPr>
        <w:ind w:right="1420"/>
        <w:spacing w:after="0" w:line="275" w:lineRule="auto"/>
        <w:rPr>
          <w:sz w:val="20"/>
          <w:szCs w:val="20"/>
          <w:color w:val="auto"/>
        </w:rPr>
      </w:pPr>
      <w:r>
        <w:rPr>
          <w:rFonts w:ascii="Times New Roman" w:cs="Times New Roman" w:eastAsia="Times New Roman" w:hAnsi="Times New Roman"/>
          <w:sz w:val="18"/>
          <w:szCs w:val="18"/>
          <w:color w:val="auto"/>
        </w:rPr>
        <w:t>Exhibit 10.5 to the Registrant's Quarterly Report on Form 10-Q filed May 15, 2012</w:t>
      </w:r>
    </w:p>
    <w:p>
      <w:pPr>
        <w:spacing w:after="0" w:line="200" w:lineRule="exact"/>
        <w:rPr>
          <w:sz w:val="20"/>
          <w:szCs w:val="20"/>
          <w:color w:val="auto"/>
        </w:rPr>
      </w:pPr>
    </w:p>
    <w:p>
      <w:pPr>
        <w:spacing w:after="0" w:line="217" w:lineRule="exact"/>
        <w:rPr>
          <w:sz w:val="20"/>
          <w:szCs w:val="20"/>
          <w:color w:val="auto"/>
        </w:rPr>
      </w:pPr>
    </w:p>
    <w:p>
      <w:pPr>
        <w:ind w:right="1420"/>
        <w:spacing w:after="0" w:line="275" w:lineRule="auto"/>
        <w:rPr>
          <w:sz w:val="20"/>
          <w:szCs w:val="20"/>
          <w:color w:val="auto"/>
        </w:rPr>
      </w:pPr>
      <w:r>
        <w:rPr>
          <w:rFonts w:ascii="Times New Roman" w:cs="Times New Roman" w:eastAsia="Times New Roman" w:hAnsi="Times New Roman"/>
          <w:sz w:val="18"/>
          <w:szCs w:val="18"/>
          <w:color w:val="auto"/>
        </w:rPr>
        <w:t>Exhibit 10.6 to the Registrant's Quarterly Report on Form 10-Q filed May 15, 2012</w:t>
      </w:r>
    </w:p>
    <w:p>
      <w:pPr>
        <w:spacing w:after="0" w:line="200" w:lineRule="exact"/>
        <w:rPr>
          <w:sz w:val="20"/>
          <w:szCs w:val="20"/>
          <w:color w:val="auto"/>
        </w:rPr>
      </w:pPr>
    </w:p>
    <w:p>
      <w:pPr>
        <w:spacing w:after="0" w:line="217" w:lineRule="exact"/>
        <w:rPr>
          <w:sz w:val="20"/>
          <w:szCs w:val="20"/>
          <w:color w:val="auto"/>
        </w:rPr>
      </w:pPr>
    </w:p>
    <w:p>
      <w:pPr>
        <w:ind w:right="1420"/>
        <w:spacing w:after="0" w:line="275" w:lineRule="auto"/>
        <w:rPr>
          <w:sz w:val="20"/>
          <w:szCs w:val="20"/>
          <w:color w:val="auto"/>
        </w:rPr>
      </w:pPr>
      <w:r>
        <w:rPr>
          <w:rFonts w:ascii="Times New Roman" w:cs="Times New Roman" w:eastAsia="Times New Roman" w:hAnsi="Times New Roman"/>
          <w:sz w:val="18"/>
          <w:szCs w:val="18"/>
          <w:color w:val="auto"/>
        </w:rPr>
        <w:t>Exhibit 10.1 to the Registrant's Quarterly Report on Form 10-Q filed November 14, 2012</w:t>
      </w:r>
    </w:p>
    <w:p>
      <w:pPr>
        <w:spacing w:after="0" w:line="201" w:lineRule="exact"/>
        <w:rPr>
          <w:sz w:val="20"/>
          <w:szCs w:val="20"/>
          <w:color w:val="auto"/>
        </w:rPr>
      </w:pPr>
    </w:p>
    <w:p>
      <w:pPr>
        <w:ind w:right="1420"/>
        <w:spacing w:after="0" w:line="275" w:lineRule="auto"/>
        <w:rPr>
          <w:sz w:val="20"/>
          <w:szCs w:val="20"/>
          <w:color w:val="auto"/>
        </w:rPr>
      </w:pPr>
      <w:r>
        <w:rPr>
          <w:rFonts w:ascii="Times New Roman" w:cs="Times New Roman" w:eastAsia="Times New Roman" w:hAnsi="Times New Roman"/>
          <w:sz w:val="18"/>
          <w:szCs w:val="18"/>
          <w:color w:val="auto"/>
        </w:rPr>
        <w:t>Exhibit 10.2 to the Registrant's Quarterly Report on Form 10-Q filed November 14, 2012</w:t>
      </w:r>
    </w:p>
    <w:p>
      <w:pPr>
        <w:spacing w:after="0" w:line="201" w:lineRule="exact"/>
        <w:rPr>
          <w:sz w:val="20"/>
          <w:szCs w:val="20"/>
          <w:color w:val="auto"/>
        </w:rPr>
      </w:pPr>
    </w:p>
    <w:p>
      <w:pPr>
        <w:ind w:right="1220"/>
        <w:spacing w:after="0" w:line="262" w:lineRule="auto"/>
        <w:rPr>
          <w:sz w:val="20"/>
          <w:szCs w:val="20"/>
          <w:color w:val="auto"/>
        </w:rPr>
      </w:pPr>
      <w:r>
        <w:rPr>
          <w:rFonts w:ascii="Times New Roman" w:cs="Times New Roman" w:eastAsia="Times New Roman" w:hAnsi="Times New Roman"/>
          <w:sz w:val="18"/>
          <w:szCs w:val="18"/>
          <w:color w:val="auto"/>
        </w:rPr>
        <w:t>Exhibit 10.86(a) to the Registrant's Post-Effective Amendment to its Registration Statement on Form S-1 (No. 333-152700), filed July 13, 2012</w:t>
      </w:r>
    </w:p>
    <w:p>
      <w:pPr>
        <w:spacing w:after="0" w:line="213" w:lineRule="exact"/>
        <w:rPr>
          <w:sz w:val="20"/>
          <w:szCs w:val="20"/>
          <w:color w:val="auto"/>
        </w:rPr>
      </w:pPr>
    </w:p>
    <w:p>
      <w:pPr>
        <w:ind w:right="1220"/>
        <w:spacing w:after="0" w:line="262" w:lineRule="auto"/>
        <w:rPr>
          <w:sz w:val="20"/>
          <w:szCs w:val="20"/>
          <w:color w:val="auto"/>
        </w:rPr>
      </w:pPr>
      <w:r>
        <w:rPr>
          <w:rFonts w:ascii="Times New Roman" w:cs="Times New Roman" w:eastAsia="Times New Roman" w:hAnsi="Times New Roman"/>
          <w:sz w:val="18"/>
          <w:szCs w:val="18"/>
          <w:color w:val="auto"/>
        </w:rPr>
        <w:t>Exhibit 10.86(b) to the Registrant's Post-Effective Amendment to its Registration Statement on Form S-1 (No. 333-152700), filed July 13, 2012</w:t>
      </w:r>
    </w:p>
    <w:p>
      <w:pPr>
        <w:spacing w:after="0" w:line="200" w:lineRule="exact"/>
        <w:rPr>
          <w:sz w:val="20"/>
          <w:szCs w:val="20"/>
          <w:color w:val="auto"/>
        </w:rPr>
      </w:pPr>
    </w:p>
    <w:p>
      <w:pPr>
        <w:sectPr>
          <w:pgSz w:w="11900" w:h="16838" w:orient="portrait"/>
          <w:cols w:equalWidth="0" w:num="2">
            <w:col w:w="6160" w:space="200"/>
            <w:col w:w="5060"/>
          </w:cols>
          <w:pgMar w:left="240" w:top="125" w:right="2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10.110</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Restricted Stock Award*</w:t>
            </w:r>
          </w:p>
        </w:tc>
        <w:tc>
          <w:tcPr>
            <w:tcW w:w="6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Exhibit 10.86(c) to the Registrant's Post-Effective</w:t>
            </w:r>
          </w:p>
        </w:tc>
      </w:tr>
      <w:tr>
        <w:trPr>
          <w:trHeight w:val="216"/>
        </w:trPr>
        <w:tc>
          <w:tcPr>
            <w:tcW w:w="2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Amendment to its Registration Statement on Form S-1</w:t>
            </w:r>
          </w:p>
        </w:tc>
      </w:tr>
      <w:tr>
        <w:trPr>
          <w:trHeight w:val="228"/>
        </w:trPr>
        <w:tc>
          <w:tcPr>
            <w:tcW w:w="2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(No. 333-152700), filed July 13, 2012</w:t>
            </w: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10.111</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Notice of Stock Option Award*</w:t>
            </w:r>
          </w:p>
        </w:tc>
        <w:tc>
          <w:tcPr>
            <w:tcW w:w="6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Exhibit 10.86(d) to the Registrant's Post-Effective</w:t>
            </w:r>
          </w:p>
        </w:tc>
      </w:tr>
      <w:tr>
        <w:trPr>
          <w:trHeight w:val="216"/>
        </w:trPr>
        <w:tc>
          <w:tcPr>
            <w:tcW w:w="2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Amendment to its Registration Statement on Form S-1</w:t>
            </w:r>
          </w:p>
        </w:tc>
      </w:tr>
      <w:tr>
        <w:trPr>
          <w:trHeight w:val="228"/>
        </w:trPr>
        <w:tc>
          <w:tcPr>
            <w:tcW w:w="2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(No. 333-152700), filed July 13, 2012</w:t>
            </w:r>
          </w:p>
        </w:tc>
      </w:tr>
      <w:tr>
        <w:trPr>
          <w:trHeight w:val="432"/>
        </w:trPr>
        <w:tc>
          <w:tcPr>
            <w:tcW w:w="2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98</w:t>
            </w:r>
          </w:p>
        </w:tc>
      </w:tr>
      <w:tr>
        <w:trPr>
          <w:trHeight w:val="228"/>
        </w:trPr>
        <w:tc>
          <w:tcPr>
            <w:tcW w:w="216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6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165"/>
        </w:trPr>
        <w:tc>
          <w:tcPr>
            <w:tcW w:w="9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5"/>
        </w:trPr>
        <w:tc>
          <w:tcPr>
            <w:tcW w:w="9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10.112</w:t>
            </w:r>
          </w:p>
        </w:tc>
        <w:tc>
          <w:tcPr>
            <w:tcW w:w="1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Letter Agreement dated as of December 11, 2012 by</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between Tree.com, Inc. and Carla Shumate*</w:t>
            </w:r>
          </w:p>
        </w:tc>
      </w:tr>
      <w:tr>
        <w:trPr>
          <w:trHeight w:val="44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Transition Services and Separation Agreement and</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General Release dated as of December 13, 2012 by and</w:t>
            </w:r>
          </w:p>
        </w:tc>
      </w:tr>
      <w:tr>
        <w:trPr>
          <w:trHeight w:val="228"/>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between LendingTree, LLC and Christopher Hayek*</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right"/>
        <w:ind w:right="284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24872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53" w:lineRule="exact"/>
        <w:rPr>
          <w:sz w:val="20"/>
          <w:szCs w:val="20"/>
          <w:color w:val="auto"/>
        </w:rPr>
      </w:pPr>
    </w:p>
    <w:p>
      <w:pPr>
        <w:sectPr>
          <w:pgSz w:w="11900" w:h="16838" w:orient="portrait"/>
          <w:cols w:equalWidth="0" w:num="2">
            <w:col w:w="6180" w:space="180"/>
            <w:col w:w="5060"/>
          </w:cols>
          <w:pgMar w:left="240" w:top="125" w:right="23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Tree.com, Inc.</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independent registered public accounting</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16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firm.</w:t>
            </w:r>
          </w:p>
        </w:tc>
        <w:tc>
          <w:tcPr>
            <w:tcW w:w="5160" w:type="dxa"/>
            <w:vAlign w:val="bottom"/>
          </w:tcPr>
          <w:p>
            <w:pPr>
              <w:spacing w:after="0"/>
              <w:rPr>
                <w:sz w:val="19"/>
                <w:szCs w:val="19"/>
                <w:color w:val="auto"/>
              </w:rPr>
            </w:pP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independent registered public accounting</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16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firm.</w:t>
            </w:r>
          </w:p>
        </w:tc>
        <w:tc>
          <w:tcPr>
            <w:tcW w:w="5160" w:type="dxa"/>
            <w:vAlign w:val="bottom"/>
          </w:tcPr>
          <w:p>
            <w:pPr>
              <w:spacing w:after="0"/>
              <w:rPr>
                <w:sz w:val="19"/>
                <w:szCs w:val="19"/>
                <w:color w:val="auto"/>
              </w:rPr>
            </w:pP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24.1</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 of Attorney (included on signature page of this</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16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5160" w:type="dxa"/>
            <w:vAlign w:val="bottom"/>
          </w:tcPr>
          <w:p>
            <w:pPr>
              <w:spacing w:after="0"/>
              <w:rPr>
                <w:sz w:val="19"/>
                <w:szCs w:val="19"/>
                <w:color w:val="auto"/>
              </w:rPr>
            </w:pP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31.1</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Certification of the Chief Executive Officer pursuant to</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Rule 13a-14(a) or Rule 15d-14(a) of the Securities</w:t>
            </w:r>
          </w:p>
        </w:tc>
        <w:tc>
          <w:tcPr>
            <w:tcW w:w="51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Act of 1934 as adopted pursuant to</w:t>
            </w:r>
          </w:p>
        </w:tc>
        <w:tc>
          <w:tcPr>
            <w:tcW w:w="5160" w:type="dxa"/>
            <w:vAlign w:val="bottom"/>
          </w:tcPr>
          <w:p>
            <w:pPr>
              <w:spacing w:after="0"/>
              <w:rPr>
                <w:sz w:val="18"/>
                <w:szCs w:val="18"/>
                <w:color w:val="auto"/>
              </w:rPr>
            </w:pPr>
          </w:p>
        </w:tc>
      </w:tr>
      <w:tr>
        <w:trPr>
          <w:trHeight w:val="228"/>
        </w:trPr>
        <w:tc>
          <w:tcPr>
            <w:tcW w:w="216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c>
          <w:tcPr>
            <w:tcW w:w="5160" w:type="dxa"/>
            <w:vAlign w:val="bottom"/>
          </w:tcPr>
          <w:p>
            <w:pPr>
              <w:spacing w:after="0"/>
              <w:rPr>
                <w:sz w:val="19"/>
                <w:szCs w:val="19"/>
                <w:color w:val="auto"/>
              </w:rPr>
            </w:pP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31.2</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Rule 13a-14(a) or Rule 15d-14(a) of the Securities</w:t>
            </w:r>
          </w:p>
        </w:tc>
        <w:tc>
          <w:tcPr>
            <w:tcW w:w="51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Act of 1934 as adopted pursuant to</w:t>
            </w:r>
          </w:p>
        </w:tc>
        <w:tc>
          <w:tcPr>
            <w:tcW w:w="5160" w:type="dxa"/>
            <w:vAlign w:val="bottom"/>
          </w:tcPr>
          <w:p>
            <w:pPr>
              <w:spacing w:after="0"/>
              <w:rPr>
                <w:sz w:val="18"/>
                <w:szCs w:val="18"/>
                <w:color w:val="auto"/>
              </w:rPr>
            </w:pPr>
          </w:p>
        </w:tc>
      </w:tr>
      <w:tr>
        <w:trPr>
          <w:trHeight w:val="228"/>
        </w:trPr>
        <w:tc>
          <w:tcPr>
            <w:tcW w:w="216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c>
          <w:tcPr>
            <w:tcW w:w="5160" w:type="dxa"/>
            <w:vAlign w:val="bottom"/>
          </w:tcPr>
          <w:p>
            <w:pPr>
              <w:spacing w:after="0"/>
              <w:rPr>
                <w:sz w:val="19"/>
                <w:szCs w:val="19"/>
                <w:color w:val="auto"/>
              </w:rPr>
            </w:pP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32.1</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Certification of the Chief Executive Officer pursuant to</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 U.S.C. Section 1350 as adopted pursuant to</w:t>
            </w:r>
          </w:p>
        </w:tc>
        <w:tc>
          <w:tcPr>
            <w:tcW w:w="5160" w:type="dxa"/>
            <w:vAlign w:val="bottom"/>
          </w:tcPr>
          <w:p>
            <w:pPr>
              <w:spacing w:after="0"/>
              <w:rPr>
                <w:sz w:val="18"/>
                <w:szCs w:val="18"/>
                <w:color w:val="auto"/>
              </w:rPr>
            </w:pPr>
          </w:p>
        </w:tc>
      </w:tr>
      <w:tr>
        <w:trPr>
          <w:trHeight w:val="228"/>
        </w:trPr>
        <w:tc>
          <w:tcPr>
            <w:tcW w:w="216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5160" w:type="dxa"/>
            <w:vAlign w:val="bottom"/>
          </w:tcPr>
          <w:p>
            <w:pPr>
              <w:spacing w:after="0"/>
              <w:rPr>
                <w:sz w:val="19"/>
                <w:szCs w:val="19"/>
                <w:color w:val="auto"/>
              </w:rPr>
            </w:pP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32.2</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 U.S.C. Section 1350 as adopted pursuant to</w:t>
            </w:r>
          </w:p>
        </w:tc>
        <w:tc>
          <w:tcPr>
            <w:tcW w:w="5160" w:type="dxa"/>
            <w:vAlign w:val="bottom"/>
          </w:tcPr>
          <w:p>
            <w:pPr>
              <w:spacing w:after="0"/>
              <w:rPr>
                <w:sz w:val="18"/>
                <w:szCs w:val="18"/>
                <w:color w:val="auto"/>
              </w:rPr>
            </w:pPr>
          </w:p>
        </w:tc>
      </w:tr>
      <w:tr>
        <w:trPr>
          <w:trHeight w:val="228"/>
        </w:trPr>
        <w:tc>
          <w:tcPr>
            <w:tcW w:w="216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5160" w:type="dxa"/>
            <w:vAlign w:val="bottom"/>
          </w:tcPr>
          <w:p>
            <w:pPr>
              <w:spacing w:after="0"/>
              <w:rPr>
                <w:sz w:val="19"/>
                <w:szCs w:val="19"/>
                <w:color w:val="auto"/>
              </w:rPr>
            </w:pPr>
          </w:p>
        </w:tc>
      </w:tr>
      <w:tr>
        <w:trPr>
          <w:trHeight w:val="459"/>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101.INS</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101.SCH</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101.CAL</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16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Document</w:t>
            </w:r>
          </w:p>
        </w:tc>
        <w:tc>
          <w:tcPr>
            <w:tcW w:w="5160" w:type="dxa"/>
            <w:vAlign w:val="bottom"/>
          </w:tcPr>
          <w:p>
            <w:pPr>
              <w:spacing w:after="0"/>
              <w:rPr>
                <w:sz w:val="19"/>
                <w:szCs w:val="19"/>
                <w:color w:val="auto"/>
              </w:rPr>
            </w:pPr>
          </w:p>
        </w:tc>
      </w:tr>
      <w:tr>
        <w:trPr>
          <w:trHeight w:val="447"/>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101.DEF</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16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Document</w:t>
            </w:r>
          </w:p>
        </w:tc>
        <w:tc>
          <w:tcPr>
            <w:tcW w:w="5160" w:type="dxa"/>
            <w:vAlign w:val="bottom"/>
          </w:tcPr>
          <w:p>
            <w:pPr>
              <w:spacing w:after="0"/>
              <w:rPr>
                <w:sz w:val="19"/>
                <w:szCs w:val="19"/>
                <w:color w:val="auto"/>
              </w:rPr>
            </w:pPr>
          </w:p>
        </w:tc>
      </w:tr>
      <w:tr>
        <w:trPr>
          <w:trHeight w:val="459"/>
        </w:trPr>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101.LAB</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XBRL Taxonomy Extension Label Linkbase Document</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160" w:type="dxa"/>
            <w:vAlign w:val="bottom"/>
          </w:tcPr>
          <w:p>
            <w:pPr>
              <w:spacing w:after="0"/>
              <w:rPr>
                <w:sz w:val="24"/>
                <w:szCs w:val="24"/>
                <w:color w:val="auto"/>
              </w:rPr>
            </w:pPr>
          </w:p>
        </w:tc>
        <w:tc>
          <w:tcPr>
            <w:tcW w:w="410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99</w:t>
            </w:r>
          </w:p>
        </w:tc>
        <w:tc>
          <w:tcPr>
            <w:tcW w:w="5160" w:type="dxa"/>
            <w:vAlign w:val="bottom"/>
          </w:tcPr>
          <w:p>
            <w:pPr>
              <w:spacing w:after="0"/>
              <w:rPr>
                <w:sz w:val="24"/>
                <w:szCs w:val="24"/>
                <w:color w:val="auto"/>
              </w:rPr>
            </w:pPr>
          </w:p>
        </w:tc>
      </w:tr>
      <w:tr>
        <w:trPr>
          <w:trHeight w:val="228"/>
        </w:trPr>
        <w:tc>
          <w:tcPr>
            <w:tcW w:w="216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165"/>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195"/>
        </w:trPr>
        <w:tc>
          <w:tcPr>
            <w:tcW w:w="920" w:type="dxa"/>
            <w:vAlign w:val="bottom"/>
          </w:tcPr>
          <w:p>
            <w:pPr>
              <w:ind w:left="280"/>
              <w:spacing w:after="0" w:line="195" w:lineRule="exact"/>
              <w:rPr>
                <w:sz w:val="20"/>
                <w:szCs w:val="20"/>
                <w:color w:val="auto"/>
              </w:rPr>
            </w:pPr>
            <w:r>
              <w:rPr>
                <w:rFonts w:ascii="Times New Roman" w:cs="Times New Roman" w:eastAsia="Times New Roman" w:hAnsi="Times New Roman"/>
                <w:sz w:val="18"/>
                <w:szCs w:val="18"/>
                <w:color w:val="auto"/>
                <w:w w:val="96"/>
              </w:rPr>
              <w:t>101.PRE</w:t>
            </w:r>
          </w:p>
        </w:tc>
        <w:tc>
          <w:tcPr>
            <w:tcW w:w="18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1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28"/>
        </w:trPr>
        <w:tc>
          <w:tcPr>
            <w:tcW w:w="920" w:type="dxa"/>
            <w:vAlign w:val="bottom"/>
          </w:tcPr>
          <w:p>
            <w:pPr>
              <w:spacing w:after="0"/>
              <w:rPr>
                <w:sz w:val="19"/>
                <w:szCs w:val="19"/>
                <w:color w:val="auto"/>
              </w:rPr>
            </w:pPr>
          </w:p>
        </w:tc>
        <w:tc>
          <w:tcPr>
            <w:tcW w:w="4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10"/>
        </w:trPr>
        <w:tc>
          <w:tcPr>
            <w:tcW w:w="9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920" w:type="dxa"/>
            <w:vAlign w:val="bottom"/>
          </w:tcPr>
          <w:p>
            <w:pPr>
              <w:spacing w:after="0"/>
              <w:rPr>
                <w:sz w:val="9"/>
                <w:szCs w:val="9"/>
                <w:color w:val="auto"/>
              </w:rPr>
            </w:pPr>
          </w:p>
        </w:tc>
      </w:tr>
    </w:tbl>
    <w:p>
      <w:pPr>
        <w:spacing w:after="0" w:line="215" w:lineRule="exact"/>
        <w:rPr>
          <w:sz w:val="20"/>
          <w:szCs w:val="20"/>
          <w:color w:val="auto"/>
        </w:rPr>
      </w:pPr>
    </w:p>
    <w:p>
      <w:pPr>
        <w:ind w:left="1680" w:hanging="531"/>
        <w:spacing w:after="0"/>
        <w:tabs>
          <w:tab w:leader="none" w:pos="1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sz w:val="20"/>
          <w:szCs w:val="20"/>
          <w:color w:val="auto"/>
        </w:rPr>
      </w:pPr>
    </w:p>
    <w:p>
      <w:pPr>
        <w:jc w:val="both"/>
        <w:ind w:left="1680" w:right="240" w:hanging="531"/>
        <w:spacing w:after="0" w:line="262" w:lineRule="auto"/>
        <w:tabs>
          <w:tab w:leader="none" w:pos="1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ind w:left="1680" w:hanging="531"/>
        <w:spacing w:after="0" w:line="258" w:lineRule="auto"/>
        <w:tabs>
          <w:tab w:leader="none" w:pos="1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4" w:lineRule="exact"/>
        <w:rPr>
          <w:sz w:val="20"/>
          <w:szCs w:val="20"/>
          <w:color w:val="auto"/>
        </w:rPr>
      </w:pPr>
    </w:p>
    <w:p>
      <w:pPr>
        <w:ind w:left="1680" w:hanging="531"/>
        <w:spacing w:after="0"/>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or compensation plan or agreement.</w:t>
      </w:r>
    </w:p>
    <w:p>
      <w:pPr>
        <w:spacing w:after="0" w:line="252" w:lineRule="exact"/>
        <w:rPr>
          <w:sz w:val="20"/>
          <w:szCs w:val="20"/>
          <w:color w:val="auto"/>
        </w:rPr>
      </w:pPr>
    </w:p>
    <w:p>
      <w:pPr>
        <w:ind w:left="1680" w:right="120" w:hanging="531"/>
        <w:spacing w:after="0" w:line="275" w:lineRule="auto"/>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2013</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TREE.COM, INC.</w:t>
      </w:r>
    </w:p>
    <w:p>
      <w:pPr>
        <w:spacing w:after="0" w:line="252" w:lineRule="exact"/>
        <w:rPr>
          <w:sz w:val="20"/>
          <w:szCs w:val="20"/>
          <w:color w:val="auto"/>
        </w:rPr>
      </w:pPr>
    </w:p>
    <w:p>
      <w:pPr>
        <w:ind w:left="572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74930</wp:posOffset>
            </wp:positionV>
            <wp:extent cx="26244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78"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1"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i w:val="1"/>
          <w:iCs w:val="1"/>
          <w:color w:val="auto"/>
        </w:rPr>
        <w:t>Chairman and</w:t>
      </w:r>
    </w:p>
    <w:p>
      <w:pPr>
        <w:spacing w:after="0" w:line="9"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13"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Katharine Pierce his true and lawful attorney and agent, with full power of substitution and resubstitution, for him and in his name, place and stead, in any and all capacities, to sign any and all amendments to the Registrant's Annual Report on Form 10-K for the fiscal year ended December 31, 2012, and to file the same with all exhibits thereto, and all other documents in connection therewith, with the Securities and Exchange Commission, granting unto said attorney and agent full power and authority to do and perform each and every act and thing requisite and necessary to be done, as fully to all intents and purposes as he might or could do in person, hereby ratifying and confirming all that said attorney and agent may lawfully do or cause to be done by virtue hereof.</w:t>
      </w:r>
    </w:p>
    <w:p>
      <w:pPr>
        <w:spacing w:after="0" w:line="193"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71" w:lineRule="exact"/>
        <w:rPr>
          <w:sz w:val="20"/>
          <w:szCs w:val="20"/>
          <w:color w:val="auto"/>
        </w:rPr>
      </w:pPr>
    </w:p>
    <w:p>
      <w:pPr>
        <w:ind w:left="2640"/>
        <w:spacing w:after="0"/>
        <w:tabs>
          <w:tab w:leader="none" w:pos="6520" w:val="left"/>
          <w:tab w:leader="none" w:pos="932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DOUGLAS R. LEBDA</w:t>
            </w:r>
          </w:p>
        </w:tc>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Chief Executive Officer</w:t>
            </w:r>
          </w:p>
        </w:tc>
        <w:tc>
          <w:tcPr>
            <w:tcW w:w="3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April 1, 2013</w:t>
            </w: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c>
          <w:tcPr>
            <w:tcW w:w="3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and Director (Principal Executive</w:t>
            </w: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60" w:type="dxa"/>
            <w:vAlign w:val="bottom"/>
          </w:tcPr>
          <w:p>
            <w:pPr>
              <w:spacing w:after="0"/>
              <w:rPr>
                <w:sz w:val="7"/>
                <w:szCs w:val="7"/>
                <w:color w:val="auto"/>
              </w:rPr>
            </w:pPr>
          </w:p>
        </w:tc>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Douglas R. Lebda</w:t>
            </w:r>
          </w:p>
        </w:tc>
        <w:tc>
          <w:tcPr>
            <w:tcW w:w="3440" w:type="dxa"/>
            <w:vAlign w:val="bottom"/>
            <w:vMerge w:val="continue"/>
          </w:tcPr>
          <w:p>
            <w:pPr>
              <w:spacing w:after="0"/>
              <w:rPr>
                <w:sz w:val="7"/>
                <w:szCs w:val="7"/>
                <w:color w:val="auto"/>
              </w:rPr>
            </w:pPr>
          </w:p>
        </w:tc>
        <w:tc>
          <w:tcPr>
            <w:tcW w:w="3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580" w:type="dxa"/>
            <w:vAlign w:val="bottom"/>
            <w:vMerge w:val="continue"/>
          </w:tcPr>
          <w:p>
            <w:pPr>
              <w:spacing w:after="0"/>
              <w:rPr>
                <w:sz w:val="19"/>
                <w:szCs w:val="19"/>
                <w:color w:val="auto"/>
              </w:rPr>
            </w:pPr>
          </w:p>
        </w:tc>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ALEXANDER MANDEL</w:t>
            </w:r>
          </w:p>
        </w:tc>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3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April 1, 2013</w:t>
            </w: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c>
          <w:tcPr>
            <w:tcW w:w="3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Alexander Mandel</w:t>
            </w:r>
          </w:p>
        </w:tc>
        <w:tc>
          <w:tcPr>
            <w:tcW w:w="3440" w:type="dxa"/>
            <w:vAlign w:val="bottom"/>
            <w:vMerge w:val="continue"/>
          </w:tcPr>
          <w:p>
            <w:pPr>
              <w:spacing w:after="0"/>
              <w:rPr>
                <w:sz w:val="8"/>
                <w:szCs w:val="8"/>
                <w:color w:val="auto"/>
              </w:rPr>
            </w:pPr>
          </w:p>
        </w:tc>
        <w:tc>
          <w:tcPr>
            <w:tcW w:w="3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4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7"/>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CARLA SHUMATE</w:t>
            </w:r>
          </w:p>
        </w:tc>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w:t>
            </w:r>
          </w:p>
        </w:tc>
        <w:tc>
          <w:tcPr>
            <w:tcW w:w="3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April 1, 2013</w:t>
            </w: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c>
          <w:tcPr>
            <w:tcW w:w="3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Accounting Officer (Principal</w:t>
            </w: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60" w:type="dxa"/>
            <w:vAlign w:val="bottom"/>
          </w:tcPr>
          <w:p>
            <w:pPr>
              <w:spacing w:after="0"/>
              <w:rPr>
                <w:sz w:val="7"/>
                <w:szCs w:val="7"/>
                <w:color w:val="auto"/>
              </w:rPr>
            </w:pPr>
          </w:p>
        </w:tc>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Carla Shumate</w:t>
            </w:r>
          </w:p>
        </w:tc>
        <w:tc>
          <w:tcPr>
            <w:tcW w:w="3440" w:type="dxa"/>
            <w:vAlign w:val="bottom"/>
            <w:vMerge w:val="continue"/>
          </w:tcPr>
          <w:p>
            <w:pPr>
              <w:spacing w:after="0"/>
              <w:rPr>
                <w:sz w:val="7"/>
                <w:szCs w:val="7"/>
                <w:color w:val="auto"/>
              </w:rPr>
            </w:pPr>
          </w:p>
        </w:tc>
        <w:tc>
          <w:tcPr>
            <w:tcW w:w="3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580" w:type="dxa"/>
            <w:vAlign w:val="bottom"/>
            <w:vMerge w:val="continue"/>
          </w:tcPr>
          <w:p>
            <w:pPr>
              <w:spacing w:after="0"/>
              <w:rPr>
                <w:sz w:val="19"/>
                <w:szCs w:val="19"/>
                <w:color w:val="auto"/>
              </w:rPr>
            </w:pPr>
          </w:p>
        </w:tc>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Officer)</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PETER HORAN</w:t>
            </w:r>
          </w:p>
        </w:tc>
        <w:tc>
          <w:tcPr>
            <w:tcW w:w="34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Peter Horan</w:t>
            </w:r>
          </w:p>
        </w:tc>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3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April 1, 2013</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JOSEPH LEVIN</w:t>
            </w:r>
          </w:p>
        </w:tc>
        <w:tc>
          <w:tcPr>
            <w:tcW w:w="34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Joseph Levin</w:t>
            </w:r>
          </w:p>
        </w:tc>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3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April 1, 2013</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101</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2640"/>
        <w:spacing w:after="0"/>
        <w:tabs>
          <w:tab w:leader="none" w:pos="6520" w:val="left"/>
          <w:tab w:leader="none" w:pos="932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MARK SANFORD</w:t>
            </w:r>
          </w:p>
        </w:tc>
        <w:tc>
          <w:tcPr>
            <w:tcW w:w="800" w:type="dxa"/>
            <w:vAlign w:val="bottom"/>
          </w:tcPr>
          <w:p>
            <w:pPr>
              <w:spacing w:after="0"/>
              <w:rPr>
                <w:sz w:val="19"/>
                <w:szCs w:val="19"/>
                <w:color w:val="auto"/>
              </w:rPr>
            </w:pPr>
          </w:p>
        </w:tc>
        <w:tc>
          <w:tcPr>
            <w:tcW w:w="5880" w:type="dxa"/>
            <w:vAlign w:val="bottom"/>
          </w:tcPr>
          <w:p>
            <w:pPr>
              <w:spacing w:after="0"/>
              <w:rPr>
                <w:sz w:val="19"/>
                <w:szCs w:val="19"/>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Mark Sanford</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588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April 1, 2013</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STEVEN OZONIAN</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Steven Ozonian</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588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April 1, 2013</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W. MAC LACKEY</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 Mac Lackey</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588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April 1, 2013</w:t>
            </w: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80" w:type="dxa"/>
            <w:vAlign w:val="bottom"/>
          </w:tcPr>
          <w:p>
            <w:pPr>
              <w:jc w:val="right"/>
              <w:ind w:right="5492"/>
              <w:spacing w:after="0"/>
              <w:rPr>
                <w:sz w:val="20"/>
                <w:szCs w:val="20"/>
                <w:color w:val="auto"/>
              </w:rPr>
            </w:pPr>
            <w:r>
              <w:rPr>
                <w:rFonts w:ascii="Times New Roman" w:cs="Times New Roman" w:eastAsia="Times New Roman" w:hAnsi="Times New Roman"/>
                <w:sz w:val="18"/>
                <w:szCs w:val="18"/>
                <w:color w:val="auto"/>
              </w:rPr>
              <w:t>102</w:t>
            </w: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Charges to</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Beginning of</w:t>
            </w:r>
          </w:p>
        </w:tc>
        <w:tc>
          <w:tcPr>
            <w:tcW w:w="160" w:type="dxa"/>
            <w:vAlign w:val="bottom"/>
          </w:tcPr>
          <w:p>
            <w:pPr>
              <w:spacing w:after="0"/>
              <w:rPr>
                <w:sz w:val="12"/>
                <w:szCs w:val="12"/>
                <w:color w:val="auto"/>
              </w:rPr>
            </w:pPr>
          </w:p>
        </w:tc>
        <w:tc>
          <w:tcPr>
            <w:tcW w:w="118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Charges to</w:t>
            </w: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Balance at</w:t>
            </w:r>
          </w:p>
        </w:tc>
      </w:tr>
      <w:tr>
        <w:trPr>
          <w:trHeight w:val="165"/>
        </w:trPr>
        <w:tc>
          <w:tcPr>
            <w:tcW w:w="3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Accounts</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End of Period</w:t>
            </w:r>
          </w:p>
        </w:tc>
      </w:tr>
      <w:tr>
        <w:trPr>
          <w:trHeight w:val="142"/>
        </w:trPr>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87"/>
              </w:rPr>
              <w:t>(In thousands)</w:t>
            </w: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88"/>
              </w:rPr>
              <w:t>2011</w:t>
            </w:r>
          </w:p>
        </w:tc>
        <w:tc>
          <w:tcPr>
            <w:tcW w:w="1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(100)(b)</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15,853(a)</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68,138</w:t>
            </w:r>
          </w:p>
        </w:tc>
        <w:tc>
          <w:tcPr>
            <w:tcW w:w="160" w:type="dxa"/>
            <w:vAlign w:val="bottom"/>
            <w:shd w:val="clear" w:color="auto" w:fill="CCEEFF"/>
          </w:tcPr>
          <w:p>
            <w:pPr>
              <w:spacing w:after="0"/>
              <w:rPr>
                <w:sz w:val="18"/>
                <w:szCs w:val="18"/>
                <w:color w:val="auto"/>
              </w:rPr>
            </w:pPr>
          </w:p>
        </w:tc>
      </w:tr>
      <w:tr>
        <w:trPr>
          <w:trHeight w:val="430"/>
        </w:trPr>
        <w:tc>
          <w:tcPr>
            <w:tcW w:w="74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4"/>
              </w:rPr>
              <w:t>2012</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11(b)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(13,176)(a)</w:t>
            </w:r>
          </w:p>
        </w:tc>
        <w:tc>
          <w:tcPr>
            <w:tcW w:w="1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54,961</w:t>
            </w:r>
          </w:p>
        </w:tc>
        <w:tc>
          <w:tcPr>
            <w:tcW w:w="160" w:type="dxa"/>
            <w:vAlign w:val="bottom"/>
          </w:tcPr>
          <w:p>
            <w:pPr>
              <w:spacing w:after="0"/>
              <w:rPr>
                <w:sz w:val="19"/>
                <w:szCs w:val="19"/>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5" w:lineRule="exact"/>
        <w:rPr>
          <w:sz w:val="20"/>
          <w:szCs w:val="20"/>
          <w:color w:val="auto"/>
        </w:rPr>
      </w:pPr>
    </w:p>
    <w:p>
      <w:pPr>
        <w:ind w:left="1680" w:hanging="531"/>
        <w:spacing w:after="0" w:line="275" w:lineRule="auto"/>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primarily related to Tree.com net operating losses and other deferred tax assets including accrued expenses and goodwill which impacted the income tax provision. Such amount is reported in discontinued operations.</w:t>
      </w:r>
    </w:p>
    <w:p>
      <w:pPr>
        <w:spacing w:after="0" w:line="200"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 of uncollectible accounts receivable.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156845</wp:posOffset>
            </wp:positionV>
            <wp:extent cx="1852295" cy="540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522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Carla Shumate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813 Holston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Bristol, Tennessee 37620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Carla,</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It is with great pleasure that I extend to you an offer of employment for the position of Senior Vice President with Tree.com, Inc. (“Company”), located in Charlotte, North Carolina. Pending Board approval, you will also serve as the Company’s Chief Accounting Officer, effective on January 31, 2013. We are excited about having you join us!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You will report directly to Alex Mandel, Chief Financial Officer, and you will be based in the Company’s Corporate office in Charlotte, North Carolina. You will begin work on Wednesday, December 12, 2012 at 9:00 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your offer of employment are outlined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Base Pay: </w:t>
      </w:r>
      <w:r>
        <w:rPr>
          <w:rFonts w:ascii="Times New Roman" w:cs="Times New Roman" w:eastAsia="Times New Roman" w:hAnsi="Times New Roman"/>
          <w:sz w:val="18"/>
          <w:szCs w:val="18"/>
          <w:color w:val="auto"/>
        </w:rPr>
        <w:t>You will be paid on an exempt basis at a bi-weekly rate of $7,692.30 ($200,000 annualized).</w:t>
      </w:r>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Bonus: </w:t>
      </w:r>
      <w:r>
        <w:rPr>
          <w:rFonts w:ascii="Times New Roman" w:cs="Times New Roman" w:eastAsia="Times New Roman" w:hAnsi="Times New Roman"/>
          <w:sz w:val="18"/>
          <w:szCs w:val="18"/>
          <w:color w:val="auto"/>
        </w:rPr>
        <w:t>You will be eligible to receive an annual incentive bonus with a target of 30% of your Base Salary. Payouts can be greater than or less than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may be zero in any particular year) and are a function of individual and company performance as well as the recommendations of management and the discretion of the Compensation Committee of the Board of Directors of the Company (the “Compensation Committee”). Please note that all applicable deductions will be made from bonus checks, such as 401k contributions (if any), Federal and State taxes, etc.</w:t>
      </w:r>
    </w:p>
    <w:p>
      <w:pPr>
        <w:spacing w:after="0" w:line="17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Equity: </w:t>
      </w:r>
      <w:r>
        <w:rPr>
          <w:rFonts w:ascii="Times New Roman" w:cs="Times New Roman" w:eastAsia="Times New Roman" w:hAnsi="Times New Roman"/>
          <w:sz w:val="18"/>
          <w:szCs w:val="18"/>
          <w:color w:val="auto"/>
        </w:rPr>
        <w:t>Subject to the approval of the Compensation Committee, you will be eligible to receive an award of 6,000 Restricted Stock Units (RSUs)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Amended and Restated Tree.com, Inc. 2008 Stock and Annual Incentive Plan (the “Plan”). If approved, you will receive an award notice providing the details of your grant (including the Terms and Conditions), and an account will be established for you at Smith Barney, the Plan administrator. On the Smith Barney website, you can find detailed information on your award, as well as the Terms and Conditions and the Plan. Your grant will be governed by the award notice, the Terms and Conditions and the Plan. Please review all of this documentation carefully for a more complete description of your grant, and note that you will be required to acknowledge and accept the Terms and Conditions. Your failure to do so may result in the nullification of your award.</w:t>
      </w:r>
    </w:p>
    <w:p>
      <w:pPr>
        <w:spacing w:after="0" w:line="18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Relocation: </w:t>
      </w:r>
      <w:r>
        <w:rPr>
          <w:rFonts w:ascii="Times New Roman" w:cs="Times New Roman" w:eastAsia="Times New Roman" w:hAnsi="Times New Roman"/>
          <w:sz w:val="18"/>
          <w:szCs w:val="18"/>
          <w:color w:val="auto"/>
        </w:rPr>
        <w:t>You will be provided a relocation package of up to $25,000 to assist with your relocation to the Charlotte, NC area. This package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items like temporary living in Charlotte for the time you begin work until the time you relocate and shipment of your household goods up to the cap of $25,000. (The Company’s expectation is that you will relocate during early Summer of 2013.) In the event you voluntarily leave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less than 18 months from your date of relocation, you agree to reimburse the Company for the amount of the relocation assistance on a prorated basis, based on the length of time actually worked.</w:t>
      </w:r>
    </w:p>
    <w:p>
      <w:pPr>
        <w:spacing w:after="0" w:line="158" w:lineRule="exact"/>
        <w:rPr>
          <w:sz w:val="20"/>
          <w:szCs w:val="20"/>
          <w:color w:val="auto"/>
        </w:rPr>
      </w:pPr>
    </w:p>
    <w:p>
      <w:pPr>
        <w:ind w:right="42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8"/>
          <w:szCs w:val="18"/>
          <w:color w:val="auto"/>
        </w:rPr>
        <w:t>You will be eligible to participate in the Company’s benefits plans, including medical, dental, vision, group life insurance, disability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effective on the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of your employment.</w:t>
      </w:r>
    </w:p>
    <w:p>
      <w:pPr>
        <w:spacing w:after="0" w:line="6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Paid Time Off: </w:t>
      </w:r>
      <w:r>
        <w:rPr>
          <w:rFonts w:ascii="Times New Roman" w:cs="Times New Roman" w:eastAsia="Times New Roman" w:hAnsi="Times New Roman"/>
          <w:sz w:val="18"/>
          <w:szCs w:val="18"/>
          <w:color w:val="auto"/>
        </w:rPr>
        <w:t>After you’ve completed 60 days of employment as a regular full-time employee, you’re eligible to take reasonable amounts of time off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with your manager’s approval. Your manager will approve or not approve time off based on performance, business necessity, and any other factors important to the successful operation of your department.</w:t>
      </w:r>
    </w:p>
    <w:p>
      <w:pPr>
        <w:spacing w:after="0" w:line="1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Retirement: </w:t>
      </w:r>
      <w:r>
        <w:rPr>
          <w:rFonts w:ascii="Times New Roman" w:cs="Times New Roman" w:eastAsia="Times New Roman" w:hAnsi="Times New Roman"/>
          <w:sz w:val="18"/>
          <w:szCs w:val="18"/>
          <w:color w:val="auto"/>
        </w:rPr>
        <w:t>You will be eligible to participate in the Company’s Retirement Savings Plan (a 401(k) plan) on your date of hire. You may contribute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percent (1%) and fifty percent (50%) of pay on a pre-tax basis and between one percent (1%) and ten percent (10%) on an after-tax basis. As a convenience, approximately 90 days after your date of hire, you will be automatically enrolled in the Plan with a pre-tax deferral rate of three percent (3%) of your eligible earnings, contributed via payroll deductions. You may opt out at any time, even before the first deduction is taken, by contacting the Company’s Benefits Department.</w:t>
      </w:r>
    </w:p>
    <w:p>
      <w:pPr>
        <w:spacing w:after="0" w:line="18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Additional Employment Terms: </w:t>
      </w:r>
      <w:r>
        <w:rPr>
          <w:rFonts w:ascii="Times New Roman" w:cs="Times New Roman" w:eastAsia="Times New Roman" w:hAnsi="Times New Roman"/>
          <w:sz w:val="18"/>
          <w:szCs w:val="18"/>
          <w:color w:val="auto"/>
        </w:rPr>
        <w:t>If your employment is terminated for a reason other than cause in the 12 months following your date of hire,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pay you severance of six months base pay (once you’ve signed the appropriate legal release). This severance will be paid on regularly scheduled pay dates and will be discontinued should you find other employment.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reserves the right to modify its compensation and benefits programs at any time.</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an at-will employer, and it reserves the right to change the terms and conditions of employment, including but not limited to termination, demotion, promotion, transfer, compensation, benefits, duties and location of work. Neither this offer letter nor any other written or verbal communications are intended to create a contract of employment or a promise of long-term employment. All employment with the Company is at will.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 of employment is contingent upon:</w:t>
      </w:r>
    </w:p>
    <w:p>
      <w:pPr>
        <w:spacing w:after="0" w:line="225" w:lineRule="exact"/>
        <w:rPr>
          <w:sz w:val="20"/>
          <w:szCs w:val="20"/>
          <w:color w:val="auto"/>
        </w:rPr>
      </w:pPr>
    </w:p>
    <w:p>
      <w:pPr>
        <w:ind w:left="660" w:right="180" w:hanging="328"/>
        <w:spacing w:after="0" w:line="282" w:lineRule="auto"/>
        <w:tabs>
          <w:tab w:leader="none" w:pos="6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Full compliance with the Immigration Reform and Control Act of 1986 (I9) which requires new employees to provide documentation/identification to establish both identity and work authorization </w:t>
      </w:r>
      <w:r>
        <w:rPr>
          <w:rFonts w:ascii="Times New Roman" w:cs="Times New Roman" w:eastAsia="Times New Roman" w:hAnsi="Times New Roman"/>
          <w:sz w:val="18"/>
          <w:szCs w:val="18"/>
          <w:b w:val="1"/>
          <w:bCs w:val="1"/>
          <w:color w:val="auto"/>
        </w:rPr>
        <w:t>within 3 days of their hire</w:t>
      </w:r>
      <w:r>
        <w:rPr>
          <w:rFonts w:ascii="Times New Roman" w:cs="Times New Roman" w:eastAsia="Times New Roman" w:hAnsi="Times New Roman"/>
          <w:sz w:val="18"/>
          <w:szCs w:val="18"/>
          <w:color w:val="auto"/>
        </w:rPr>
        <w:t>.</w:t>
      </w:r>
    </w:p>
    <w:p>
      <w:pPr>
        <w:sectPr>
          <w:pgSz w:w="11900" w:h="16879" w:orient="portrait"/>
          <w:cols w:equalWidth="0" w:num="1">
            <w:col w:w="11420"/>
          </w:cols>
          <w:pgMar w:left="240" w:top="360" w:right="239" w:bottom="0" w:gutter="0" w:footer="0" w:header="0"/>
        </w:sectPr>
      </w:pPr>
    </w:p>
    <w:bookmarkStart w:id="108" w:name="page109"/>
    <w:bookmarkEnd w:id="108"/>
    <w:p>
      <w:pPr>
        <w:ind w:right="2440" w:firstLine="332"/>
        <w:spacing w:after="0" w:line="501" w:lineRule="auto"/>
        <w:tabs>
          <w:tab w:leader="none" w:pos="6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criminal background check, credit check, references, employment/ education verifications. You agree that you will not, while employed by the Company and for one (1) year thereafter:</w:t>
      </w:r>
    </w:p>
    <w:p>
      <w:pPr>
        <w:ind w:left="980" w:right="160" w:hanging="324"/>
        <w:spacing w:after="0" w:line="282" w:lineRule="auto"/>
        <w:tabs>
          <w:tab w:leader="none" w:pos="97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for (as an employee, consultant or independent contractor) or own* greater than five percent (5%) of shares in a publicly traded company or entity that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left="98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competes with the Company. For the purposes of this restriction, “work” shall mean provide services similar to the services that you perform for the Company.</w:t>
      </w:r>
    </w:p>
    <w:p>
      <w:pPr>
        <w:spacing w:after="0" w:line="39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less than five percent (5%) of shares in a publicly traded company does not violate this provision.</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customers with whom you have direct business dealing with as part of your work for the Company to be customers of services that are competitive with the services of the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persuade other Company employees who you supervise or have direct contact with to leave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-1750695</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18268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The above restrictions are intended to protect important legitimate business interests of the Company and are not meant to prevent you from obtaining future work or earning a living. You understand that if you do not adhere to these restrictions, the Company will have the right to seek enforcement and remedy.</w:t>
      </w:r>
    </w:p>
    <w:p>
      <w:pPr>
        <w:spacing w:after="0" w:line="13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you choose to accept this offer of employment pursuant to the terms set forth above, please sign below and fax a copy to Talent Acquisition at 704-353-7261. Return the original, signed letter to Talent Acquisition on or before your first day of employment.</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excited to have you as a member of our team and know you will find your new role challenging, exciting and rewarding. Congratulations — and welcome to the team!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645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Claudette Hampton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Present, Human Resources &amp; Administration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Agreed and accepted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Carla Shumate</w:t>
            </w: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December 12, 2012</w:t>
            </w:r>
          </w:p>
        </w:tc>
        <w:tc>
          <w:tcPr>
            <w:tcW w:w="4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5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Carla Shumate</w:t>
            </w:r>
          </w:p>
        </w:tc>
        <w:tc>
          <w:tcPr>
            <w:tcW w:w="26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40" w:type="dxa"/>
            <w:vAlign w:val="bottom"/>
          </w:tcPr>
          <w:p>
            <w:pPr>
              <w:spacing w:after="0"/>
              <w:rPr>
                <w:sz w:val="19"/>
                <w:szCs w:val="19"/>
                <w:color w:val="auto"/>
              </w:rPr>
            </w:pPr>
          </w:p>
        </w:tc>
      </w:tr>
      <w:tr>
        <w:trPr>
          <w:trHeight w:val="330"/>
        </w:trPr>
        <w:tc>
          <w:tcPr>
            <w:tcW w:w="20" w:type="dxa"/>
            <w:vAlign w:val="bottom"/>
            <w:tcBorders>
              <w:bottom w:val="single" w:sz="8" w:color="010101"/>
            </w:tcBorders>
          </w:tcPr>
          <w:p>
            <w:pPr>
              <w:spacing w:after="0"/>
              <w:rPr>
                <w:sz w:val="24"/>
                <w:szCs w:val="24"/>
                <w:color w:val="auto"/>
              </w:rPr>
            </w:pPr>
          </w:p>
        </w:tc>
        <w:tc>
          <w:tcPr>
            <w:tcW w:w="54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10.113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TRANSITION SERVICES AND SEPARATION AGREEMENT AND GENERAL RELEASE</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This Transition Services and Separation Agreement and General Release (“Agreement”) is made by and between LendingTree, LLC (“Company”) and Christopher Hayek (“Employee”) as of December 13, 2012 (the “Effective Date”).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WHEREAS, Employee and Company mutually agree that Employee’s employment with the Company will terminate (including any and all offices Employee holds on behalf of Company’s subsidiaries and/or affiliates), effective January 31, 2013 (the “Separation Date”). Company will make every effort to effect a Separation Date of earlier than January 31, 2013, and, if an earlier date is feasible, Employee will become eligible for any transition or severance benefits detailed below as long as he satisfies transition services requirements and remains actively employed with the Company until the agreed upon date;</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WHEREAS, the Company and Employee do not anticipate that there will be any disputes between them or legal claims arising out of Employee’s separation from employment, but nevertheless, desire to ensure a completely amicable parting and to settle fully and finally any and all differences or claims that might arise out of Employee’s employment;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PARTIES HEREBY AGREE, in consideration of the foregoing and the following terms, conditions and obligations, as follows:</w:t>
      </w:r>
    </w:p>
    <w:p>
      <w:pPr>
        <w:spacing w:after="0" w:line="225" w:lineRule="exact"/>
        <w:rPr>
          <w:sz w:val="20"/>
          <w:szCs w:val="20"/>
          <w:color w:val="auto"/>
        </w:rPr>
      </w:pPr>
    </w:p>
    <w:p>
      <w:pPr>
        <w:ind w:left="340" w:right="20" w:hanging="332"/>
        <w:spacing w:after="0" w:line="253"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 Services</w:t>
      </w:r>
      <w:r>
        <w:rPr>
          <w:rFonts w:ascii="Times New Roman" w:cs="Times New Roman" w:eastAsia="Times New Roman" w:hAnsi="Times New Roman"/>
          <w:sz w:val="18"/>
          <w:szCs w:val="18"/>
          <w:color w:val="auto"/>
        </w:rPr>
        <w:t>. Employee agrees that from the Effective Date until the Separation Date (the “Transition Period”), Employee shall reasonably assist Company and perform such transitional duties as may be assigned by the Chief Executive Officer and/or Chief Financial Officer and reasonably agreed to by Employee (the “Transition Services”). Transition Services may include, but not necessarily be limited to, adequately assist in training Employee’s successor and responding to questions and inquiries during the Transition Period. Employee will continue to receive his present base salary during the Transition Period, unless he is terminated for Cause, in which case payment of his base salary shall terminate as of the date of termination. For the purposes of this Agreement, a termination for “Cause” during the Transition Period occurs if Employee’s employment is terminated by the Company for any of the following reasons: (1) theft, dishonesty, or falsification of any employment or Company records by Employee; (ii) an act or acts constituting a felony or any act involving moral turpitude; (iii) willful misconduct or gross negligence; or (iv) the material breach by Employee of any provision of this Agreement after written notice of such breach and a period of no less than fifteen (15) days from receipt of such notice to cure such breach. Should Employee be terminated for Cause during the Transition Period, Company will not be required to and shall not provide Employee with the Severance Benefits set forth in Section 2 of this Agreement.</w:t>
      </w:r>
    </w:p>
    <w:p>
      <w:pPr>
        <w:spacing w:after="0" w:line="192" w:lineRule="exact"/>
        <w:rPr>
          <w:rFonts w:ascii="Times New Roman" w:cs="Times New Roman" w:eastAsia="Times New Roman" w:hAnsi="Times New Roman"/>
          <w:sz w:val="18"/>
          <w:szCs w:val="18"/>
          <w:color w:val="auto"/>
        </w:rPr>
      </w:pPr>
    </w:p>
    <w:p>
      <w:pPr>
        <w:ind w:left="340" w:right="100" w:hanging="332"/>
        <w:spacing w:after="0" w:line="254"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In exchange for the Transition Services, the general release of claims and other good and valuable consideration, the Company agrees to provide Employee with the following payments and benefits (“</w:t>
      </w:r>
      <w:r>
        <w:rPr>
          <w:rFonts w:ascii="Times New Roman" w:cs="Times New Roman" w:eastAsia="Times New Roman" w:hAnsi="Times New Roman"/>
          <w:sz w:val="18"/>
          <w:szCs w:val="18"/>
          <w:b w:val="1"/>
          <w:bCs w:val="1"/>
          <w:color w:val="auto"/>
        </w:rPr>
        <w:t>Severance Benefits</w:t>
      </w:r>
      <w:r>
        <w:rPr>
          <w:rFonts w:ascii="Times New Roman" w:cs="Times New Roman" w:eastAsia="Times New Roman" w:hAnsi="Times New Roman"/>
          <w:sz w:val="18"/>
          <w:szCs w:val="18"/>
          <w:color w:val="auto"/>
        </w:rPr>
        <w:t>”). Employee acknowledges and agrees that the Severance Benefits constitute adequate legal consideration for the promises and representations made by him in this Agreement. Receipt of the Severance Benefits is contingent upon Employee complying with the following conditions: (i) Employee must sign the Supplement to Severance Agreement and General Release (“</w:t>
      </w:r>
      <w:r>
        <w:rPr>
          <w:rFonts w:ascii="Times New Roman" w:cs="Times New Roman" w:eastAsia="Times New Roman" w:hAnsi="Times New Roman"/>
          <w:sz w:val="18"/>
          <w:szCs w:val="18"/>
          <w:b w:val="1"/>
          <w:bCs w:val="1"/>
          <w:color w:val="auto"/>
        </w:rPr>
        <w:t>Supplemental Release</w:t>
      </w:r>
      <w:r>
        <w:rPr>
          <w:rFonts w:ascii="Times New Roman" w:cs="Times New Roman" w:eastAsia="Times New Roman" w:hAnsi="Times New Roman"/>
          <w:sz w:val="18"/>
          <w:szCs w:val="18"/>
          <w:color w:val="auto"/>
        </w:rPr>
        <w:t>”) on or within 21 days following his Separation Date; (ii) Employee must not revoke the Supplemental Release;</w:t>
      </w:r>
    </w:p>
    <w:p>
      <w:pPr>
        <w:spacing w:after="0" w:line="3" w:lineRule="exact"/>
        <w:rPr>
          <w:rFonts w:ascii="Times New Roman" w:cs="Times New Roman" w:eastAsia="Times New Roman" w:hAnsi="Times New Roman"/>
          <w:sz w:val="18"/>
          <w:szCs w:val="18"/>
          <w:color w:val="auto"/>
        </w:rPr>
      </w:pPr>
    </w:p>
    <w:p>
      <w:pPr>
        <w:ind w:left="34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the Supplemental Release must become effective and enforceable on the eighth day after Employee signs the Supplemental Release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the Supplemental Release</w:t>
      </w:r>
      <w:r>
        <w:rPr>
          <w:rFonts w:ascii="Times New Roman" w:cs="Times New Roman" w:eastAsia="Times New Roman" w:hAnsi="Times New Roman"/>
          <w:sz w:val="18"/>
          <w:szCs w:val="18"/>
          <w:color w:val="auto"/>
        </w:rPr>
        <w:t>”); (iv) Employee must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260"/>
        <w:spacing w:after="0" w:line="261" w:lineRule="auto"/>
        <w:rPr>
          <w:sz w:val="20"/>
          <w:szCs w:val="20"/>
          <w:color w:val="auto"/>
        </w:rPr>
      </w:pPr>
      <w:r>
        <w:rPr>
          <w:rFonts w:ascii="Times New Roman" w:cs="Times New Roman" w:eastAsia="Times New Roman" w:hAnsi="Times New Roman"/>
          <w:sz w:val="18"/>
          <w:szCs w:val="18"/>
          <w:color w:val="auto"/>
        </w:rPr>
        <w:t>to abide by the covenants not to compete or solicit, as described in his offer letter dated July 7, 2005; and (v) Employee must make himself reasonably available to assist in the orderly transition of Employee’s duties to other employees of Employer via telephone or in-person during the period commencing on the Separation Date and continuing during the Severance Period (as defined below). Company also agrees to reimburse Employee for mutually agreed upon reasonable expenses incurred in connection with providing these services.</w:t>
      </w:r>
    </w:p>
    <w:p>
      <w:pPr>
        <w:spacing w:after="0" w:line="180" w:lineRule="exact"/>
        <w:rPr>
          <w:sz w:val="20"/>
          <w:szCs w:val="20"/>
          <w:color w:val="auto"/>
        </w:rPr>
      </w:pPr>
    </w:p>
    <w:p>
      <w:pPr>
        <w:ind w:left="1620" w:right="60" w:hanging="964"/>
        <w:spacing w:after="0" w:line="253" w:lineRule="auto"/>
        <w:tabs>
          <w:tab w:leader="none" w:pos="161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agrees to pay Employee $90,000 (“Severance Pay”), less all normal withholdings for federal and state income taxes and payroll taxes. The Severance Pay will be paid to Employee in equal installments on the Company’s regularly scheduled bi-weekly paydays over the twenty-six (26) week period following his Separation Date (the “Severance Period”), with the first installment to be paid on the first payday following the Effective Date of the Supplemental Release. If, however, Employee obtains other employment or is otherwise compensated for services provided to any party during this Severance Period, the Company’s obligation to make future payments to Employee shall be offset against any compensation earned by him as a result of such employment or services provided. Employee agrees to inform the Company promptly of his employment status and any amounts earned during the Severance Period.</w:t>
      </w:r>
    </w:p>
    <w:p>
      <w:pPr>
        <w:spacing w:after="0" w:line="3" w:lineRule="exact"/>
        <w:rPr>
          <w:rFonts w:ascii="Times New Roman" w:cs="Times New Roman" w:eastAsia="Times New Roman" w:hAnsi="Times New Roman"/>
          <w:sz w:val="18"/>
          <w:szCs w:val="18"/>
          <w:color w:val="auto"/>
        </w:rPr>
      </w:pPr>
    </w:p>
    <w:p>
      <w:pPr>
        <w:ind w:left="1620" w:right="80" w:hanging="964"/>
        <w:spacing w:after="0" w:line="265" w:lineRule="auto"/>
        <w:tabs>
          <w:tab w:leader="none" w:pos="162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agrees to pay Employee’s Q4 2012 and 2012 year-end bonus amount with, if any (“Bonus Pay”), as calculated in accordance with the Company’s 2012 bonus plan methodology. Company will notify Employee of the Bonus Pay amounts and timing of such payments on the date the Company notifies its employees generally. The Bonus Pay will be transmitted to Employee on the later of</w:t>
      </w:r>
    </w:p>
    <w:p>
      <w:pPr>
        <w:ind w:left="1620" w:right="1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date(s) that the Company pays Q4 2012 and 2012 year-end bonus amounts to its employees generally, or (ii) the Effective Date of the Supplemental Release.</w:t>
      </w:r>
    </w:p>
    <w:p>
      <w:pPr>
        <w:ind w:left="1620" w:hanging="964"/>
        <w:spacing w:after="0" w:line="255" w:lineRule="auto"/>
        <w:tabs>
          <w:tab w:leader="none" w:pos="16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of the Compensation Committee of the Board of Directors of Tree.com, Inc., Employee’s Restricted Stock Units scheduled to vest during February 2013 (the “2013 RSUs”) shall vest in full on the dates the RSUs are normally scheduled to vest based on a successful period of transition and reasonable availability for followup.</w:t>
      </w:r>
    </w:p>
    <w:p>
      <w:pPr>
        <w:spacing w:after="0" w:line="186" w:lineRule="exact"/>
        <w:rPr>
          <w:rFonts w:ascii="Times New Roman" w:cs="Times New Roman" w:eastAsia="Times New Roman" w:hAnsi="Times New Roman"/>
          <w:sz w:val="18"/>
          <w:szCs w:val="18"/>
          <w:color w:val="auto"/>
        </w:rPr>
      </w:pPr>
    </w:p>
    <w:p>
      <w:pPr>
        <w:ind w:left="340" w:right="100" w:hanging="332"/>
        <w:spacing w:after="0" w:line="254"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Release of Claims. Employee hereby releases and forever discharges the Company, its subsidiaries, business units, affiliates, parent companies, past and present, its predecessors and successors and its respective officers, directors, employees, agents, legal counsel, successors and assigns, past and present (hereinafter referred to collectively as the “Released Parties”) from any and all known and unknown claims, demands and causes of action that Employee may have against the Released Parties arising from or in connection with: (a) the terms and conditions of his employment with the Company (including any agreements between Company and Employee, including but not limited to Change of Control protection and a severance eligibility letter dated March 29, 2010); (b) the termination of his employment from the Company; and (c) any conduct, actions or omissions, known or unknown, by the Released Parties occurring on or before the date Employee executes this Agreement. It is expressly intended, understood and agreed that the claims released by Employee shall include, by way of example and without limitation, all contractual, statutory, common law, federal and state constitutional and other claims, whether known or unknown, based upon:</w:t>
      </w:r>
    </w:p>
    <w:p>
      <w:pPr>
        <w:spacing w:after="0" w:line="189" w:lineRule="exact"/>
        <w:rPr>
          <w:sz w:val="20"/>
          <w:szCs w:val="20"/>
          <w:color w:val="auto"/>
        </w:rPr>
      </w:pPr>
    </w:p>
    <w:p>
      <w:pPr>
        <w:ind w:right="540" w:firstLine="656"/>
        <w:spacing w:after="0" w:line="282" w:lineRule="auto"/>
        <w:tabs>
          <w:tab w:leader="none" w:pos="9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defamation, invasion of privacy, personal inconvenience, damage to Employee’s personal reputation, and intentional or negligent infliction of emotional distress;</w:t>
      </w:r>
    </w:p>
    <w:p>
      <w:pPr>
        <w:sectPr>
          <w:pgSz w:w="11900" w:h="16838" w:orient="portrait"/>
          <w:cols w:equalWidth="0" w:num="1">
            <w:col w:w="11420"/>
          </w:cols>
          <w:pgMar w:left="240" w:top="360" w:right="239" w:bottom="0" w:gutter="0" w:footer="0" w:header="0"/>
        </w:sectPr>
      </w:pPr>
    </w:p>
    <w:bookmarkStart w:id="110" w:name="page111"/>
    <w:bookmarkEnd w:id="110"/>
    <w:p>
      <w:pPr>
        <w:ind w:right="580" w:firstLine="656"/>
        <w:spacing w:after="0" w:line="282" w:lineRule="auto"/>
        <w:tabs>
          <w:tab w:leader="none" w:pos="9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Actual or alleged violations of the employment and discrimination laws of the State of North Carolina, common law and any and all other applicable state, county or local statutes, ordinances or regulations;</w:t>
      </w:r>
    </w:p>
    <w:p>
      <w:pPr>
        <w:spacing w:after="0" w:line="161" w:lineRule="exact"/>
        <w:rPr>
          <w:rFonts w:ascii="Times New Roman" w:cs="Times New Roman" w:eastAsia="Times New Roman" w:hAnsi="Times New Roman"/>
          <w:sz w:val="18"/>
          <w:szCs w:val="18"/>
          <w:color w:val="auto"/>
        </w:rPr>
      </w:pPr>
    </w:p>
    <w:p>
      <w:pPr>
        <w:ind w:right="280" w:firstLine="656"/>
        <w:spacing w:after="0" w:line="266" w:lineRule="auto"/>
        <w:tabs>
          <w:tab w:leader="none" w:pos="9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violations of the federal Age Discrimination in Employment Act, as amended, the Civil Rights Act of 1866, Title VII of the Civil Rights Act of 1964, as amended, the Civil Rights Act of 1991, all federal and state executive orders, the Uniformed Services Employment and Reemployment Rights Act of 1994, and the Equal Pay Act;</w:t>
      </w:r>
    </w:p>
    <w:p>
      <w:pPr>
        <w:spacing w:after="0" w:line="176" w:lineRule="exact"/>
        <w:rPr>
          <w:rFonts w:ascii="Times New Roman" w:cs="Times New Roman" w:eastAsia="Times New Roman" w:hAnsi="Times New Roman"/>
          <w:sz w:val="18"/>
          <w:szCs w:val="18"/>
          <w:color w:val="auto"/>
        </w:rPr>
      </w:pPr>
    </w:p>
    <w:p>
      <w:pPr>
        <w:ind w:right="160" w:firstLine="656"/>
        <w:spacing w:after="0" w:line="266" w:lineRule="auto"/>
        <w:tabs>
          <w:tab w:leader="none" w:pos="91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violations of the Americans with Disabilities Act of 1990, the Rehabilitation Act of 1973, the Family and Medical Leave Act, the Fair Labor Standards Act and state and local wage-hour laws and regulations, and claims under the federal Employee Retirement Income Security Act, including but not limited to claims under Company-sponsored severance and termination pay plans, if any;</w:t>
      </w:r>
    </w:p>
    <w:p>
      <w:pPr>
        <w:spacing w:after="0" w:line="176" w:lineRule="exact"/>
        <w:rPr>
          <w:rFonts w:ascii="Times New Roman" w:cs="Times New Roman" w:eastAsia="Times New Roman" w:hAnsi="Times New Roman"/>
          <w:sz w:val="18"/>
          <w:szCs w:val="18"/>
          <w:color w:val="auto"/>
        </w:rPr>
      </w:pPr>
    </w:p>
    <w:p>
      <w:pPr>
        <w:ind w:right="960" w:firstLine="656"/>
        <w:spacing w:after="0" w:line="282" w:lineRule="auto"/>
        <w:tabs>
          <w:tab w:leader="none" w:pos="8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violations of any other federal or state codes, laws, ordinances, regulations or case law which prohibit employment discrimination, retaliatory termination of employment and employment termination in violation of public policy;</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breach of express and implied contract and wrongful discharge;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Employee’s attorneys’ fees.</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Employee agrees and understands that any claims he may have under the aforementioned statutes, or any other federal, state or local law ordinance, rule or regulation are effectively waived and released by this Agreement. Employee represents that he knows of no claim that he has that has not been released by this paragraph. This release does not extend to claims which as a matter of law cannot be waived. Employee acknowledges and understands that this paragraph is intended to prevent him from making any claim against the Released Parties regarding any matter or incident relating to or arising from the employment relationship or its termination that occurs up to the date Employee executes this Agreement.</w:t>
      </w:r>
    </w:p>
    <w:p>
      <w:pPr>
        <w:spacing w:after="0" w:line="184" w:lineRule="exact"/>
        <w:rPr>
          <w:sz w:val="20"/>
          <w:szCs w:val="20"/>
          <w:color w:val="auto"/>
        </w:rPr>
      </w:pPr>
    </w:p>
    <w:p>
      <w:pPr>
        <w:ind w:left="340" w:right="40" w:hanging="332"/>
        <w:spacing w:after="0" w:line="255"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Sue</w:t>
      </w:r>
      <w:r>
        <w:rPr>
          <w:rFonts w:ascii="Times New Roman" w:cs="Times New Roman" w:eastAsia="Times New Roman" w:hAnsi="Times New Roman"/>
          <w:sz w:val="18"/>
          <w:szCs w:val="18"/>
          <w:color w:val="auto"/>
        </w:rPr>
        <w:t>. Employee hereby covenants and agrees not to file, commence or initiate any suits, grievances, demands or causes of action against the Released Parties based upon or relating to any of the claims released and forever discharged pursuant to this Agreement. If Employee breaches this covenant not to sue, he hereby agrees to pay all of the reasonable costs and attorneys’ fees actually incurred by the Released Parties in defending against such claims, demands or causes of action, together with such and further damages as may result, directly or indirectly, from that breach. Moreover, Employee agrees that he will not persuade or instruct any person to file a suit, claim or complaint with any state or federal court or administrative agency against the Released Parties. In accordance with 29 C.F.R. § 1625.23(b), nothing in this covenant not to sue is intended to preclude Employee from challenging the validity of this Agreement under the OWBPA, 29 U.S.C. § 626(f), with respect to claims under the ADEA, and the Company shall not be entitled to recover any consideration paid under this Agreement, damages or its attorneys’ fees and costs resulting from such challenge.</w:t>
      </w:r>
    </w:p>
    <w:p>
      <w:pPr>
        <w:spacing w:after="0" w:line="185"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Wrongdoing or Liability</w:t>
      </w:r>
      <w:r>
        <w:rPr>
          <w:rFonts w:ascii="Times New Roman" w:cs="Times New Roman" w:eastAsia="Times New Roman" w:hAnsi="Times New Roman"/>
          <w:sz w:val="18"/>
          <w:szCs w:val="18"/>
          <w:color w:val="auto"/>
        </w:rPr>
        <w:t>. Nothing contained in this Agreement shall constitute, or be construed as or is intended to be an admission or an acknowledgment by the Company or the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Parties of any wrongdoing or liability, all such wrongdoing and liability being expressly denied.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Non-disparagement and 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1305"/>
        <w:spacing w:after="0" w:line="258" w:lineRule="auto"/>
        <w:tabs>
          <w:tab w:leader="none" w:pos="199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LendingTree agrees not to disparage Employee, and Employee agrees not to disparage LendingTree or any LendingTree officers, directors, employees, shareholders, parent companies, affiliates and agents, in any manner likely to be harmful to the parties or their business, business reputation or personal reputation; provided that a party may respond accurately and fully to any question, inquiry or request for information when required by legal process. This Agreement shall cover all forms of disparagement, direct or indirect, through any medium or in any venue.</w:t>
      </w:r>
    </w:p>
    <w:p>
      <w:pPr>
        <w:spacing w:after="0" w:line="183" w:lineRule="exact"/>
        <w:rPr>
          <w:rFonts w:ascii="Times New Roman" w:cs="Times New Roman" w:eastAsia="Times New Roman" w:hAnsi="Times New Roman"/>
          <w:sz w:val="18"/>
          <w:szCs w:val="18"/>
          <w:color w:val="auto"/>
        </w:rPr>
      </w:pPr>
    </w:p>
    <w:p>
      <w:pPr>
        <w:ind w:right="40" w:firstLine="1305"/>
        <w:spacing w:after="0" w:line="256" w:lineRule="auto"/>
        <w:tabs>
          <w:tab w:leader="none" w:pos="20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Employee acknowledges that, during his employment with the Company, he may have learned information that is confidential to the Company (“Confidential Information”). Such Confidential Information may have included (among other things): purchasing and product information; sales and account information; customer information; sales and marketing plans and strategies; pricing strategies; profit margins; pricing reports; information concerning claims or potential claims against the Company; personnel information, and any other information of a similar nature. Employee agrees that he will not disclose any Confidential Information to any person (including any Company employee who does not need to know such Confidential Information), agency, institution, company or other entity without first obtaining the written consent of the Company.</w:t>
      </w:r>
    </w:p>
    <w:p>
      <w:pPr>
        <w:spacing w:after="0" w:line="187" w:lineRule="exact"/>
        <w:rPr>
          <w:rFonts w:ascii="Times New Roman" w:cs="Times New Roman" w:eastAsia="Times New Roman" w:hAnsi="Times New Roman"/>
          <w:sz w:val="18"/>
          <w:szCs w:val="18"/>
          <w:color w:val="auto"/>
        </w:rPr>
      </w:pPr>
    </w:p>
    <w:p>
      <w:pPr>
        <w:ind w:right="720" w:firstLine="1305"/>
        <w:spacing w:after="0" w:line="282" w:lineRule="auto"/>
        <w:tabs>
          <w:tab w:leader="none" w:pos="199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his obligations governed by any agreements entered into with Company regarding rights in intellectual property, non-competition and non-solicitation remain in effect pursuant to their original terms.</w:t>
      </w:r>
    </w:p>
    <w:p>
      <w:pPr>
        <w:spacing w:after="0" w:line="16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Employee acknowledges and warrants that he is not aware of, or that he has fully disclosed to the Company, any matters for which Employee was responsible or which came to Employee’s attention as an employee of the Company that might give rise to, evidence, or support any claim of illegal conduct, regulatory violation, unlawful discrimination, or other cause of action against the Company.</w:t>
      </w:r>
    </w:p>
    <w:p>
      <w:pPr>
        <w:spacing w:after="0" w:line="176" w:lineRule="exact"/>
        <w:rPr>
          <w:rFonts w:ascii="Times New Roman" w:cs="Times New Roman" w:eastAsia="Times New Roman" w:hAnsi="Times New Roman"/>
          <w:sz w:val="18"/>
          <w:szCs w:val="18"/>
          <w:color w:val="auto"/>
        </w:rPr>
      </w:pPr>
    </w:p>
    <w:p>
      <w:pPr>
        <w:ind w:left="340" w:right="240" w:hanging="332"/>
        <w:spacing w:after="0" w:line="258"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All records, files, lists, including computer generated lists, data, drawings, documents, equipment and similar items relating to the Company’s business that Employee generated or receive from the Company remain the Company’s sole and exclusive property. Employee agrees to promptly return to the Company all property of the Company in his possession. Employee further represents that he has not copied or caused to be copied, printed out, or caused to be printed out any documents or other material originating with or belonging to the Company. Employee additionally represents that he will not retain in his possession any such documents or other materials.</w:t>
      </w:r>
    </w:p>
    <w:p>
      <w:pPr>
        <w:spacing w:after="0" w:line="183"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Agreement</w:t>
      </w:r>
      <w:r>
        <w:rPr>
          <w:rFonts w:ascii="Times New Roman" w:cs="Times New Roman" w:eastAsia="Times New Roman" w:hAnsi="Times New Roman"/>
          <w:sz w:val="18"/>
          <w:szCs w:val="18"/>
          <w:color w:val="auto"/>
        </w:rPr>
        <w:t>. If either party brings a claim for breach of the terms of this Agreement, the prevailing party shall be entitled to its reasonable attorneys’ fees and expenses incurred in prosecuting or defending such an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-4801235</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29" w:right="239" w:bottom="81" w:gutter="0" w:footer="0" w:header="0"/>
        </w:sectPr>
      </w:pPr>
    </w:p>
    <w:bookmarkStart w:id="111" w:name="page112"/>
    <w:bookmarkEnd w:id="111"/>
    <w:p>
      <w:pPr>
        <w:ind w:left="340" w:right="140" w:hanging="332"/>
        <w:spacing w:after="0" w:line="282"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Employee and the Company, and their officers, directors, employees, agents, legal counsel, heirs, successors and assigns.</w:t>
      </w:r>
    </w:p>
    <w:p>
      <w:pPr>
        <w:spacing w:after="0" w:line="16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and enforced in accordance with the laws of the State of North Carolina. Any action brought by any party to this Agreement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brought and maintained exclusively in the state and federal courts sitting in Mecklenburg County, North Carolina, and the parties hereby consent and submit themselves to the exclusive venue and personal jurisdiction of said court with respect to all such disputes and controversies.</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Warranties/Representations</w:t>
      </w:r>
      <w:r>
        <w:rPr>
          <w:rFonts w:ascii="Times New Roman" w:cs="Times New Roman" w:eastAsia="Times New Roman" w:hAnsi="Times New Roman"/>
          <w:sz w:val="18"/>
          <w:szCs w:val="18"/>
          <w:color w:val="auto"/>
        </w:rPr>
        <w:t>. Employee hereby warrants and represents that: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7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his employment, he was fully and appropriately compensated for all hours worked in accordance with the Fair Labor Standards Act and other applicable law, if any.</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been provided with all leave to which he is entitled under Company policy and applicable law, including but not limited to the Family and Medical Leave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carefully read and fully understands the comprehensive terms and conditions of this Agreement and the releases set forth herein;</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7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executing this Agreement knowingly and voluntarily, without any duress, coercion or undue influence by the Company, its representatives, or any other person;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consulted with legal counsel of his own choice before executing this Agreement;</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pending no claim, complaint, grievance or any document with any federal or state agency or any court seeking money damages or relief against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Benefits and Transition Services recited above constitute good and valuable consideration;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fully satisfied with the terms and conditions of this Agreement including, without limitation, the consideration paid to him by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not waiving rights or claims that may arise after the date this Agreement is executed;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had the right to consider the terms of this Agreement for a full 21 days; and he hereby waives any and all rights to any further review period;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the right to revoke this Agreement within seven (7) calendar days after signing it by providing during this seven day period written notice of revocation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-4777740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1" w:right="299" w:bottom="18" w:gutter="0" w:footer="0" w:header="0"/>
        </w:sectPr>
      </w:pPr>
    </w:p>
    <w:p>
      <w:pPr>
        <w:ind w:left="170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Senior Vice President, Human Resources &amp; Administration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LendingTree,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11115 Rushmore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28277</w:t>
      </w:r>
    </w:p>
    <w:p>
      <w:pPr>
        <w:spacing w:after="0" w:line="200" w:lineRule="exact"/>
        <w:rPr>
          <w:sz w:val="20"/>
          <w:szCs w:val="20"/>
          <w:color w:val="auto"/>
        </w:rPr>
      </w:pPr>
    </w:p>
    <w:p>
      <w:pPr>
        <w:sectPr>
          <w:pgSz w:w="11900" w:h="16838" w:orient="portrait"/>
          <w:cols w:equalWidth="0" w:num="2">
            <w:col w:w="2440" w:space="640"/>
            <w:col w:w="8280"/>
          </w:cols>
          <w:pgMar w:left="240" w:top="121" w:right="299" w:bottom="18"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he revokes this Agreement during the seven-day period, the Agreement and all obligations hereunder become null and void in their entirety.</w:t>
      </w:r>
    </w:p>
    <w:p>
      <w:pPr>
        <w:spacing w:after="0" w:line="225" w:lineRule="exact"/>
        <w:rPr>
          <w:sz w:val="20"/>
          <w:szCs w:val="20"/>
          <w:color w:val="auto"/>
        </w:rPr>
      </w:pPr>
    </w:p>
    <w:p>
      <w:pPr>
        <w:ind w:left="340" w:right="80" w:hanging="332"/>
        <w:spacing w:after="0" w:line="266"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Severability of Terms</w:t>
      </w:r>
      <w:r>
        <w:rPr>
          <w:rFonts w:ascii="Times New Roman" w:cs="Times New Roman" w:eastAsia="Times New Roman" w:hAnsi="Times New Roman"/>
          <w:sz w:val="18"/>
          <w:szCs w:val="18"/>
          <w:color w:val="auto"/>
        </w:rPr>
        <w:t>. This Agreement contains the complete, entire understanding of the parties; no agreements, representations or statements of any party not contained herein shall be binding on such party. In executing this Agreement, neither party relies on any term, condition, promise or representation other than those expressed in this Agreement. This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340"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supersedes all prior and contemporaneous oral and written agreements and discussions with respect to the subject matter hereof. This Agreement may be amended or modified only by an agreement in writing. If any provision of this Agreement is determined to be invalid or otherwise unenforceable, then that invalidity or unenforceability shall not affect any other provision of this Agreement, which shall continue and remain in full force and effect.</w:t>
      </w:r>
    </w:p>
    <w:p>
      <w:pPr>
        <w:spacing w:after="0" w:line="180" w:lineRule="exact"/>
        <w:rPr>
          <w:rFonts w:ascii="Times New Roman" w:cs="Times New Roman" w:eastAsia="Times New Roman" w:hAnsi="Times New Roman"/>
          <w:sz w:val="18"/>
          <w:szCs w:val="18"/>
          <w:color w:val="auto"/>
        </w:rPr>
      </w:pPr>
    </w:p>
    <w:p>
      <w:pPr>
        <w:ind w:left="340" w:right="240" w:hanging="332"/>
        <w:spacing w:after="0" w:line="258"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Older Worker Benefit Protection Act</w:t>
      </w:r>
      <w:r>
        <w:rPr>
          <w:rFonts w:ascii="Times New Roman" w:cs="Times New Roman" w:eastAsia="Times New Roman" w:hAnsi="Times New Roman"/>
          <w:sz w:val="18"/>
          <w:szCs w:val="18"/>
          <w:color w:val="auto"/>
        </w:rPr>
        <w:t>. Employee represents and agrees that he has carefully read and fully understands all the provisions of this Agreement, specifically including the General Release of claims included in the Agreement. Employee further represents and acknowledges that prior to the execution of this Agreement, he has been provided a period of at least 21 days within which to consider the Agreement and that Employee has been advised to discuss any and all aspects of this Agreement with an attorney of choice during this period at her/his own expense. Employee understands that this Agreement may be executed at any time before the 21 day consideration period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-1768475</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A LEGALLY ENFORCEABLE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13, 2012</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Christopher Hayek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360"/>
          </w:cols>
          <w:pgMar w:left="240" w:top="121" w:right="299" w:bottom="18"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Dated: December 13, 2012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17145</wp:posOffset>
            </wp:positionV>
            <wp:extent cx="33020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Title:</w:t>
        <w:tab/>
        <w:t>SVP, HR &amp;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SUPPLEMENT TO TRANSITION SERVICES AND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SEPARATION AGREEMENT AND GENERAL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Supplement to Transition Services and Separation Agreement and General Release (“</w:t>
      </w:r>
      <w:r>
        <w:rPr>
          <w:rFonts w:ascii="Times New Roman" w:cs="Times New Roman" w:eastAsia="Times New Roman" w:hAnsi="Times New Roman"/>
          <w:sz w:val="18"/>
          <w:szCs w:val="18"/>
          <w:b w:val="1"/>
          <w:bCs w:val="1"/>
          <w:color w:val="auto"/>
        </w:rPr>
        <w:t>Supplemental Release</w:t>
      </w:r>
      <w:r>
        <w:rPr>
          <w:rFonts w:ascii="Times New Roman" w:cs="Times New Roman" w:eastAsia="Times New Roman" w:hAnsi="Times New Roman"/>
          <w:sz w:val="18"/>
          <w:szCs w:val="18"/>
          <w:color w:val="auto"/>
        </w:rPr>
        <w:t>”) is made by and between LendingTree,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Christopher Hayek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and amends the Transition Services and Separation Agreement and General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extending the promises and agreements of each and every section and subsection, except Section 6 and its subparts, of the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Separation Date.</w:t>
      </w:r>
    </w:p>
    <w:p>
      <w:pPr>
        <w:spacing w:after="0" w:line="207" w:lineRule="exact"/>
        <w:rPr>
          <w:sz w:val="20"/>
          <w:szCs w:val="20"/>
          <w:color w:val="auto"/>
        </w:rPr>
      </w:pPr>
    </w:p>
    <w:p>
      <w:pPr>
        <w:ind w:right="480" w:firstLine="8"/>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Older Workers’ Benefit Protection Act</w:t>
      </w:r>
      <w:r>
        <w:rPr>
          <w:rFonts w:ascii="Times New Roman" w:cs="Times New Roman" w:eastAsia="Times New Roman" w:hAnsi="Times New Roman"/>
          <w:sz w:val="18"/>
          <w:szCs w:val="18"/>
          <w:color w:val="auto"/>
        </w:rPr>
        <w:t>. This Supplemental Release is intended to satisfy the Older Workers’ Benefit Protection Act, 29 U.S.C. Section 626(f). Employee is advised to consult with an attorney before executing this Supplemental Release.</w:t>
      </w:r>
    </w:p>
    <w:p>
      <w:pPr>
        <w:spacing w:after="0" w:line="161" w:lineRule="exact"/>
        <w:rPr>
          <w:rFonts w:ascii="Times New Roman" w:cs="Times New Roman" w:eastAsia="Times New Roman" w:hAnsi="Times New Roman"/>
          <w:sz w:val="18"/>
          <w:szCs w:val="18"/>
          <w:color w:val="auto"/>
        </w:rPr>
      </w:pPr>
    </w:p>
    <w:p>
      <w:pPr>
        <w:ind w:right="140" w:firstLine="656"/>
        <w:spacing w:after="0" w:line="276" w:lineRule="auto"/>
        <w:tabs>
          <w:tab w:leader="none" w:pos="1358"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Acknowledgement/Time to Consider</w:t>
      </w:r>
      <w:r>
        <w:rPr>
          <w:rFonts w:ascii="Times New Roman" w:cs="Times New Roman" w:eastAsia="Times New Roman" w:hAnsi="Times New Roman"/>
          <w:sz w:val="17"/>
          <w:szCs w:val="17"/>
          <w:color w:val="auto"/>
        </w:rPr>
        <w:t>. Employee acknowledges and agrees that (a) he has read and understands the terms of this Supplemental Release; (b) he has been advised to consult with an attorney; (c) that he has obtained and considered such legal counsel as he deems necessary;</w:t>
      </w:r>
    </w:p>
    <w:p>
      <w:pPr>
        <w:ind w:right="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that he has been given twenty-one (21) days to consider whether or not to sign this Supplemental Release (although Employee may elect not to use the full 21-day period at his option); and (e) that by signing this Supplemental Release, Employee acknowledges that he does so freely, knowingly, and voluntarily.</w:t>
      </w:r>
    </w:p>
    <w:p>
      <w:pPr>
        <w:spacing w:after="0" w:line="179" w:lineRule="exact"/>
        <w:rPr>
          <w:rFonts w:ascii="Times New Roman" w:cs="Times New Roman" w:eastAsia="Times New Roman" w:hAnsi="Times New Roman"/>
          <w:sz w:val="17"/>
          <w:szCs w:val="17"/>
          <w:color w:val="auto"/>
        </w:rPr>
      </w:pPr>
    </w:p>
    <w:p>
      <w:pPr>
        <w:ind w:right="60" w:firstLine="656"/>
        <w:spacing w:after="0" w:line="258" w:lineRule="auto"/>
        <w:tabs>
          <w:tab w:leader="none" w:pos="13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Revocation/Effective Date</w:t>
      </w:r>
      <w:r>
        <w:rPr>
          <w:rFonts w:ascii="Times New Roman" w:cs="Times New Roman" w:eastAsia="Times New Roman" w:hAnsi="Times New Roman"/>
          <w:sz w:val="18"/>
          <w:szCs w:val="18"/>
          <w:color w:val="auto"/>
        </w:rPr>
        <w:t>. This Supplemental Release shall not become effective or enforceable until the eighth day after Employee signs this Supplemental Release. In other words, Employee may revoke his acceptance of this Supplemental Release within 7 days after he signs it. Employee’s revocation must be in writing and received by Claudette Hampton, Senior Vice President — Human Resources, 11115 Rushmore Drive, Charlotte, NC 28277 by 5:00 p.m. Eastern Time, on or before the seventh day after it is signed to be effective. If Employee does not revoke his acceptance on or before that date, his acceptance of this Supplemental Release shall become binding and enforceable on the eighth day (“</w:t>
      </w:r>
      <w:r>
        <w:rPr>
          <w:rFonts w:ascii="Times New Roman" w:cs="Times New Roman" w:eastAsia="Times New Roman" w:hAnsi="Times New Roman"/>
          <w:sz w:val="18"/>
          <w:szCs w:val="18"/>
          <w:b w:val="1"/>
          <w:bCs w:val="1"/>
          <w:color w:val="auto"/>
        </w:rPr>
        <w:t>Effective Date of the Supplemental Release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40" w:firstLine="656"/>
        <w:spacing w:after="0" w:line="261" w:lineRule="auto"/>
        <w:tabs>
          <w:tab w:leader="none" w:pos="135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Preserved Rights of Employee</w:t>
      </w:r>
      <w:r>
        <w:rPr>
          <w:rFonts w:ascii="Times New Roman" w:cs="Times New Roman" w:eastAsia="Times New Roman" w:hAnsi="Times New Roman"/>
          <w:sz w:val="18"/>
          <w:szCs w:val="18"/>
          <w:color w:val="auto"/>
        </w:rPr>
        <w:t>. This Supplemental Release does not waive or release any rights or claims that Employee may have under the Age Discrimination in Employment Act that arise after the execution of this Supplemental Release. In addition, this Supplemental Release does not prohibit Employee from seeking relief in the event of a breach of the Agreement, or from challenging the validity of waiver and release of claims under the Age Discrimination in Employment Act.</w:t>
      </w:r>
    </w:p>
    <w:p>
      <w:pPr>
        <w:spacing w:after="0" w:line="180" w:lineRule="exact"/>
        <w:rPr>
          <w:rFonts w:ascii="Times New Roman" w:cs="Times New Roman" w:eastAsia="Times New Roman" w:hAnsi="Times New Roman"/>
          <w:sz w:val="18"/>
          <w:szCs w:val="18"/>
          <w:color w:val="auto"/>
        </w:rPr>
      </w:pPr>
    </w:p>
    <w:p>
      <w:pPr>
        <w:ind w:right="60" w:firstLine="8"/>
        <w:spacing w:after="0" w:line="25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Employee acknowledges that the Company has returned to him all of his personal effects and property which were in the Company’s possession or control. Employee further acknowledges and agrees that he has returned or will return to the Company all property of the Company (including, but not limited to, computers, cell phones, pagers, keys and access cards, Company credit cards, and all other Company documents, records and equipment) which are in Employee’s possession or control, including all copies and summaries of any of the Company’s confidential or proprietary information. Employee further affirms that he understands his obligation to keep confidential the business and proprietary information of the Company and that he will not discuss or disclose such information with anyone.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to this Supplemental Release have read the foregoing Supplemental Release and fully understand each and every provision contained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Wherefore, the parties have FREELY AND VOLUNTARILY executed this SUPPLEMENTAL RELEASE on the dates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860" w:type="dxa"/>
            <w:vAlign w:val="bottom"/>
            <w:tcBorders>
              <w:bottom w:val="single" w:sz="8" w:color="auto"/>
            </w:tcBorders>
          </w:tcPr>
          <w:p>
            <w:pPr>
              <w:spacing w:after="0"/>
              <w:rPr>
                <w:sz w:val="20"/>
                <w:szCs w:val="20"/>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4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860" w:type="dxa"/>
            <w:vAlign w:val="bottom"/>
          </w:tcPr>
          <w:p>
            <w:pPr>
              <w:spacing w:after="0"/>
              <w:rPr>
                <w:sz w:val="24"/>
                <w:szCs w:val="24"/>
                <w:color w:val="auto"/>
              </w:rPr>
            </w:pPr>
          </w:p>
        </w:tc>
        <w:tc>
          <w:tcPr>
            <w:tcW w:w="58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By:</w:t>
            </w:r>
          </w:p>
        </w:tc>
      </w:tr>
      <w:tr>
        <w:trPr>
          <w:trHeight w:val="341"/>
        </w:trPr>
        <w:tc>
          <w:tcPr>
            <w:tcW w:w="720" w:type="dxa"/>
            <w:vAlign w:val="bottom"/>
            <w:tcBorders>
              <w:bottom w:val="single" w:sz="8" w:color="010101"/>
            </w:tcBorders>
          </w:tcPr>
          <w:p>
            <w:pPr>
              <w:spacing w:after="0"/>
              <w:rPr>
                <w:sz w:val="24"/>
                <w:szCs w:val="24"/>
                <w:color w:val="auto"/>
              </w:rPr>
            </w:pPr>
          </w:p>
        </w:tc>
        <w:tc>
          <w:tcPr>
            <w:tcW w:w="4860" w:type="dxa"/>
            <w:vAlign w:val="bottom"/>
            <w:tcBorders>
              <w:top w:val="single" w:sz="8" w:color="auto"/>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5140" w:type="dxa"/>
            <w:vAlign w:val="bottom"/>
            <w:tcBorders>
              <w:top w:val="single" w:sz="8" w:color="auto"/>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4"/>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5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SUBSIDIARIES OF TREE.COM, INC.</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Jurisdiction</w:t>
            </w:r>
          </w:p>
        </w:tc>
        <w:tc>
          <w:tcPr>
            <w:tcW w:w="0" w:type="dxa"/>
            <w:vAlign w:val="bottom"/>
          </w:tcPr>
          <w:p>
            <w:pPr>
              <w:spacing w:after="0"/>
              <w:rPr>
                <w:sz w:val="1"/>
                <w:szCs w:val="1"/>
                <w:color w:val="auto"/>
              </w:rPr>
            </w:pPr>
          </w:p>
        </w:tc>
      </w:tr>
      <w:tr>
        <w:trPr>
          <w:trHeight w:val="165"/>
        </w:trPr>
        <w:tc>
          <w:tcPr>
            <w:tcW w:w="3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of Formation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LLC</w:t>
            </w:r>
          </w:p>
        </w:tc>
        <w:tc>
          <w:tcPr>
            <w:tcW w:w="6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Tree BU Holding Company, Inc.</w:t>
            </w:r>
          </w:p>
        </w:tc>
        <w:tc>
          <w:tcPr>
            <w:tcW w:w="6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DegreeTree, Inc. f/k/a Tree Insurance Agency, Inc.</w:t>
            </w:r>
          </w:p>
        </w:tc>
        <w:tc>
          <w:tcPr>
            <w:tcW w:w="6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Tree Home Services, Inc.</w:t>
            </w:r>
          </w:p>
        </w:tc>
        <w:tc>
          <w:tcPr>
            <w:tcW w:w="6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Loan Center, Inc.</w:t>
            </w:r>
          </w:p>
        </w:tc>
        <w:tc>
          <w:tcPr>
            <w:tcW w:w="6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HLC Escrow, Inc.</w:t>
            </w:r>
          </w:p>
        </w:tc>
        <w:tc>
          <w:tcPr>
            <w:tcW w:w="6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Settlement Services, LLC</w:t>
            </w:r>
          </w:p>
        </w:tc>
        <w:tc>
          <w:tcPr>
            <w:tcW w:w="6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Realestate.com, Inc.</w:t>
            </w:r>
          </w:p>
        </w:tc>
        <w:tc>
          <w:tcPr>
            <w:tcW w:w="6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 Real Estate, Inc.</w:t>
            </w:r>
          </w:p>
        </w:tc>
        <w:tc>
          <w:tcPr>
            <w:tcW w:w="6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Acquisition Corp.</w:t>
            </w:r>
          </w:p>
        </w:tc>
        <w:tc>
          <w:tcPr>
            <w:tcW w:w="6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iNest Realty, Inc.</w:t>
            </w:r>
          </w:p>
        </w:tc>
        <w:tc>
          <w:tcPr>
            <w:tcW w:w="6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IL</w:t>
            </w:r>
          </w:p>
        </w:tc>
        <w:tc>
          <w:tcPr>
            <w:tcW w:w="0" w:type="dxa"/>
            <w:vAlign w:val="bottom"/>
          </w:tcPr>
          <w:p>
            <w:pPr>
              <w:spacing w:after="0"/>
              <w:rPr>
                <w:sz w:val="1"/>
                <w:szCs w:val="1"/>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6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14" w:name="page115"/>
    <w:bookmarkEnd w:id="11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ind w:right="460" w:firstLine="348"/>
        <w:spacing w:after="0" w:line="27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333-182670) of Tree.com, Inc. of our report dated April 1, 2013 relating to the financial statements and financial statement schedule, which appears in this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16" w:name="page117"/>
    <w:bookmarkEnd w:id="1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Tree.com,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13" w:lineRule="exact"/>
        <w:rPr>
          <w:sz w:val="20"/>
          <w:szCs w:val="20"/>
          <w:color w:val="auto"/>
        </w:rPr>
      </w:pPr>
    </w:p>
    <w:p>
      <w:pPr>
        <w:ind w:right="240" w:firstLine="348"/>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of our report dual dated April 16, 2012 and April 1, 2013 as to Note 17, relating to the consolidated financial statements and financial statement schedule of Tree.com, Inc. and subsidiaries (which report expresses an unqualified opinion and includes an explanatory paragraph relating to the effects of discontinued operations and a change in reportable segments), appearing in the Annual Report on Form 10-K of Tree.com, Inc. and subsidiaries for the year ended December 31, 2012.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and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18" w:name="page119"/>
    <w:bookmarkEnd w:id="1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2012 of Tree.com, Inc.;</w:t>
      </w:r>
    </w:p>
    <w:p>
      <w:pPr>
        <w:spacing w:after="0" w:line="252" w:lineRule="exact"/>
        <w:rPr>
          <w:rFonts w:ascii="Times New Roman" w:cs="Times New Roman" w:eastAsia="Times New Roman" w:hAnsi="Times New Roman"/>
          <w:sz w:val="18"/>
          <w:szCs w:val="18"/>
          <w:color w:val="auto"/>
        </w:rPr>
      </w:pPr>
    </w:p>
    <w:p>
      <w:pPr>
        <w:ind w:left="540" w:right="160" w:hanging="532"/>
        <w:spacing w:after="0" w:line="339" w:lineRule="auto"/>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Times New Roman" w:cs="Times New Roman" w:eastAsia="Times New Roman" w:hAnsi="Times New Roman"/>
          <w:sz w:val="16"/>
          <w:szCs w:val="16"/>
          <w:color w:val="auto"/>
        </w:rPr>
      </w:pPr>
    </w:p>
    <w:p>
      <w:pPr>
        <w:ind w:left="540" w:right="620" w:hanging="532"/>
        <w:spacing w:after="0" w:line="275"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18"/>
          <w:szCs w:val="18"/>
          <w:color w:val="auto"/>
        </w:rPr>
      </w:pPr>
    </w:p>
    <w:p>
      <w:pPr>
        <w:ind w:left="540" w:right="240" w:hanging="532"/>
        <w:spacing w:after="0" w:line="26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1080" w:right="360" w:hanging="532"/>
        <w:spacing w:after="0" w:line="262" w:lineRule="auto"/>
        <w:tabs>
          <w:tab w:leader="none" w:pos="10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8"/>
          <w:szCs w:val="18"/>
          <w:color w:val="auto"/>
        </w:rPr>
      </w:pPr>
    </w:p>
    <w:p>
      <w:pPr>
        <w:ind w:left="1080" w:right="60" w:hanging="532"/>
        <w:spacing w:after="0" w:line="262" w:lineRule="auto"/>
        <w:tabs>
          <w:tab w:leader="none" w:pos="10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Times New Roman" w:cs="Times New Roman" w:eastAsia="Times New Roman" w:hAnsi="Times New Roman"/>
          <w:sz w:val="18"/>
          <w:szCs w:val="18"/>
          <w:color w:val="auto"/>
        </w:rPr>
      </w:pPr>
    </w:p>
    <w:p>
      <w:pPr>
        <w:jc w:val="both"/>
        <w:ind w:left="1080" w:right="840" w:hanging="532"/>
        <w:spacing w:after="0" w:line="339" w:lineRule="auto"/>
        <w:tabs>
          <w:tab w:leader="none" w:pos="108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ind w:left="1080" w:right="100" w:hanging="532"/>
        <w:spacing w:after="0" w:line="262" w:lineRule="auto"/>
        <w:tabs>
          <w:tab w:leader="none" w:pos="10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40" w:right="380" w:hanging="532"/>
        <w:spacing w:after="0" w:line="275"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 2013</w:t>
      </w:r>
    </w:p>
    <w:p>
      <w:pPr>
        <w:spacing w:after="0" w:line="374"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66040</wp:posOffset>
            </wp:positionV>
            <wp:extent cx="34905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20" w:name="page121"/>
    <w:bookmarkEnd w:id="12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Mandel, certify that:</w:t>
      </w:r>
    </w:p>
    <w:p>
      <w:pPr>
        <w:spacing w:after="0" w:line="239" w:lineRule="exact"/>
        <w:rPr>
          <w:sz w:val="20"/>
          <w:szCs w:val="20"/>
          <w:color w:val="auto"/>
        </w:rPr>
      </w:pPr>
    </w:p>
    <w:p>
      <w:pPr>
        <w:ind w:left="540" w:hanging="532"/>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2012 of Tree.com, Inc.;</w:t>
      </w:r>
    </w:p>
    <w:p>
      <w:pPr>
        <w:spacing w:after="0" w:line="252" w:lineRule="exact"/>
        <w:rPr>
          <w:rFonts w:ascii="Times New Roman" w:cs="Times New Roman" w:eastAsia="Times New Roman" w:hAnsi="Times New Roman"/>
          <w:sz w:val="18"/>
          <w:szCs w:val="18"/>
          <w:color w:val="auto"/>
        </w:rPr>
      </w:pPr>
    </w:p>
    <w:p>
      <w:pPr>
        <w:ind w:left="540" w:right="160" w:hanging="532"/>
        <w:spacing w:after="0" w:line="339" w:lineRule="auto"/>
        <w:tabs>
          <w:tab w:leader="none" w:pos="5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Times New Roman" w:cs="Times New Roman" w:eastAsia="Times New Roman" w:hAnsi="Times New Roman"/>
          <w:sz w:val="16"/>
          <w:szCs w:val="16"/>
          <w:color w:val="auto"/>
        </w:rPr>
      </w:pPr>
    </w:p>
    <w:p>
      <w:pPr>
        <w:ind w:left="540" w:right="620" w:hanging="532"/>
        <w:spacing w:after="0" w:line="275"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18"/>
          <w:szCs w:val="18"/>
          <w:color w:val="auto"/>
        </w:rPr>
      </w:pPr>
    </w:p>
    <w:p>
      <w:pPr>
        <w:ind w:left="540" w:right="240" w:hanging="532"/>
        <w:spacing w:after="0" w:line="26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1080" w:right="360" w:hanging="532"/>
        <w:spacing w:after="0" w:line="262"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8"/>
          <w:szCs w:val="18"/>
          <w:color w:val="auto"/>
        </w:rPr>
      </w:pPr>
    </w:p>
    <w:p>
      <w:pPr>
        <w:ind w:left="1080" w:right="60" w:hanging="532"/>
        <w:spacing w:after="0" w:line="262"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Times New Roman" w:cs="Times New Roman" w:eastAsia="Times New Roman" w:hAnsi="Times New Roman"/>
          <w:sz w:val="18"/>
          <w:szCs w:val="18"/>
          <w:color w:val="auto"/>
        </w:rPr>
      </w:pPr>
    </w:p>
    <w:p>
      <w:pPr>
        <w:jc w:val="both"/>
        <w:ind w:left="1080" w:right="840" w:hanging="532"/>
        <w:spacing w:after="0" w:line="339" w:lineRule="auto"/>
        <w:tabs>
          <w:tab w:leader="none" w:pos="108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ind w:left="1080" w:right="100" w:hanging="532"/>
        <w:spacing w:after="0" w:line="262"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40" w:right="380" w:hanging="532"/>
        <w:spacing w:after="0" w:line="275"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 2013</w:t>
      </w:r>
    </w:p>
    <w:p>
      <w:pPr>
        <w:spacing w:after="0" w:line="37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66040</wp:posOffset>
            </wp:positionV>
            <wp:extent cx="34905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Alexander Mandel</w:t>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22" w:name="page123"/>
    <w:bookmarkEnd w:id="1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I, Douglas R. Lebda, certify, pursuant to 18 U.S.C. Section 1350, as adopted pursuant to Section 906 of the Sarbanes-Oxley Act of 2002, that to my knowledge:</w:t>
      </w:r>
    </w:p>
    <w:p>
      <w:pPr>
        <w:spacing w:after="0" w:line="187" w:lineRule="exact"/>
        <w:rPr>
          <w:sz w:val="20"/>
          <w:szCs w:val="20"/>
          <w:color w:val="auto"/>
        </w:rPr>
      </w:pPr>
    </w:p>
    <w:p>
      <w:pPr>
        <w:ind w:left="1080" w:right="100" w:hanging="532"/>
        <w:spacing w:after="0" w:line="339" w:lineRule="auto"/>
        <w:tabs>
          <w:tab w:leader="none" w:pos="10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Report on Form 10-K for the fiscal year ended December 31, 2012 of Tree.com, Inc. (the "Report") which this statement accompanies fully complies with the requirements of Section 13(a) or 15(d) of the Securities Exchange Act of 1934 (15 U.S.C. 78m or 78o(d)); and</w:t>
      </w:r>
    </w:p>
    <w:p>
      <w:pPr>
        <w:spacing w:after="0" w:line="15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Tree.com, Inc.</w:t>
      </w:r>
    </w:p>
    <w:p>
      <w:pPr>
        <w:spacing w:after="0" w:line="200" w:lineRule="exact"/>
        <w:rPr>
          <w:sz w:val="20"/>
          <w:szCs w:val="20"/>
          <w:color w:val="auto"/>
        </w:rPr>
      </w:pPr>
    </w:p>
    <w:p>
      <w:pPr>
        <w:spacing w:after="0" w:line="291" w:lineRule="exact"/>
        <w:rPr>
          <w:sz w:val="20"/>
          <w:szCs w:val="20"/>
          <w:color w:val="auto"/>
        </w:rPr>
      </w:pPr>
    </w:p>
    <w:p>
      <w:pPr>
        <w:spacing w:after="0"/>
        <w:tabs>
          <w:tab w:leader="none" w:pos="7580" w:val="left"/>
        </w:tabs>
        <w:rPr>
          <w:sz w:val="20"/>
          <w:szCs w:val="20"/>
          <w:color w:val="auto"/>
        </w:rPr>
      </w:pPr>
      <w:r>
        <w:rPr>
          <w:rFonts w:ascii="Times New Roman" w:cs="Times New Roman" w:eastAsia="Times New Roman" w:hAnsi="Times New Roman"/>
          <w:sz w:val="18"/>
          <w:szCs w:val="18"/>
          <w:color w:val="auto"/>
        </w:rPr>
        <w:t>Dated: April 1, 2013</w:t>
      </w:r>
      <w:r>
        <w:rPr>
          <w:sz w:val="20"/>
          <w:szCs w:val="20"/>
          <w:color w:val="auto"/>
        </w:rPr>
        <w:tab/>
      </w:r>
      <w:r>
        <w:rPr>
          <w:rFonts w:ascii="Times New Roman" w:cs="Times New Roman" w:eastAsia="Times New Roman" w:hAnsi="Times New Roman"/>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66040</wp:posOffset>
            </wp:positionV>
            <wp:extent cx="36277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1"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24" w:name="page125"/>
    <w:bookmarkEnd w:id="1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I, Alexander Mandel, certify, pursuant to 18 U.S.C. Section 1350, as adopted pursuant to Section 906 of the Sarbanes-Oxley Act of 2002, that to my knowledge:</w:t>
      </w:r>
    </w:p>
    <w:p>
      <w:pPr>
        <w:spacing w:after="0" w:line="187" w:lineRule="exact"/>
        <w:rPr>
          <w:sz w:val="20"/>
          <w:szCs w:val="20"/>
          <w:color w:val="auto"/>
        </w:rPr>
      </w:pPr>
    </w:p>
    <w:p>
      <w:pPr>
        <w:ind w:left="1080" w:right="100" w:hanging="532"/>
        <w:spacing w:after="0" w:line="339" w:lineRule="auto"/>
        <w:tabs>
          <w:tab w:leader="none" w:pos="10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Report on Form 10-K for the fiscal year ended December 31, 2012 of Tree.com, Inc. (the "Report") which this statement accompanies fully complies with the requirements of Section 13(a) or 15(d) of the Securities Exchange Act of 1934 (15 U.S.C. 78m or 78o(d)); and</w:t>
      </w:r>
    </w:p>
    <w:p>
      <w:pPr>
        <w:spacing w:after="0" w:line="15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Tree.com, Inc.</w:t>
      </w:r>
    </w:p>
    <w:p>
      <w:pPr>
        <w:spacing w:after="0" w:line="200" w:lineRule="exact"/>
        <w:rPr>
          <w:sz w:val="20"/>
          <w:szCs w:val="20"/>
          <w:color w:val="auto"/>
        </w:rPr>
      </w:pPr>
    </w:p>
    <w:p>
      <w:pPr>
        <w:spacing w:after="0" w:line="291" w:lineRule="exact"/>
        <w:rPr>
          <w:sz w:val="20"/>
          <w:szCs w:val="20"/>
          <w:color w:val="auto"/>
        </w:rPr>
      </w:pPr>
    </w:p>
    <w:p>
      <w:pPr>
        <w:spacing w:after="0"/>
        <w:tabs>
          <w:tab w:leader="none" w:pos="7480" w:val="left"/>
        </w:tabs>
        <w:rPr>
          <w:sz w:val="20"/>
          <w:szCs w:val="20"/>
          <w:color w:val="auto"/>
        </w:rPr>
      </w:pPr>
      <w:r>
        <w:rPr>
          <w:rFonts w:ascii="Times New Roman" w:cs="Times New Roman" w:eastAsia="Times New Roman" w:hAnsi="Times New Roman"/>
          <w:sz w:val="18"/>
          <w:szCs w:val="18"/>
          <w:color w:val="auto"/>
        </w:rPr>
        <w:t>Dated: April 1, 2013</w:t>
      </w:r>
      <w:r>
        <w:rPr>
          <w:sz w:val="20"/>
          <w:szCs w:val="20"/>
          <w:color w:val="auto"/>
        </w:rPr>
        <w:tab/>
      </w:r>
      <w:r>
        <w:rPr>
          <w:rFonts w:ascii="Times New Roman" w:cs="Times New Roman" w:eastAsia="Times New Roman" w:hAnsi="Times New Roman"/>
          <w:sz w:val="16"/>
          <w:szCs w:val="16"/>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66040</wp:posOffset>
            </wp:positionV>
            <wp:extent cx="36277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Alexander Mandel</w:t>
      </w:r>
    </w:p>
    <w:p>
      <w:pPr>
        <w:spacing w:after="0" w:line="21"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26" w:name="page127"/>
    <w:bookmarkEnd w:id="1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2"/>
    </w:lvl>
  </w:abstractNum>
  <w:abstractNum w:abstractNumId="11">
    <w:nsid w:val="79838CB2"/>
    <w:multiLevelType w:val="hybridMultilevel"/>
    <w:lvl w:ilvl="0">
      <w:lvlJc w:val="left"/>
      <w:lvlText w:val="(%1)"/>
      <w:numFmt w:val="decimal"/>
      <w:start w:val="4"/>
    </w:lvl>
  </w:abstractNum>
  <w:abstractNum w:abstractNumId="12">
    <w:nsid w:val="4353D0CD"/>
    <w:multiLevelType w:val="hybridMultilevel"/>
    <w:lvl w:ilvl="0">
      <w:lvlJc w:val="left"/>
      <w:lvlText w:val="(%1)"/>
      <w:numFmt w:val="decimal"/>
      <w:start w:val="7"/>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lvl w:ilvl="1">
      <w:lvlJc w:val="left"/>
      <w:lvlText w:val="%2."/>
      <w:numFmt w:val="lowerLetter"/>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lvl w:ilvl="1">
      <w:lvlJc w:val="left"/>
      <w:lvlText w:val="(%2)"/>
      <w:numFmt w:val="lowerLetter"/>
      <w:start w:val="1"/>
    </w:lvl>
  </w:abstractNum>
  <w:abstractNum w:abstractNumId="27">
    <w:nsid w:val="4516DDE9"/>
    <w:multiLevelType w:val="hybridMultilevel"/>
    <w:lvl w:ilvl="0">
      <w:lvlJc w:val="left"/>
      <w:lvlText w:val="%1."/>
      <w:numFmt w:val="decimal"/>
      <w:start w:val="3"/>
    </w:lvl>
    <w:lvl w:ilvl="1">
      <w:lvlJc w:val="left"/>
      <w:lvlText w:val="%2"/>
      <w:numFmt w:val="lowerLetter"/>
      <w:start w:val="1"/>
    </w:lvl>
  </w:abstractNum>
  <w:abstractNum w:abstractNumId="28">
    <w:nsid w:val="3006C83E"/>
    <w:multiLevelType w:val="hybridMultilevel"/>
    <w:lvl w:ilvl="0">
      <w:lvlJc w:val="left"/>
      <w:lvlText w:val="%1."/>
      <w:numFmt w:val="upperLetter"/>
      <w:start w:val="1"/>
    </w:lvl>
  </w:abstractNum>
  <w:abstractNum w:abstractNumId="29">
    <w:nsid w:val="614FD4A1"/>
    <w:multiLevelType w:val="hybridMultilevel"/>
    <w:lvl w:ilvl="0">
      <w:lvlJc w:val="left"/>
      <w:lvlText w:val="%1."/>
      <w:numFmt w:val="upperLetter"/>
      <w:start w:val="2"/>
    </w:lvl>
  </w:abstractNum>
  <w:abstractNum w:abstractNumId="30">
    <w:nsid w:val="419AC241"/>
    <w:multiLevelType w:val="hybridMultilevel"/>
    <w:lvl w:ilvl="0">
      <w:lvlJc w:val="left"/>
      <w:lvlText w:val="%1."/>
      <w:numFmt w:val="decimal"/>
      <w:start w:val="4"/>
    </w:lvl>
    <w:lvl w:ilvl="1">
      <w:lvlJc w:val="left"/>
      <w:lvlText w:val="(%2)"/>
      <w:numFmt w:val="lowerLetter"/>
      <w:start w:val="1"/>
    </w:lvl>
  </w:abstractNum>
  <w:abstractNum w:abstractNumId="31">
    <w:nsid w:val="5577F8E1"/>
    <w:multiLevelType w:val="hybridMultilevel"/>
    <w:lvl w:ilvl="0">
      <w:lvlJc w:val="left"/>
      <w:lvlText w:val="%1."/>
      <w:numFmt w:val="decimal"/>
      <w:start w:val="10"/>
    </w:lvl>
    <w:lvl w:ilvl="1">
      <w:lvlJc w:val="left"/>
      <w:lvlText w:val="%2."/>
      <w:numFmt w:val="upperLetter"/>
      <w:start w:val="1"/>
    </w:lvl>
  </w:abstractNum>
  <w:abstractNum w:abstractNumId="32">
    <w:nsid w:val="440BADFC"/>
    <w:multiLevelType w:val="hybridMultilevel"/>
    <w:lvl w:ilvl="0">
      <w:lvlJc w:val="left"/>
      <w:lvlText w:val="%1."/>
      <w:numFmt w:val="decimal"/>
      <w:start w:val="13"/>
    </w:lvl>
  </w:abstractNum>
  <w:abstractNum w:abstractNumId="33">
    <w:nsid w:val="5072367"/>
    <w:multiLevelType w:val="hybridMultilevel"/>
    <w:lvl w:ilvl="0">
      <w:lvlJc w:val="left"/>
      <w:lvlText w:val="%1."/>
      <w:numFmt w:val="decimal"/>
      <w:start w:val="1"/>
    </w:lvl>
    <w:lvl w:ilvl="1">
      <w:lvlJc w:val="left"/>
      <w:lvlText w:val="%2."/>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2019-12-07T18:53:37Z</dcterms:created>
  <dcterms:modified xsi:type="dcterms:W3CDTF">2019-12-07T18:53:37Z</dcterms:modified>
</cp:coreProperties>
</file>