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UNITED STATES</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SECURITIES AND EXCHANGE COMMISSION</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rFonts w:ascii="Times New Roman;sans-serif" w:hAnsi="Times New Roman;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For the transition period from                      to                 </w:t>
      </w:r>
    </w:p>
    <w:p>
      <w:pPr>
        <w:pStyle w:val="TextBody"/>
        <w:bidi w:val="0"/>
        <w:spacing w:lineRule="auto" w:line="288" w:before="60" w:after="283"/>
        <w:jc w:val="center"/>
        <w:rPr/>
      </w:pPr>
      <w:r>
        <w:rPr>
          <w:rFonts w:ascii="Times New Roman;sans-serif" w:hAnsi="Times New Roman;sans-serif"/>
          <w:b/>
          <w:color w:val="000000"/>
          <w:sz w:val="19"/>
        </w:rPr>
        <w:t>Commission File No. 001-34063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12668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438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LendingTree, Inc.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26-2414818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20" w:after="283"/>
        <w:jc w:val="center"/>
        <w:rPr/>
      </w:pPr>
      <w:r>
        <w:rPr>
          <w:color w:val="000000"/>
        </w:rPr>
        <w:t> </w:t>
      </w:r>
      <w:r>
        <w:rPr>
          <w:rFonts w:ascii="Times New Roman;sans-serif" w:hAnsi="Times New Roman;sans-serif"/>
          <w:b/>
          <w:color w:val="000000"/>
          <w:sz w:val="20"/>
        </w:rPr>
        <w:t xml:space="preserve">1415 Vantage Park Dr., Suite 700, Charlotte, North Carolina 28203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(704) 541-5351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Nasdaq Stock Market LLC</w:t>
            </w:r>
          </w:p>
        </w:tc>
      </w:tr>
    </w:tbl>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No  </w:t>
      </w:r>
      <w:r>
        <w:rPr>
          <w:color w:val="000000"/>
        </w:rPr>
        <w:t>☐</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ans-serif" w:hAnsi="Times New Roman;sans-serif"/>
          <w:b w:val="false"/>
          <w:color w:val="000000"/>
          <w:sz w:val="19"/>
        </w:rPr>
        <w:t>large accelerated filer,</w:t>
      </w:r>
      <w:r>
        <w:rPr>
          <w:color w:val="000000"/>
        </w:rPr>
        <w:t>” “</w:t>
      </w:r>
      <w:r>
        <w:rPr>
          <w:rFonts w:ascii="Times New Roman;sans-serif" w:hAnsi="Times New Roman;sans-serif"/>
          <w:b w:val="false"/>
          <w:color w:val="000000"/>
          <w:sz w:val="19"/>
        </w:rPr>
        <w:t>accelerated filer,</w:t>
      </w:r>
      <w:r>
        <w:rPr>
          <w:color w:val="000000"/>
        </w:rPr>
        <w:t>” “</w:t>
      </w:r>
      <w:r>
        <w:rPr>
          <w:rFonts w:ascii="Times New Roman;sans-serif" w:hAnsi="Times New Roman;sans-serif"/>
          <w:b w:val="false"/>
          <w:color w:val="000000"/>
          <w:sz w:val="19"/>
        </w:rPr>
        <w:t>smaller reporting company,</w:t>
      </w:r>
      <w:r>
        <w:rPr>
          <w:color w:val="000000"/>
        </w:rPr>
        <w:t xml:space="preserve">” </w:t>
      </w:r>
      <w:r>
        <w:rPr>
          <w:rFonts w:ascii="Times New Roman;sans-serif" w:hAnsi="Times New Roman;sans-serif"/>
          <w:b w:val="false"/>
          <w:color w:val="000000"/>
          <w:sz w:val="19"/>
        </w:rPr>
        <w:t xml:space="preserve">and </w:t>
      </w:r>
      <w:r>
        <w:rPr>
          <w:color w:val="000000"/>
        </w:rPr>
        <w:t>“</w:t>
      </w:r>
      <w:r>
        <w:rPr>
          <w:rFonts w:ascii="Times New Roman;sans-serif" w:hAnsi="Times New Roman;sans-serif"/>
          <w:b w:val="false"/>
          <w:color w:val="000000"/>
          <w:sz w:val="19"/>
        </w:rPr>
        <w:t>emerging growth company</w:t>
      </w:r>
      <w:r>
        <w:rPr>
          <w:color w:val="000000"/>
        </w:rPr>
        <w:t xml:space="preserve">” </w:t>
      </w:r>
      <w:r>
        <w:rPr>
          <w:rFonts w:ascii="Times New Roman;sans-serif" w:hAnsi="Times New Roman;sans-serif"/>
          <w:b w:val="false"/>
          <w:color w:val="000000"/>
          <w:sz w:val="19"/>
        </w:rPr>
        <w:t>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180"/>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ind w:left="0" w:right="0" w:firstLine="180"/>
        <w:jc w:val="both"/>
        <w:rPr>
          <w:rFonts w:ascii="Times New Roman;sans-serif" w:hAnsi="Times New Roman;sans-serif"/>
          <w:b w:val="false"/>
          <w:color w:val="000000"/>
          <w:sz w:val="19"/>
        </w:rPr>
      </w:pPr>
      <w:r>
        <w:rPr>
          <w:rFonts w:ascii="Times New Roman;sans-serif" w:hAnsi="Times New Roman;sans-serif"/>
          <w:b w:val="false"/>
          <w:color w:val="000000"/>
          <w:sz w:val="19"/>
        </w:rPr>
        <w:t>As of July 24, 2023, there were 12,971,481 shares of the registrant's common stock, par value $.01 per share, outstanding, excluding treasury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3"/>
        <w:gridCol w:w="2492"/>
        <w:gridCol w:w="2491"/>
        <w:gridCol w:w="2498"/>
        <w:gridCol w:w="541"/>
        <w:gridCol w:w="541"/>
        <w:gridCol w:w="78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29bf98798204efa942921417f4fba0f_10">
              <w:r>
                <w:rPr>
                  <w:rStyle w:val="InternetLink"/>
                  <w:rFonts w:ascii="Times New Roman;sans-serif" w:hAnsi="Times New Roman;sans-serif"/>
                  <w:b/>
                  <w:color w:val="0000FF"/>
                  <w:sz w:val="20"/>
                  <w:u w:val="single"/>
                </w:rPr>
                <w:t>PART I—FINANCIAL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3">
              <w:r>
                <w:rPr>
                  <w:rStyle w:val="InternetLink"/>
                  <w:rFonts w:ascii="Times New Roman;sans-serif" w:hAnsi="Times New Roman;sans-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3">
              <w:r>
                <w:rPr>
                  <w:rStyle w:val="InternetLink"/>
                  <w:rFonts w:ascii="Times New Roman;sans-serif" w:hAnsi="Times New Roman;sans-serif"/>
                  <w:b/>
                  <w:i/>
                  <w:color w:val="0000FF"/>
                  <w:sz w:val="20"/>
                  <w:u w:val="single"/>
                </w:rPr>
                <w:t>Financial Statements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3">
              <w:r>
                <w:rPr>
                  <w:rStyle w:val="InternetLink"/>
                  <w:rFonts w:ascii="Times New Roman;sans-serif" w:hAnsi="Times New Roman;sans-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88">
              <w:r>
                <w:rPr>
                  <w:rStyle w:val="InternetLink"/>
                  <w:rFonts w:ascii="Times New Roman;sans-serif" w:hAnsi="Times New Roman;sans-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88">
              <w:r>
                <w:rPr>
                  <w:rStyle w:val="InternetLink"/>
                  <w:rFonts w:ascii="Times New Roman;sans-serif" w:hAnsi="Times New Roman;sans-serif"/>
                  <w:b/>
                  <w:i/>
                  <w:color w:val="0000FF"/>
                  <w:sz w:val="20"/>
                  <w:u w:val="single"/>
                </w:rPr>
                <w:t>Management's Discussion and Analysis of Financial Condition and Results of Operations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88">
              <w:r>
                <w:rPr>
                  <w:rStyle w:val="InternetLink"/>
                  <w:rFonts w:ascii="Times New Roman;sans-serif" w:hAnsi="Times New Roman;sans-serif"/>
                  <w:b w:val="false"/>
                  <w:strike w:val="false"/>
                  <w:dstrike w:val="false"/>
                  <w:color w:val="000000"/>
                  <w:sz w:val="20"/>
                  <w:u w:val="none"/>
                  <w:effect w:val="none"/>
                </w:rPr>
                <w:t>24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09">
              <w:r>
                <w:rPr>
                  <w:rStyle w:val="InternetLink"/>
                  <w:rFonts w:ascii="Times New Roman;sans-serif" w:hAnsi="Times New Roman;sans-serif"/>
                  <w:b/>
                  <w:color w:val="0000FF"/>
                  <w:sz w:val="20"/>
                  <w:u w:val="single"/>
                </w:rPr>
                <w:t>Item 3.</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09">
              <w:r>
                <w:rPr>
                  <w:rStyle w:val="InternetLink"/>
                  <w:rFonts w:ascii="Times New Roman;sans-serif" w:hAnsi="Times New Roman;sans-serif"/>
                  <w:b/>
                  <w:i/>
                  <w:color w:val="0000FF"/>
                  <w:sz w:val="20"/>
                  <w:u w:val="single"/>
                </w:rPr>
                <w:t>Quantitative and Qualitative Disclosures About Market Risk</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09">
              <w:r>
                <w:rPr>
                  <w:rStyle w:val="InternetLink"/>
                  <w:rFonts w:ascii="Times New Roman;sans-serif" w:hAnsi="Times New Roman;sans-serif"/>
                  <w:b w:val="false"/>
                  <w:strike w:val="false"/>
                  <w:dstrike w:val="false"/>
                  <w:color w:val="000000"/>
                  <w:sz w:val="20"/>
                  <w:u w:val="none"/>
                  <w:effect w:val="none"/>
                </w:rPr>
                <w:t>37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12">
              <w:r>
                <w:rPr>
                  <w:rStyle w:val="InternetLink"/>
                  <w:rFonts w:ascii="Times New Roman;sans-serif" w:hAnsi="Times New Roman;sans-serif"/>
                  <w:b/>
                  <w:color w:val="0000FF"/>
                  <w:sz w:val="20"/>
                  <w:u w:val="single"/>
                </w:rPr>
                <w:t>Item 4.</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12">
              <w:r>
                <w:rPr>
                  <w:rStyle w:val="InternetLink"/>
                  <w:rFonts w:ascii="Times New Roman;sans-serif" w:hAnsi="Times New Roman;sans-serif"/>
                  <w:b/>
                  <w:i/>
                  <w:color w:val="0000FF"/>
                  <w:sz w:val="20"/>
                  <w:u w:val="single"/>
                </w:rPr>
                <w:t>Controls and Procedures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12">
              <w:r>
                <w:rPr>
                  <w:rStyle w:val="InternetLink"/>
                  <w:rFonts w:ascii="Times New Roman;sans-serif" w:hAnsi="Times New Roman;sans-serif"/>
                  <w:b w:val="false"/>
                  <w:strike w:val="false"/>
                  <w:dstrike w:val="false"/>
                  <w:color w:val="000000"/>
                  <w:sz w:val="20"/>
                  <w:u w:val="none"/>
                  <w:effect w:val="none"/>
                </w:rPr>
                <w:t>37</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29bf98798204efa942921417f4fba0f_115">
              <w:r>
                <w:rPr>
                  <w:rStyle w:val="InternetLink"/>
                  <w:rFonts w:ascii="Times New Roman;sans-serif" w:hAnsi="Times New Roman;sans-serif"/>
                  <w:b/>
                  <w:color w:val="0000FF"/>
                  <w:sz w:val="20"/>
                  <w:u w:val="single"/>
                </w:rPr>
                <w:t>PART II—OTHER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18">
              <w:r>
                <w:rPr>
                  <w:rStyle w:val="InternetLink"/>
                  <w:rFonts w:ascii="Times New Roman;sans-serif" w:hAnsi="Times New Roman;sans-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18">
              <w:r>
                <w:rPr>
                  <w:rStyle w:val="InternetLink"/>
                  <w:rFonts w:ascii="Times New Roman;sans-serif" w:hAnsi="Times New Roman;sans-serif"/>
                  <w:b/>
                  <w:i/>
                  <w:color w:val="0000FF"/>
                  <w:sz w:val="20"/>
                  <w:u w:val="single"/>
                </w:rPr>
                <w:t>Legal Proceedings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18">
              <w:r>
                <w:rPr>
                  <w:rStyle w:val="InternetLink"/>
                  <w:rFonts w:ascii="Times New Roman;sans-serif" w:hAnsi="Times New Roman;sans-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1">
              <w:r>
                <w:rPr>
                  <w:rStyle w:val="InternetLink"/>
                  <w:rFonts w:ascii="Times New Roman;sans-serif" w:hAnsi="Times New Roman;sans-serif"/>
                  <w:b/>
                  <w:color w:val="0000FF"/>
                  <w:sz w:val="20"/>
                  <w:u w:val="single"/>
                </w:rPr>
                <w:t>Item 1A.</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1">
              <w:r>
                <w:rPr>
                  <w:rStyle w:val="InternetLink"/>
                  <w:rFonts w:ascii="Times New Roman;sans-serif" w:hAnsi="Times New Roman;sans-serif"/>
                  <w:b/>
                  <w:i/>
                  <w:color w:val="0000FF"/>
                  <w:sz w:val="20"/>
                  <w:u w:val="single"/>
                </w:rPr>
                <w:t>Risk Factors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21">
              <w:r>
                <w:rPr>
                  <w:rStyle w:val="InternetLink"/>
                  <w:rFonts w:ascii="Times New Roman;sans-serif" w:hAnsi="Times New Roman;sans-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4">
              <w:r>
                <w:rPr>
                  <w:rStyle w:val="InternetLink"/>
                  <w:rFonts w:ascii="Times New Roman;sans-serif" w:hAnsi="Times New Roman;sans-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4">
              <w:r>
                <w:rPr>
                  <w:rStyle w:val="InternetLink"/>
                  <w:rFonts w:ascii="Times New Roman;sans-serif" w:hAnsi="Times New Roman;sans-serif"/>
                  <w:b/>
                  <w:i/>
                  <w:color w:val="0000FF"/>
                  <w:sz w:val="20"/>
                  <w:u w:val="single"/>
                </w:rPr>
                <w:t>Unregistered Sales of Equity Securities and Use of Proceeds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24">
              <w:r>
                <w:rPr>
                  <w:rStyle w:val="InternetLink"/>
                  <w:rFonts w:ascii="Times New Roman;sans-serif" w:hAnsi="Times New Roman;sans-serif"/>
                  <w:b w:val="false"/>
                  <w:strike w:val="false"/>
                  <w:dstrike w:val="false"/>
                  <w:color w:val="000000"/>
                  <w:sz w:val="20"/>
                  <w:u w:val="none"/>
                  <w:effect w:val="none"/>
                </w:rPr>
                <w:t>38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7">
              <w:r>
                <w:rPr>
                  <w:rStyle w:val="InternetLink"/>
                  <w:rFonts w:ascii="Times New Roman;sans-serif" w:hAnsi="Times New Roman;sans-serif"/>
                  <w:b/>
                  <w:color w:val="0000FF"/>
                  <w:sz w:val="20"/>
                  <w:u w:val="single"/>
                </w:rPr>
                <w:t>Item 5.</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27">
              <w:r>
                <w:rPr>
                  <w:rStyle w:val="InternetLink"/>
                  <w:rFonts w:ascii="Times New Roman;sans-serif" w:hAnsi="Times New Roman;sans-serif"/>
                  <w:b/>
                  <w:i/>
                  <w:color w:val="0000FF"/>
                  <w:sz w:val="20"/>
                  <w:u w:val="single"/>
                </w:rPr>
                <w:t>Other Information</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27">
              <w:r>
                <w:rPr>
                  <w:rStyle w:val="InternetLink"/>
                  <w:rFonts w:ascii="Times New Roman;sans-serif" w:hAnsi="Times New Roman;sans-serif"/>
                  <w:b w:val="false"/>
                  <w:strike w:val="false"/>
                  <w:dstrike w:val="false"/>
                  <w:color w:val="000000"/>
                  <w:sz w:val="20"/>
                  <w:u w:val="none"/>
                  <w:effect w:val="non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30">
              <w:r>
                <w:rPr>
                  <w:rStyle w:val="InternetLink"/>
                  <w:rFonts w:ascii="Times New Roman;sans-serif" w:hAnsi="Times New Roman;sans-serif"/>
                  <w:b/>
                  <w:color w:val="0000FF"/>
                  <w:sz w:val="20"/>
                  <w:u w:val="single"/>
                </w:rPr>
                <w:t>Item 6.</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9bf98798204efa942921417f4fba0f_130">
              <w:r>
                <w:rPr>
                  <w:rStyle w:val="InternetLink"/>
                  <w:rFonts w:ascii="Times New Roman;sans-serif" w:hAnsi="Times New Roman;sans-serif"/>
                  <w:b/>
                  <w:i/>
                  <w:color w:val="0000FF"/>
                  <w:sz w:val="20"/>
                  <w:u w:val="single"/>
                </w:rPr>
                <w:t>Exhibits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9bf98798204efa942921417f4fba0f_130">
              <w:r>
                <w:rPr>
                  <w:rStyle w:val="InternetLink"/>
                  <w:rFonts w:ascii="Times New Roman;sans-serif" w:hAnsi="Times New Roman;sans-serif"/>
                  <w:b w:val="false"/>
                  <w:strike w:val="false"/>
                  <w:dstrike w:val="false"/>
                  <w:color w:val="000000"/>
                  <w:sz w:val="20"/>
                  <w:u w:val="none"/>
                  <w:effect w:val="non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30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91"/>
        <w:gridCol w:w="1363"/>
        <w:gridCol w:w="1380"/>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179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amounts)</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545,101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i/>
                <w:color w:val="000000"/>
                <w:sz w:val="20"/>
              </w:rPr>
              <w:t>(exclusive of depreciation and amortization shown separately below)</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175,840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551,935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(6,834)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(20,821)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and comprehensive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(18,864)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76"/>
        <w:gridCol w:w="2057"/>
        <w:gridCol w:w="2073"/>
        <w:gridCol w:w="232"/>
        <w:gridCol w:w="1091"/>
        <w:gridCol w:w="119"/>
        <w:gridCol w:w="119"/>
        <w:gridCol w:w="119"/>
        <w:gridCol w:w="119"/>
        <w:gridCol w:w="232"/>
        <w:gridCol w:w="1091"/>
        <w:gridCol w:w="177"/>
      </w:tblGrid>
      <w:tr>
        <w:trPr/>
        <w:tc>
          <w:tcPr>
            <w:tcW w:w="277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amounts)</w:t>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$2,609 and $2,317, respectively)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(Note 7)</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264,430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413,968</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$35,865 and $33,851, respectively)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1,039,139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1,199,313</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 (Note 7)</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79,878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82,534</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797,424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991,373</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 shares authorized; none issued or outstanding</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 shares authorized; 16,323,675 and 16,167,184 shares issued, respectively, and 12,968,209 and 12,811,718 shares outstanding, respectively</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3,355,466 and 3,355,466 shares, respectively</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241,715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207,940</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1,039,139</w:t>
            </w:r>
            <w:r>
              <w:rPr>
                <w:color w:val="000000"/>
              </w:rPr>
              <w:t> </w:t>
            </w:r>
          </w:p>
        </w:tc>
        <w:tc>
          <w:tcPr>
            <w:tcW w:w="1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1,199,313</w:t>
            </w:r>
            <w:r>
              <w:rPr>
                <w:color w:val="000000"/>
              </w:rPr>
              <w:t> </w:t>
            </w:r>
          </w:p>
        </w:tc>
        <w:tc>
          <w:tcPr>
            <w:tcW w:w="1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91"/>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6"/>
      </w:tblGrid>
      <w:tr>
        <w:trPr/>
        <w:tc>
          <w:tcPr>
            <w:tcW w:w="6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(in thousands)</w:t>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207,940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16,167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1,189,255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(715,299)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March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230,979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16,265</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1,198,836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(701,842)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and comprehensive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treasury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employee stock purchase plan,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June 30, 2023</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241,715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16,324</w:t>
            </w:r>
            <w:r>
              <w:rPr>
                <w:color w:val="000000"/>
              </w:rPr>
              <w:t>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1,209,687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(701,957)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(in thousands)</w:t>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447,992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16,071</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1,242,794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(571,794)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2,976</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(223,169)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(10,826)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(10,826)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treasury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restricted stock awards and restricted stock units, net of withholding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Cumulative effect adjustment due to ASU 2020-06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March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340,848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16,120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1,145,038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(538,173)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3,355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(8,038)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(8,038)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treasury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restricted stock awards and restricted stock units, net of withholding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June 30, 2022</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350,486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16,141</w:t>
            </w:r>
            <w:r>
              <w:rPr>
                <w:color w:val="000000"/>
              </w:rPr>
              <w:t>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1,162,714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(546,211)</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CONSOLIDATED STATEMENTS OF CASH FLOWS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0"/>
        <w:gridCol w:w="2278"/>
        <w:gridCol w:w="2285"/>
        <w:gridCol w:w="211"/>
        <w:gridCol w:w="841"/>
        <w:gridCol w:w="109"/>
        <w:gridCol w:w="109"/>
        <w:gridCol w:w="109"/>
        <w:gridCol w:w="109"/>
        <w:gridCol w:w="211"/>
        <w:gridCol w:w="841"/>
        <w:gridCol w:w="222"/>
      </w:tblGrid>
      <w:tr>
        <w:trPr/>
        <w:tc>
          <w:tcPr>
            <w:tcW w:w="288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(loss) and comprehensive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(18,864)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impairments and disposal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14,992 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32,415 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Write-off of previously-capitalized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Reduction in carrying amount of ROU asset, offset by change in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settlement of convertible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impairment of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current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accrued expenses and 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16,093</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(6,346)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(16,440)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(22,786)</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term loan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related to net-share settlement of stock-based compensation, net of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(43,009)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0.50% Convertible Senior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0.625% Convertible Senior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(169,659)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debt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(159,665)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34,584</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(decrease) increase in cash, cash equivalents, restricted cash and restricted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(136,294)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27,891</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restricted cash and restricted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251,342 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restricted cash and restricted cash equivalents at end of period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162,675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279,233</w:t>
            </w:r>
            <w:r>
              <w:rPr>
                <w:color w:val="000000"/>
              </w:rPr>
              <w:t> </w:t>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1—ORGANIZATION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 (collectively, “LendingTree” or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LendingTree and all its wholly-owned entities. Intercompany transactions and accounts have been eliminated.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as of June 30, 2023 and for the three and six months ended June 30, 2023 and 2022,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2023 are not necessarily indicative of the results to be expected for the year ending December 31, 2023, or any other period. The accompanying consolidated balance sheet as of December 31, 2022 was derived from audited financial statements included in the Company's Annual Report on Form 10-K for the year ended December 31, 2022 (the “2022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2022 Annual Report. The Company reclassified certain amounts in the prior year consolidated statements of operations and comprehensive income and consolidated statement of cash flows to be consistent with the current year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considered the impact of the current economic conditions, including interest rates, inflation, and the COVID-19 pandemic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is obtained. If economic conditions worsen, such future changes may have an adverse impact on the Company's results of operations, financial position and liquidity.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Certain Risks and Concentrations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LendingTree's business is subject to certain risks and concentrations including dependence on third-party technology providers, exposure to risks associated with online commerce security and credit card fraud.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at June 30, 2023,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mortgage lending industry, interest rate fluctuations may negatively impact future revenue from the Company's marketplace.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 support services office in India, the Company's operations are geographically limited to and dependent upon the economic condition of the United States.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Settlements and Contingencies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 consists of expenses related to actual or anticipated litigation settlements.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Financial Accounting Standards Board issued Accounting Standards Update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the Company's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adoption of ASU 2020-06 did not impact the Company's cash flows or compliance with debt covenants.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the applicability of recently issued accounting pronouncements by the Financial Accounting Standards Board and have determined that they are either not applicable or are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Revenue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109" w:type="dxa"/>
        <w:jc w:val="center"/>
        <w:tblInd w:w="0" w:type="dxa"/>
        <w:tblLayout w:type="fixed"/>
        <w:tblCellMar>
          <w:top w:w="28" w:type="dxa"/>
          <w:left w:w="28" w:type="dxa"/>
          <w:bottom w:w="28" w:type="dxa"/>
          <w:right w:w="28" w:type="dxa"/>
        </w:tblCellMar>
      </w:tblPr>
      <w:tblGrid>
        <w:gridCol w:w="518"/>
        <w:gridCol w:w="456"/>
        <w:gridCol w:w="465"/>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loans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182,453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261,923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382,961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545,101</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 As of the second quarter of 2023, the Company discontinued providing its credit services product to consumers and no longer receives upfront and subscription fees.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asset recorded within prepaid and other current assets on the consolidated balance sheets related to estimated variable consideration was $13.5 million and $12.2 million at June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liability recorded within accrued expenses and other current liabilities on the consolidated balance sheets related to upfront fees paid by consumers was $0.9 million at December 31, 2022. During the second quarter and first six months of 2023, the Company recognized revenue of $0.1 million and $0.9 million, respectively, that was included in the contract liability balance at December 31, 2022. During the second quarter and first six months of 2022, the Company recognized revenue of $0.1 million and $0.8 million that was included in the contract liability balance at December 31, 2021.</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decreases to such revenue from prior periods. This decrease was $0.9 million in the second quarter of 2023, and not material in the second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4—CASH AND RESTRICTED CASH</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Total cash, cash equivalents, restricted cash and restricted cash equivalents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9128" w:type="dxa"/>
        <w:jc w:val="center"/>
        <w:tblInd w:w="0" w:type="dxa"/>
        <w:tblLayout w:type="fixed"/>
        <w:tblCellMar>
          <w:top w:w="28" w:type="dxa"/>
          <w:left w:w="28" w:type="dxa"/>
          <w:bottom w:w="28" w:type="dxa"/>
          <w:right w:w="28" w:type="dxa"/>
        </w:tblCellMar>
      </w:tblPr>
      <w:tblGrid>
        <w:gridCol w:w="2330"/>
        <w:gridCol w:w="2047"/>
        <w:gridCol w:w="2057"/>
        <w:gridCol w:w="211"/>
        <w:gridCol w:w="841"/>
        <w:gridCol w:w="109"/>
        <w:gridCol w:w="109"/>
        <w:gridCol w:w="109"/>
        <w:gridCol w:w="109"/>
        <w:gridCol w:w="211"/>
        <w:gridCol w:w="841"/>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restricted cash and restricted cash equivalents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162,675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298,969</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5—ALLOWANCE FOR DOUBTFUL ACCOUNTS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amounts due from customers, net of an allowance for doubtful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reconciliation of the beginning and ending balances of the allowance for doubtful accounts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8670" w:type="dxa"/>
        <w:jc w:val="left"/>
        <w:tblInd w:w="0" w:type="dxa"/>
        <w:tblLayout w:type="fixed"/>
        <w:tblCellMar>
          <w:top w:w="28" w:type="dxa"/>
          <w:left w:w="28" w:type="dxa"/>
          <w:bottom w:w="28" w:type="dxa"/>
          <w:right w:w="28" w:type="dxa"/>
        </w:tblCellMar>
      </w:tblPr>
      <w:tblGrid>
        <w:gridCol w:w="1391"/>
        <w:gridCol w:w="1220"/>
        <w:gridCol w:w="122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to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uncollectible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(Note 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2,300</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6—GOODWILL AND INTANGIBLE ASSETS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balance of goodwill, net and intangible assets, net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023" w:type="dxa"/>
        <w:jc w:val="left"/>
        <w:tblInd w:w="0" w:type="dxa"/>
        <w:tblLayout w:type="fixed"/>
        <w:tblCellMar>
          <w:top w:w="28" w:type="dxa"/>
          <w:left w:w="28" w:type="dxa"/>
          <w:bottom w:w="28" w:type="dxa"/>
          <w:right w:w="28" w:type="dxa"/>
        </w:tblCellMar>
      </w:tblPr>
      <w:tblGrid>
        <w:gridCol w:w="1206"/>
        <w:gridCol w:w="1059"/>
        <w:gridCol w:w="1064"/>
        <w:gridCol w:w="211"/>
        <w:gridCol w:w="841"/>
        <w:gridCol w:w="109"/>
        <w:gridCol w:w="109"/>
        <w:gridCol w:w="109"/>
        <w:gridCol w:w="109"/>
        <w:gridCol w:w="211"/>
        <w:gridCol w:w="84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lives,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54,284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58,315</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goodwill at each of June 30, 2023 and December 31, 2022 consists of $59.3 million associated with the Home segment, $166.1 million associated with the Consumer segment, and $194.7 million associated with the Insurance segment.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2022, the Company assessed the qualitative factors in its impairment testing of goodwill and determined that the effects of the challenging interest rate environment, consumer price inflation, and the decline in the Company's market capitalization required a quantitative impairment test be performed. The quantitative goodwill impairment test found that the fair value of each reporting unit exceeded its carrying amount, indicating no goodwill impairment. The Company will monitor the recovery of the Insurance reporting unit and the Mortgage reporting unit. The property and casualty auto industry is experiencing challenges caused by inflation, supply chain challenges, and rising severity and frequency of claims. Additionally, the significant increase in mortgage interest rates have had a negative impact on the Mortgage reporting unit. Changes in the timing of the recovery compared to current expectations could cause an impairment to the Insurance or Mortgage reporting unit.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indefinite lives relate to the Company's trademarks.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Intangible Assets with Definite Lives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Intangible assets with definite lives relate to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296" w:type="dxa"/>
        <w:jc w:val="left"/>
        <w:tblInd w:w="0" w:type="dxa"/>
        <w:tblLayout w:type="fixed"/>
        <w:tblCellMar>
          <w:top w:w="28" w:type="dxa"/>
          <w:left w:w="28" w:type="dxa"/>
          <w:bottom w:w="28" w:type="dxa"/>
          <w:right w:w="28" w:type="dxa"/>
        </w:tblCellMar>
      </w:tblPr>
      <w:tblGrid>
        <w:gridCol w:w="857"/>
        <w:gridCol w:w="755"/>
        <w:gridCol w:w="757"/>
        <w:gridCol w:w="211"/>
        <w:gridCol w:w="736"/>
        <w:gridCol w:w="109"/>
        <w:gridCol w:w="109"/>
        <w:gridCol w:w="109"/>
        <w:gridCol w:w="109"/>
        <w:gridCol w:w="211"/>
        <w:gridCol w:w="796"/>
        <w:gridCol w:w="109"/>
        <w:gridCol w:w="109"/>
        <w:gridCol w:w="109"/>
        <w:gridCol w:w="109"/>
        <w:gridCol w:w="211"/>
        <w:gridCol w:w="73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(42,258)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44,142</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2" w:type="dxa"/>
        <w:jc w:val="left"/>
        <w:tblInd w:w="0" w:type="dxa"/>
        <w:tblLayout w:type="fixed"/>
        <w:tblCellMar>
          <w:top w:w="28" w:type="dxa"/>
          <w:left w:w="28" w:type="dxa"/>
          <w:bottom w:w="28" w:type="dxa"/>
          <w:right w:w="28" w:type="dxa"/>
        </w:tblCellMar>
      </w:tblPr>
      <w:tblGrid>
        <w:gridCol w:w="971"/>
        <w:gridCol w:w="856"/>
        <w:gridCol w:w="858"/>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87,400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(39,227)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48,173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Amortization of intangible assets with definite lives is computed on a straight-line basis and, based on balances as of June 30, 2023, future amortization is estimated to be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624" w:type="dxa"/>
        <w:jc w:val="left"/>
        <w:tblInd w:w="0" w:type="dxa"/>
        <w:tblLayout w:type="fixed"/>
        <w:tblCellMar>
          <w:top w:w="28" w:type="dxa"/>
          <w:left w:w="28" w:type="dxa"/>
          <w:bottom w:w="28" w:type="dxa"/>
          <w:right w:w="28" w:type="dxa"/>
        </w:tblCellMar>
      </w:tblPr>
      <w:tblGrid>
        <w:gridCol w:w="1401"/>
        <w:gridCol w:w="1231"/>
        <w:gridCol w:w="1238"/>
        <w:gridCol w:w="335"/>
        <w:gridCol w:w="1172"/>
        <w:gridCol w:w="247"/>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current year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2024</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2025</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2026</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2027</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with definite lives, net</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44,142</w:t>
            </w:r>
            <w:r>
              <w:rPr>
                <w:color w:val="000000"/>
              </w:rPr>
              <w:t> </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360"/>
        <w:jc w:val="both"/>
        <w:rPr/>
      </w:pP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7—Assets and Liabilities Held for Sale for intangible assets with definite lives classified as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7—ASSETS AND LIABILITIES HELD FOR SALE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approved a plan to sell its Ovation credit services business, an asset group associated with the Company's Consumer segment. The asset group was expected to be sold in 2023 to an unrelated third party and is classified, at its carrying value, as current assets held for sale and current liabilities held for sale in the consolidated balance sheet as of December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third party withdrew the letter of intent to purchase the asset group held for sale. The Company made the decision to close the Ovation credit services business. As a result, the Company recorded asset impairment charges of $4.2 million, of which $2.1 million related to intangible assets, $1.7 million related to property and equipment, and $0.4 million related to an operating lease right-of-use asset.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accounts receivable, prepaid and other assets, and other non-current assets previously held for sale, and the liabilities previously held for sale approximate their fair value and were no longer classified as assets and liabilities held for sale in the consolidated balance sheet as of March 31, 2023. </w:t>
      </w:r>
    </w:p>
    <w:p>
      <w:pPr>
        <w:pStyle w:val="TextBody"/>
        <w:bidi w:val="0"/>
        <w:spacing w:lineRule="auto" w:line="288" w:before="180" w:after="120"/>
        <w:ind w:left="0" w:right="0" w:firstLine="360"/>
        <w:jc w:val="both"/>
        <w:rPr/>
      </w:pPr>
      <w:r>
        <w:rPr>
          <w:rFonts w:ascii="Times New Roman;sans-serif" w:hAnsi="Times New Roman;sans-serif"/>
          <w:b w:val="false"/>
          <w:color w:val="000000"/>
          <w:sz w:val="20"/>
        </w:rPr>
        <w:t xml:space="preserve">The following table presents information related to the major classes of assets and liabilities that were classified as held for sale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364" w:type="dxa"/>
        <w:jc w:val="left"/>
        <w:tblInd w:w="0" w:type="dxa"/>
        <w:tblLayout w:type="fixed"/>
        <w:tblCellMar>
          <w:top w:w="28" w:type="dxa"/>
          <w:left w:w="28" w:type="dxa"/>
          <w:bottom w:w="28" w:type="dxa"/>
          <w:right w:w="28" w:type="dxa"/>
        </w:tblCellMar>
      </w:tblPr>
      <w:tblGrid>
        <w:gridCol w:w="2025"/>
        <w:gridCol w:w="1780"/>
        <w:gridCol w:w="1790"/>
        <w:gridCol w:w="374"/>
        <w:gridCol w:w="1121"/>
        <w:gridCol w:w="274"/>
      </w:tblGrid>
      <w:tr>
        <w:trPr/>
        <w:tc>
          <w:tcPr>
            <w:tcW w:w="202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$1,102</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$3,857</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5,689</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2,909</w:t>
            </w:r>
            <w:r>
              <w:rPr>
                <w:color w:val="000000"/>
              </w:rPr>
              <w:t> </w:t>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8—EQUITY INVESTMENT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in equity securities do not have a readily determinable fair value and, upon their acquisition, the Company elected the measurement alternative to value its securities.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 In the second quarter of 2023, the Company recorded an impairment charge of $1.4 million on one of its investments. The impairment is included within other income on the consolidated statement of operations and comprehensive income. As of December 31, 2022, there had been no impairments to the acquisition cost of the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9—ACCRUED EXPENSES AND OTHER CURRENT LIABILITIES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Accrued expenses and other current liabilities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977" w:type="dxa"/>
        <w:jc w:val="left"/>
        <w:tblInd w:w="0" w:type="dxa"/>
        <w:tblLayout w:type="fixed"/>
        <w:tblCellMar>
          <w:top w:w="28" w:type="dxa"/>
          <w:left w:w="28" w:type="dxa"/>
          <w:bottom w:w="28" w:type="dxa"/>
          <w:right w:w="28" w:type="dxa"/>
        </w:tblCellMar>
      </w:tblPr>
      <w:tblGrid>
        <w:gridCol w:w="1612"/>
        <w:gridCol w:w="1419"/>
        <w:gridCol w:w="1424"/>
        <w:gridCol w:w="211"/>
        <w:gridCol w:w="736"/>
        <w:gridCol w:w="109"/>
        <w:gridCol w:w="109"/>
        <w:gridCol w:w="109"/>
        <w:gridCol w:w="109"/>
        <w:gridCol w:w="218"/>
        <w:gridCol w:w="762"/>
        <w:gridCol w:w="159"/>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escrows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LendingTree Foundation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74,204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75,095</w:t>
            </w:r>
            <w:r>
              <w:rPr>
                <w:color w:val="000000"/>
              </w:rPr>
              <w:t>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360"/>
        <w:jc w:val="both"/>
        <w:rPr/>
      </w:pP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7—Assets and Liabilities Held for Sale for accrued expenses and other current liabilities classified as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NOTE 10—SHAREHOLDERS' EQUITY</w:t>
      </w:r>
      <w:r>
        <w:rPr>
          <w:color w:val="000000"/>
        </w:rPr>
        <w:t>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Basic and diluted income per share was determined based on the following share data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8657" w:type="dxa"/>
        <w:jc w:val="left"/>
        <w:tblInd w:w="0" w:type="dxa"/>
        <w:tblLayout w:type="fixed"/>
        <w:tblCellMar>
          <w:top w:w="28" w:type="dxa"/>
          <w:left w:w="28" w:type="dxa"/>
          <w:bottom w:w="28" w:type="dxa"/>
          <w:right w:w="28" w:type="dxa"/>
        </w:tblCellMar>
      </w:tblPr>
      <w:tblGrid>
        <w:gridCol w:w="1325"/>
        <w:gridCol w:w="1164"/>
        <w:gridCol w:w="1171"/>
        <w:gridCol w:w="368"/>
        <w:gridCol w:w="368"/>
        <w:gridCol w:w="178"/>
        <w:gridCol w:w="178"/>
        <w:gridCol w:w="178"/>
        <w:gridCol w:w="178"/>
        <w:gridCol w:w="368"/>
        <w:gridCol w:w="368"/>
        <w:gridCol w:w="178"/>
        <w:gridCol w:w="109"/>
        <w:gridCol w:w="109"/>
        <w:gridCol w:w="109"/>
        <w:gridCol w:w="368"/>
        <w:gridCol w:w="368"/>
        <w:gridCol w:w="156"/>
        <w:gridCol w:w="154"/>
        <w:gridCol w:w="154"/>
        <w:gridCol w:w="154"/>
        <w:gridCol w:w="368"/>
        <w:gridCol w:w="368"/>
        <w:gridCol w:w="218"/>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basic common shares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12,723</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12,881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12,812</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share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diluted common shares</w:t>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12,915</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12,723</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12,912</w:t>
            </w:r>
            <w:r>
              <w:rPr>
                <w:color w:val="000000"/>
              </w:rPr>
              <w:t>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12,812</w:t>
            </w:r>
            <w:r>
              <w:rPr>
                <w:color w:val="000000"/>
              </w:rPr>
              <w:t>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For the second quarter of 2023, the weighted average shares that were anti-dilutive, and therefore excluded from the calculation of diluted income per share, included options to purchase 1.2 million shares of common stock and 0.6 million restricted stock units. For the first six months of 2023, the weighted average shares that were anti-dilutive, and therefore excluded from the calculation of diluted income per share, included options to purchase 1.0 million shares of common stock and 0.5 million restricted stock units.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and first six months of 2022,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second quarter and first six months of 2022 because their inclusion would have been anti-dilutive. For the second quarter of 2022, the weighted average shares that were anti-dilutive, and therefore excluded from the calculation of diluted income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included options to purchase 1.0 million shares of common stock and 0.5 million restricted stock units. For the first six months of 2022, the weighted average shares that were anti-dilutive, and therefore excluded from the calculation of diluted income per share, included options to purchase 1.0 million and 0.4 million restricted stock units.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convertible notes and the warrants issued by the Company could be converted into the Company’s common stock, subject to certain contingencies.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13—Debt for additional information. On January 1, 2022, the Company adopted ASU 2020-06 using the modified retrospective method. 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2—Significant Accounting Policies for additional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0.8 million and 1.2 million shares related to the potentially dilutive shares of the Company's common stock associated with the 0.50% Convertible Senior Notes due July 15, 2025 were excluded from the calculation of diluted loss (income) per share for the second quarter and first six months of 2023, respectively, because their inclusion would have been anti-dilutive. 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second quarter and first six months of 2022 because their inclusion would have been anti-dilutive. Shares of the Company's stock associated with the warrants issued by the Company in 2020 were excluded from the calculation of diluted loss per share for the second quarter and first six months of 2023, and shares of the Company's stock associated with the warrants issued by the Company in 2017 and 2020 were excluded from the calculation of diluted loss per share for the second quarter and first six months of 2022 as they were anti-dilutive since the strike price of the warrants was greater than the average market price of the Company's common stock during the relevant periods.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Common Stock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February 2018 and February 2019, the board of directors authorized and the Company announced the repurchase of up to $100.0 million and $150.0 million, respectively, of LendingTree's common stock. During the first six months of 2023, the Company did not repurchase shares of its common stock. During the first six months of 2022, the Company repurchased 379,895 shares of its common stock pursuant to the stock repurchase program. At June 30, 2023, approximately $96.7 million of the previous authorizations to repurchase common stock remain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11—STOCK-BASED COMPENSATION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Non-cash compensation related to equity awards is included in the following line items in the accompanying consolidated statements of operations and comprehensive income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8265" w:type="dxa"/>
        <w:jc w:val="left"/>
        <w:tblInd w:w="0" w:type="dxa"/>
        <w:tblLayout w:type="fixed"/>
        <w:tblCellMar>
          <w:top w:w="28" w:type="dxa"/>
          <w:left w:w="28" w:type="dxa"/>
          <w:bottom w:w="28" w:type="dxa"/>
          <w:right w:w="28" w:type="dxa"/>
        </w:tblCellMar>
      </w:tblPr>
      <w:tblGrid>
        <w:gridCol w:w="1090"/>
        <w:gridCol w:w="960"/>
        <w:gridCol w:w="96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non-cash compensation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10,199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17,335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21,473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32,415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is as follows:</w:t>
      </w:r>
    </w:p>
    <w:tbl>
      <w:tblPr>
        <w:tblW w:w="9131" w:type="dxa"/>
        <w:jc w:val="left"/>
        <w:tblInd w:w="0" w:type="dxa"/>
        <w:tblLayout w:type="fixed"/>
        <w:tblCellMar>
          <w:top w:w="28" w:type="dxa"/>
          <w:left w:w="28" w:type="dxa"/>
          <w:bottom w:w="28" w:type="dxa"/>
          <w:right w:w="28" w:type="dxa"/>
        </w:tblCellMar>
      </w:tblPr>
      <w:tblGrid>
        <w:gridCol w:w="1248"/>
        <w:gridCol w:w="1099"/>
        <w:gridCol w:w="1102"/>
        <w:gridCol w:w="499"/>
        <w:gridCol w:w="499"/>
        <w:gridCol w:w="501"/>
        <w:gridCol w:w="109"/>
        <w:gridCol w:w="109"/>
        <w:gridCol w:w="109"/>
        <w:gridCol w:w="211"/>
        <w:gridCol w:w="736"/>
        <w:gridCol w:w="109"/>
        <w:gridCol w:w="109"/>
        <w:gridCol w:w="109"/>
        <w:gridCol w:w="109"/>
        <w:gridCol w:w="330"/>
        <w:gridCol w:w="330"/>
        <w:gridCol w:w="331"/>
        <w:gridCol w:w="109"/>
        <w:gridCol w:w="109"/>
        <w:gridCol w:w="109"/>
        <w:gridCol w:w="315"/>
        <w:gridCol w:w="608"/>
        <w:gridCol w:w="232"/>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1, 2023</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805,079</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June 30, 2023</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748,066</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June 30, 2023</w:t>
            </w:r>
          </w:p>
        </w:tc>
        <w:tc>
          <w:tcPr>
            <w:tcW w:w="998"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569,185</w:t>
            </w:r>
            <w:r>
              <w:rPr>
                <w:color w:val="000000"/>
              </w:rPr>
              <w:t> </w:t>
            </w:r>
          </w:p>
        </w:tc>
        <w:tc>
          <w:tcPr>
            <w:tcW w:w="50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129.77</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3.80</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aggregate intrinsic value represents the total pre-tax intrinsic value (the difference between the Company's closing stock price of $22.11 on the last trading day of the quarter ended June 30, 2023 and the exercise price, multiplied by the number of shares covered by in-the-money options) that would have been received by the option holder had the option holder exercised these options on June 30, 2023. The intrinsic value changes based on the market value of the Company's common stock.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Options with Market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with market conditions at target is as follows:</w:t>
      </w:r>
    </w:p>
    <w:tbl>
      <w:tblPr>
        <w:tblW w:w="10205" w:type="dxa"/>
        <w:jc w:val="left"/>
        <w:tblInd w:w="0" w:type="dxa"/>
        <w:tblLayout w:type="fixed"/>
        <w:tblCellMar>
          <w:top w:w="28" w:type="dxa"/>
          <w:left w:w="28" w:type="dxa"/>
          <w:bottom w:w="28" w:type="dxa"/>
          <w:right w:w="28" w:type="dxa"/>
        </w:tblCellMar>
      </w:tblPr>
      <w:tblGrid>
        <w:gridCol w:w="1122"/>
        <w:gridCol w:w="988"/>
        <w:gridCol w:w="991"/>
        <w:gridCol w:w="1008"/>
        <w:gridCol w:w="971"/>
        <w:gridCol w:w="974"/>
        <w:gridCol w:w="109"/>
        <w:gridCol w:w="109"/>
        <w:gridCol w:w="109"/>
        <w:gridCol w:w="211"/>
        <w:gridCol w:w="736"/>
        <w:gridCol w:w="109"/>
        <w:gridCol w:w="109"/>
        <w:gridCol w:w="109"/>
        <w:gridCol w:w="109"/>
        <w:gridCol w:w="330"/>
        <w:gridCol w:w="330"/>
        <w:gridCol w:w="331"/>
        <w:gridCol w:w="109"/>
        <w:gridCol w:w="109"/>
        <w:gridCol w:w="109"/>
        <w:gridCol w:w="305"/>
        <w:gridCol w:w="589"/>
        <w:gridCol w:w="229"/>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with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1, 2023</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734,685</w:t>
            </w: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June 30, 2023</w:t>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718,438</w:t>
            </w:r>
            <w:r>
              <w:rPr>
                <w:color w:val="000000"/>
              </w:rPr>
              <w:t>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June 30, 2023</w:t>
            </w:r>
          </w:p>
        </w:tc>
        <w:tc>
          <w:tcPr>
            <w:tcW w:w="1979"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481,669</w:t>
            </w:r>
            <w:r>
              <w:rPr>
                <w:color w:val="000000"/>
              </w:rPr>
              <w:t> </w:t>
            </w:r>
          </w:p>
        </w:tc>
        <w:tc>
          <w:tcPr>
            <w:tcW w:w="97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195.10</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4.10</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aggregate intrinsic value represents the total pre-tax intrinsic value (the difference between the Company's closing stock price of $22.11 on the last trading day of the quarter ended June 30, 2023 and the exercise price, multiplied by the number of shares covered by in-the-money options) that would have been received by the option holder had the option holder exercised these options on June 30, 2023. The intrinsic value changes based on the market value of the Company's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 maximum of 395,404 shares may be earned for achieving superior performance up to 167% of the remaining unvested target number of shares. As of June 30, 2023, no additional performance-based nonqualified stock options with a market condition had been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restricted stock units (“RSUs”) is as follows:</w:t>
      </w:r>
    </w:p>
    <w:tbl>
      <w:tblPr>
        <w:tblW w:w="7498" w:type="dxa"/>
        <w:jc w:val="left"/>
        <w:tblInd w:w="0" w:type="dxa"/>
        <w:tblLayout w:type="fixed"/>
        <w:tblCellMar>
          <w:top w:w="28" w:type="dxa"/>
          <w:left w:w="28" w:type="dxa"/>
          <w:bottom w:w="28" w:type="dxa"/>
          <w:right w:w="28" w:type="dxa"/>
        </w:tblCellMar>
      </w:tblPr>
      <w:tblGrid>
        <w:gridCol w:w="951"/>
        <w:gridCol w:w="834"/>
        <w:gridCol w:w="840"/>
        <w:gridCol w:w="450"/>
        <w:gridCol w:w="450"/>
        <w:gridCol w:w="436"/>
        <w:gridCol w:w="109"/>
        <w:gridCol w:w="109"/>
        <w:gridCol w:w="109"/>
        <w:gridCol w:w="615"/>
        <w:gridCol w:w="2146"/>
        <w:gridCol w:w="449"/>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January 1, 2023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485,053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127.46</w:t>
            </w: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389,738 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(175,087)</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June 30, 2023</w:t>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594,756</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71.79</w:t>
            </w:r>
            <w:r>
              <w:rPr>
                <w:color w:val="000000"/>
              </w:rPr>
              <w:t> </w:t>
            </w:r>
          </w:p>
        </w:tc>
        <w:tc>
          <w:tcPr>
            <w:tcW w:w="4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Stock Units with Performance Conditions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RSUs with performance conditions is as follows:</w:t>
      </w:r>
    </w:p>
    <w:tbl>
      <w:tblPr>
        <w:tblW w:w="7675" w:type="dxa"/>
        <w:jc w:val="left"/>
        <w:tblInd w:w="0" w:type="dxa"/>
        <w:tblLayout w:type="fixed"/>
        <w:tblCellMar>
          <w:top w:w="28" w:type="dxa"/>
          <w:left w:w="28" w:type="dxa"/>
          <w:bottom w:w="28" w:type="dxa"/>
          <w:right w:w="28" w:type="dxa"/>
        </w:tblCellMar>
      </w:tblPr>
      <w:tblGrid>
        <w:gridCol w:w="951"/>
        <w:gridCol w:w="834"/>
        <w:gridCol w:w="840"/>
        <w:gridCol w:w="434"/>
        <w:gridCol w:w="434"/>
        <w:gridCol w:w="436"/>
        <w:gridCol w:w="179"/>
        <w:gridCol w:w="179"/>
        <w:gridCol w:w="179"/>
        <w:gridCol w:w="680"/>
        <w:gridCol w:w="2034"/>
        <w:gridCol w:w="4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 with Performance Conditions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January 1, 2023</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16,000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83.25</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June 30, 2023</w:t>
            </w:r>
          </w:p>
        </w:tc>
        <w:tc>
          <w:tcPr>
            <w:tcW w:w="86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implemented an employee stock purchase plan (“ESPP”), under which a total of 262,731 shares of the Company's common stock were reserved for issuance. As of June 30, 2023, 190,277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six months ended June 30, 2023, 36,536 shares were issued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the Company granted employee stock purchase rights to certain employees with a grant date fair value per share of $8.19 and $35.43, respectively, calculated using the Black-Scholes option pricing model. For purposes of determining stock-based compensation expense, the grant date fair value per share estimated using the Black-Scholes option pricing model required the use of the following key assumptions:</w:t>
      </w:r>
    </w:p>
    <w:tbl>
      <w:tblPr>
        <w:tblW w:w="4455" w:type="dxa"/>
        <w:jc w:val="left"/>
        <w:tblInd w:w="0" w:type="dxa"/>
        <w:tblLayout w:type="fixed"/>
        <w:tblCellMar>
          <w:top w:w="28" w:type="dxa"/>
          <w:left w:w="28" w:type="dxa"/>
          <w:bottom w:w="28" w:type="dxa"/>
          <w:right w:w="28" w:type="dxa"/>
        </w:tblCellMar>
      </w:tblPr>
      <w:tblGrid>
        <w:gridCol w:w="744"/>
        <w:gridCol w:w="654"/>
        <w:gridCol w:w="657"/>
        <w:gridCol w:w="260"/>
        <w:gridCol w:w="251"/>
        <w:gridCol w:w="516"/>
        <w:gridCol w:w="133"/>
        <w:gridCol w:w="133"/>
        <w:gridCol w:w="133"/>
        <w:gridCol w:w="283"/>
        <w:gridCol w:w="283"/>
        <w:gridCol w:w="408"/>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term </w:t>
            </w:r>
            <w:r>
              <w:rPr>
                <w:rFonts w:ascii="Times New Roman;sans-serif" w:hAnsi="Times New Roman;sans-serif"/>
                <w:b w:val="false"/>
                <w:color w:val="000000"/>
                <w:sz w:val="13"/>
              </w:rPr>
              <w:t>(1)</w:t>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dividend </w:t>
            </w:r>
            <w:r>
              <w:rPr>
                <w:rFonts w:ascii="Times New Roman;sans-serif" w:hAnsi="Times New Roman;sans-serif"/>
                <w:b w:val="false"/>
                <w:color w:val="000000"/>
                <w:sz w:val="13"/>
              </w:rPr>
              <w:t>(2)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(4)</w:t>
            </w:r>
          </w:p>
        </w:tc>
        <w:tc>
          <w:tcPr>
            <w:tcW w:w="511"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516"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term was calculated using the time period between the grant date and the purchase date.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dividends are expected to be paid, resulting in a zero expected dividend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expected volatility rate is based on the historical volatility of the Company's common stock.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risk-free interest rate is specific to the date of grant. The risk-free interest rate is based on U.S. Treasury yields for notes with comparable expected terms as the employee stock purchase rights, in effect at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12—INCOME TAXES</w:t>
      </w:r>
    </w:p>
    <w:tbl>
      <w:tblPr>
        <w:tblW w:w="7727" w:type="dxa"/>
        <w:jc w:val="left"/>
        <w:tblInd w:w="0" w:type="dxa"/>
        <w:tblLayout w:type="fixed"/>
        <w:tblCellMar>
          <w:top w:w="28" w:type="dxa"/>
          <w:left w:w="28" w:type="dxa"/>
          <w:bottom w:w="28" w:type="dxa"/>
          <w:right w:w="28" w:type="dxa"/>
        </w:tblCellMar>
      </w:tblPr>
      <w:tblGrid>
        <w:gridCol w:w="890"/>
        <w:gridCol w:w="783"/>
        <w:gridCol w:w="786"/>
        <w:gridCol w:w="211"/>
        <w:gridCol w:w="541"/>
        <w:gridCol w:w="271"/>
        <w:gridCol w:w="109"/>
        <w:gridCol w:w="109"/>
        <w:gridCol w:w="109"/>
        <w:gridCol w:w="211"/>
        <w:gridCol w:w="616"/>
        <w:gridCol w:w="271"/>
        <w:gridCol w:w="109"/>
        <w:gridCol w:w="109"/>
        <w:gridCol w:w="109"/>
        <w:gridCol w:w="211"/>
        <w:gridCol w:w="541"/>
        <w:gridCol w:w="271"/>
        <w:gridCol w:w="109"/>
        <w:gridCol w:w="109"/>
        <w:gridCol w:w="109"/>
        <w:gridCol w:w="211"/>
        <w:gridCol w:w="616"/>
        <w:gridCol w:w="316"/>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75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202.7 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22.5 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4.5 </w:t>
            </w:r>
          </w:p>
        </w:tc>
        <w:tc>
          <w:tcPr>
            <w:tcW w:w="27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316"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second quarter and first six months of 2023, the effective tax rate varied from the federal statutory rate of 21% primarily due to the change in the valuation allowance, net of the current period change in tax effected net indefinite-lived intangibles. For the second quarter and first six months of 2022, the effective tax rate varied from the federal statutory rate of 21% primarily due to excess tax expense of $0.4 million and $2.9 million, resulting from vesting of restricted stock in accordance with ASU 2016-09 and the effect of state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valuation allowance against the net deferred tax assets, with the exception of the deferred tax liabilities that result from indefinite-life intangibles. The Company has determined that using the general methodology for calculating income taxes during an interim period for the quarter ending June 30, 2023 provided for a wide range of potential annual effective rates. Therefore, the Company has calculated the tax provision on a discrete basis under ASC 740-270-30- 36(b) for the quarter ending June 30, 2023. At September 30, 2022, the Company recorded a net deferred tax asset of zero as the cumulative net deferred tax asset had a full valuation on it and there was not enough positive evidence that would warrant recognizing the benefit of the net deferred tax asset. In addition, the net indefinite lived deferred tax items were determined to be a net liability resulting in the recognition of a deferred tax liability.</w:t>
      </w:r>
    </w:p>
    <w:tbl>
      <w:tblPr>
        <w:tblW w:w="10205" w:type="dxa"/>
        <w:jc w:val="left"/>
        <w:tblInd w:w="0" w:type="dxa"/>
        <w:tblLayout w:type="fixed"/>
        <w:tblCellMar>
          <w:top w:w="28" w:type="dxa"/>
          <w:left w:w="28" w:type="dxa"/>
          <w:bottom w:w="28" w:type="dxa"/>
          <w:right w:w="28" w:type="dxa"/>
        </w:tblCellMar>
      </w:tblPr>
      <w:tblGrid>
        <w:gridCol w:w="2028"/>
        <w:gridCol w:w="1779"/>
        <w:gridCol w:w="1789"/>
        <w:gridCol w:w="211"/>
        <w:gridCol w:w="534"/>
        <w:gridCol w:w="109"/>
        <w:gridCol w:w="109"/>
        <w:gridCol w:w="109"/>
        <w:gridCol w:w="109"/>
        <w:gridCol w:w="211"/>
        <w:gridCol w:w="616"/>
        <w:gridCol w:w="109"/>
        <w:gridCol w:w="109"/>
        <w:gridCol w:w="109"/>
        <w:gridCol w:w="109"/>
        <w:gridCol w:w="211"/>
        <w:gridCol w:w="534"/>
        <w:gridCol w:w="109"/>
        <w:gridCol w:w="109"/>
        <w:gridCol w:w="109"/>
        <w:gridCol w:w="109"/>
        <w:gridCol w:w="211"/>
        <w:gridCol w:w="616"/>
        <w:gridCol w:w="157"/>
      </w:tblGrid>
      <w:tr>
        <w:trPr/>
        <w:tc>
          <w:tcPr>
            <w:tcW w:w="202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5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 excluding excess tax expense on stock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expense on stock compensation</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59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13—DEBT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2025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first quarter of 2023, the Company recognized a gain on the extinguishment of debt of $34.3 million, a loss on the write-off of unamortized debt issuance costs of $2.4 million and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repayment costs of $1.0 million, all of which are included in interest income/expense, net in the consolidated statements of operations and comprehensive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2025 Notes were not entitled to convert the 2025 Notes during the calendar quarter ended June 30, 2023 as the last reported sale price of the Company's common stock, for at least 20 trading days (whether or not consecutive) during the period of 30 consecutive trading days ending on March 31, 2023, was not greater than or equal to 130% of the conversion price of the 2025 Notes on each applicable trading day.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six months of 2023, the Company recorded interest expense on the 2025 Notes of $2.3 million which consisted of $1.1 million associated with the 0.50% coupon rate and $1.2 million associated with the amortization of the debt issuance costs. In the first six months of 2022, the Company recorded interest expense on the 2025 Notes of $3.0 million which consisted of $1.5 million associated with the 0.50% coupon rate and $1.5 million associated with the amortization of the debt issuance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fair value of the 2025 Notes is estimated to be approximately $296.0 million using the Level 1 observable input of the last quoted market price on June 30, 2023.</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summary of the gross carrying amount, debt issuance costs, and net carrying value of the 2025 Notes, all of which is recorded as a non-current liability in the June 30, 2023 consolidated balance sheet,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644" w:type="dxa"/>
        <w:jc w:val="center"/>
        <w:tblInd w:w="0" w:type="dxa"/>
        <w:tblLayout w:type="fixed"/>
        <w:tblCellMar>
          <w:top w:w="28" w:type="dxa"/>
          <w:left w:w="28" w:type="dxa"/>
          <w:bottom w:w="28" w:type="dxa"/>
          <w:right w:w="28" w:type="dxa"/>
        </w:tblCellMar>
      </w:tblPr>
      <w:tblGrid>
        <w:gridCol w:w="705"/>
        <w:gridCol w:w="620"/>
        <w:gridCol w:w="625"/>
        <w:gridCol w:w="211"/>
        <w:gridCol w:w="841"/>
        <w:gridCol w:w="109"/>
        <w:gridCol w:w="109"/>
        <w:gridCol w:w="109"/>
        <w:gridCol w:w="109"/>
        <w:gridCol w:w="211"/>
        <w:gridCol w:w="84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380,240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567,266</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the Company issued $300.0 million aggregate principal amount of its 0.625% Convertible Senior Notes due June 1, 2022 (the "2022 Notes") in a private placement. In the first six months of 2022, the Company recorded interest expense on the 2022 Notes of $0.8 million which consisted of $0.4 million associated with the 0.625% coupon rate and $0.4 million associated with the amortization of the debt issuance costs. The 2022 Notes were fully settled in June 2022.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Convertible Note Hedge and Warrant Transactions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Hedge and Warrants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in connection with the issuance of the 2025 Notes, the Company entered into Convertible Note Hedge (the “2020 Hedge”) and warrant transactions with respect to the Company’s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March 8, 2023 repurchases of the 2025 Notes noted above, the Company entered into agreements with the counterparties for the 2020 Hedge and 2020 Warrants transactions to terminate a portion of these call spread transactions effective March 8, 2023 in notional amounts corresponding to the principal amount of the 2025 Notes repurchased.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such termination, the outstanding portion of the 2020 Hedge covers 0.8 million shares of the Company's common stock and 2020 Warrants to acquire 0.8 million shares of the Company's common stock remain outstanding.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$247.5 million of borrowings outstanding under the Term Loan Facility bearing interest at the LIBO option rate of 9.0% and had no borrowings under the Revolving Facility. As of December 31, 2022, the Company had $248.8 million of borrowings outstanding under the Credit Facility and no borrowings under the Revolving Facility. As of June 30, 2023, borrowings of $2.5 million under the Term Loan Facility are recorded as current portion of long-term debt on the consolidated balance sheet.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each of June 30, 2023 and December 31, 2022, the Company had outstanding one letter of credit issued in the amount of $0.2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covenants at June 30,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six months of 2023, the Company recorded interest expense related to its Revolving Facility of $0.7 million which consisted of $0.2 million in unused commitment fees and $0.5 million associated with the amortization of the debt issuance costs. In the first six months of 2023, the Company recorded interest expense related to the Term Loan Facility of $10.7 million associated with borrowings bearing interest at the LIBO 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six months of 2022, the Company recorded interest expense related to its revolving credit facilities of $0.7 million which consisted of $0.2 million in unused commitment fees, and $0.5 million associated with the amortization of the debt issuance costs. In the first six months of 2022, the Company recorded interest expense related to the Term Loan Facility of $9.6 million which consisted of $1.0 million associated with borrowings bearing interest at the LIBO rate, $5.1 million in unused commitment fees, $2.0 million associated with the amortization of the debt issuance costs, and $1.5 million associated with the amortization of the original issue discount.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14—CONTINGENCIES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14, unless otherwise indicated, the Company is unable to estimate the possible loss or range of losses that could potentially result from the application of such non-monetary remedies.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As of June 30, 2023 and December 31, 2022, the Company had litigation settlement accruals of $0.6 million and $0.1 million, respectively. The litigation settlement accruals relate to litigation matters that were either settled or a firm offer for settlement was extended, thereby establishing an accrual amount that is both probable and reasonably estimable.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15—FAIR VALUE MEASUREMENTS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Other than the convertible notes and warrants, as well as the equity interests, the carrying amounts of the Company's financial instruments are equal to fair value at June 30, 2023.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13—Debt for additional information on the convertible notes and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16—SEGMENT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Home segment includes the following products: purchase mortgage, refinance mortgage, and home equity loans and lines of credit. The Company ceased offering reverse mortgage loans in the fourth quarter of 2022. The Consumer segment includes the following products: credit cards, personal loans, small business loans, student loans, auto loans, deposit accounts, and other credit products such as credit repair and debt settlement. The Insurance segment consists of insurance quote products and sales of insurance policies in the agency businesses.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w:t>
      </w:r>
    </w:p>
    <w:tbl>
      <w:tblPr>
        <w:tblW w:w="749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64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24,751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78,509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6,613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112</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58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64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44,588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93,765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(10,377)</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736"/>
        <w:gridCol w:w="109"/>
        <w:gridCol w:w="196"/>
        <w:gridCol w:w="73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158,466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13,964</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859" w:type="dxa"/>
        <w:jc w:val="left"/>
        <w:tblInd w:w="0" w:type="dxa"/>
        <w:tblLayout w:type="fixed"/>
        <w:tblCellMar>
          <w:top w:w="28" w:type="dxa"/>
          <w:left w:w="28" w:type="dxa"/>
          <w:bottom w:w="28" w:type="dxa"/>
          <w:right w:w="28" w:type="dxa"/>
        </w:tblCellMar>
      </w:tblPr>
      <w:tblGrid>
        <w:gridCol w:w="1055"/>
        <w:gridCol w:w="928"/>
        <w:gridCol w:w="941"/>
        <w:gridCol w:w="196"/>
        <w:gridCol w:w="736"/>
        <w:gridCol w:w="109"/>
        <w:gridCol w:w="196"/>
        <w:gridCol w:w="736"/>
        <w:gridCol w:w="109"/>
        <w:gridCol w:w="196"/>
        <w:gridCol w:w="736"/>
        <w:gridCol w:w="109"/>
        <w:gridCol w:w="196"/>
        <w:gridCol w:w="42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62,649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87,095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193,229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(20,821)</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17—RESTRUCTURING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made the decision to close the Ovation credit services business ( the "Ovation Closure".) The Ovation Closure includes the elimination of approximately 197 employees, or 18%, of the Company's current workforce. As a result of the Ovation Closure, the Company incurred $2.1 million in restructuring expense in connection with cash expenditures for employee separation costs. The Ovation Closure, including cash payments, is expected to be completed by the first quarter of 2024.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the Company committed to a workforce reduction plan (the “Reduction Plan”), to reduce operating costs. The Reduction Plan includes the elimination of approximately 162 employees, or 13%, of the Company’s current workforce. As a result of the Reduction Plan, the Company estimates that it will incur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restructuring expense of $4.3 million in the first quarter of 2023 and an additional $1.0 million of restructuring expense in the second quarter of 2023 related to the Reduction Plan. The Reduction Plan, including cash payments, is expected to be substantially completed by the end of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completed workforce reductions in each of the first, second, and fourth quarters of approximately 75 employees, 25 employees, and 50 employees, respectively. In the first six months of 2022, the Company incurred total expense of $3.8 million consisting of employee separation costs of $2.7 million and non-cash compensation expense of $1.1 million due to the accelerated vesting of certain equity awards. All employee separation costs for 2022 actions are expected to be paid by the third quarter of 2023. </w:t>
      </w:r>
    </w:p>
    <w:tbl>
      <w:tblPr>
        <w:tblW w:w="10205" w:type="dxa"/>
        <w:jc w:val="left"/>
        <w:tblInd w:w="0" w:type="dxa"/>
        <w:tblLayout w:type="fixed"/>
        <w:tblCellMar>
          <w:top w:w="28" w:type="dxa"/>
          <w:left w:w="28" w:type="dxa"/>
          <w:bottom w:w="28" w:type="dxa"/>
          <w:right w:w="28" w:type="dxa"/>
        </w:tblCellMar>
      </w:tblPr>
      <w:tblGrid>
        <w:gridCol w:w="911"/>
        <w:gridCol w:w="641"/>
        <w:gridCol w:w="635"/>
        <w:gridCol w:w="612"/>
        <w:gridCol w:w="1399"/>
        <w:gridCol w:w="318"/>
        <w:gridCol w:w="360"/>
        <w:gridCol w:w="1078"/>
        <w:gridCol w:w="186"/>
        <w:gridCol w:w="211"/>
        <w:gridCol w:w="670"/>
        <w:gridCol w:w="109"/>
        <w:gridCol w:w="211"/>
        <w:gridCol w:w="670"/>
        <w:gridCol w:w="109"/>
        <w:gridCol w:w="440"/>
        <w:gridCol w:w="1317"/>
        <w:gridCol w:w="328"/>
      </w:tblGrid>
      <w:tr>
        <w:trPr/>
        <w:tc>
          <w:tcPr>
            <w:tcW w:w="9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2022</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Impact</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Non-Cash</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Accrued Balance at June 30, 2023</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Q2 2023 action</w:t>
            </w:r>
          </w:p>
        </w:tc>
        <w:tc>
          <w:tcPr>
            <w:tcW w:w="2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Q1 2023 action</w:t>
            </w:r>
          </w:p>
        </w:tc>
        <w:tc>
          <w:tcPr>
            <w:tcW w:w="2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action</w:t>
            </w:r>
          </w:p>
        </w:tc>
        <w:tc>
          <w:tcPr>
            <w:tcW w:w="2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w:t>
            </w:r>
            <w:r>
              <w:rPr>
                <w:color w:val="000000"/>
              </w:rPr>
              <w:t> </w:t>
            </w:r>
          </w:p>
        </w:tc>
        <w:tc>
          <w:tcPr>
            <w:tcW w:w="3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7,416</w:t>
            </w:r>
            <w:r>
              <w:rPr>
                <w:color w:val="000000"/>
              </w:rPr>
              <w:t> </w:t>
            </w:r>
          </w:p>
        </w:tc>
        <w:tc>
          <w:tcPr>
            <w:tcW w:w="1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(4,612)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2,042</w:t>
            </w:r>
            <w:r>
              <w:rPr>
                <w:color w:val="000000"/>
              </w:rPr>
              <w:t> </w:t>
            </w:r>
          </w:p>
        </w:tc>
        <w:tc>
          <w:tcPr>
            <w:tcW w:w="3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included elsewhere in this Quarterly Report on Form 10-Q and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the Annual Report on Form 10-K for the year ended December 31, 2022 (the "2022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what we believe to be the leading online consumer platform that connects consumers with the solutions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MyLendingTree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Economic Conditions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impact of the COVID-19 pandemic, government actions and measures taken to prevent its spread, and the potential to affect our operations. We are also monitoring the current global economic environment, specifically including inflationary pressures and interest rates, and any resulting impacts on our financial position and results of operations. Refer to Part I, Item 1A. “Risk Factors” of our 2022 Annual Report for additional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three reportable segments, the Consumer segment was impacted the most from the COVID-19 pandemic as unsecured credit and the flow of capital in certain areas of the market contracted. Most of our selling and marketing expenses are variable costs that we adjust dynamically in relation to revenue opportunities to profitably meet demand. Thus, as our revenue was negatively impacted during the COVID-19 pandemic and the macro-economic conditions that followed, our marketing expenses generally decreased in line with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challenging interest rate environment and inflationary pressures have continued to present challenges for many of our mortgage lending and insurance partners. In our Home segment, mortgage rates have remained relatively consistent in the second quarter of 2023 compared to the fourth quarter of 2022, but nearly doubled compared to the first quarter of 2022. The significant increases in mortgage rates caused a sharp decline in refinance volumes and are putting pressure on purchase activity. In our Insurance segment, demand from our carrier partners remains volatile as they continue to deal with persistent industry headwinds.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reportable segments: Home, Consumer, and Insurance.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Business Acquisitions</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acquired an equity interest in EarnUp for $15.0 million. EarnUp is a consumer-first mortgage payment platform that intelligently automates loan payment scheduling and helps consumers better manage their money and improve their financial well-being.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North Carolina Office Properties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office is located on approximately 176,000 square feet of office space in Charlotte, North Carolina under an approximate 15-year lease that contractually commenced in the second quarter of 2021.</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We have received approximately $0.7 million related to the December 2016 grants. If we are unable to maintain the specified target levels, our ability to earn further reimbursements could be limited.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 We have currently not met the specified target levels set forth in the December 2018 grant and may not realize any reimbursements from this grant.</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Mortgage Interest Rate Trends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dynamically adjust selling and marketing expenditures in all interest rate environments to optimize our results against these variables.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Freddie Mac, 30-year mortgage interest rates increased from a monthly average of 6.36% in December 2022 to a monthly average of 6.71% in June 2023. On a quarterly basis, 30-year mortgage interest rates in the second quarter of 2023 averaged 6.49%, compared to 5.24% in the second quarter of 2022 and 6.69% in the fourth quarter of 2022.</w:t>
      </w:r>
    </w:p>
    <w:p>
      <w:pPr>
        <w:pStyle w:val="TextBody"/>
        <w:bidi w:val="0"/>
        <w:spacing w:before="160" w:after="283"/>
        <w:jc w:val="center"/>
        <w:rPr/>
      </w:pPr>
      <w:r>
        <w:rPr/>
        <w:drawing>
          <wp:inline distT="0" distB="0" distL="0" distR="0">
            <wp:extent cx="6515100" cy="494347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515100" cy="4943475"/>
                    </a:xfrm>
                    <a:prstGeom prst="rect">
                      <a:avLst/>
                    </a:prstGeom>
                  </pic:spPr>
                </pic:pic>
              </a:graphicData>
            </a:graphic>
          </wp:inline>
        </w:drawing>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20% of total mortgage origination dollars in the second quarter of 2023 compared to 17% in the fourth quarter of 2022 but decreased from 30% in the second quarter of 2022. In the second quarter of 2023, total refinance origination dollars increased 39% from the fourth quarter of 2022 and decreased 54% from the second quarter of 2022. Industry-wide mortgage origination dollars in the second quarter of 2023 increased 16% from the fourth quarter of 2022 and decreased 32% from second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MBA projections, the mix of mortgage origination dollars is expected to continue to be weighted towards purchase mortgages with the refinance share representing approximately 21% for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U.S. Real Estate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Fannie Mae data, existing home sales increased 2% in the second quarter of 2023 compared to the fourth quarter of 2022, and decreased 21% compared to the second quarter of 2022. Fannie Mae predicts an overall decrease in existing-home sales of approximately 16% in 2023 compared to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MyLendingTree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certain metrics related to MyLendingTree set forth below to help us evaluate our business and growth trends and assess operational efficiencies. The calculation of the metrics discussed below may differ from other similarly titled metrics used by other companies, securities analysts or investors.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grow our user base and added 1.2 million new users in the second quarter of 2023, bringing cumulative sign-ups to 26.9 million at June 30, 2023. We attribute $22 million of revenue in the second quarter of 2023 to registered MyLendingTree members across the LendingTree platform.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focus on improving the MyLendingTree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Cost Reductions and Simplification of Business</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24, 2023, we committed to a workforce reduction plan (the “Reduction Plan”), to reduce operating costs, which included the elimination of approximately 13% of the Company’s workforce. As a result of the Reduction Plan, we expect to incur approximately $5.3 million in severance charges in connection with the workforce reduction, $4.3 million of which was incurred in the first quarter of 2023 and $1.0 million was incurred in the second quarter of 2023. Part of this Reduction Plan included the shut down of our LendingTree customer call center as well as our Medicare insurance agency operations within QuoteWizard. We anticipate the Reduction Plan will reduce annual compensation expense by approximately $14 million, comprised of $2 million in cost of revenue, $4 million in selling and marketing expense, $3 million in general and administrative expense, and $5 million in product development.</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Separately, we made the decision to close our Ovation credit services business, an asset group within our Consumer segment, by mid- 2023. As a result, the Company recorded an asset impairment charge of $4.2 million in the first quarter of 2023 related to the write-off of certain long-term assets. Additionally, we incurred $2.1 million in severance charges in the second quarter of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 </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Ovation business accounted for approximately 3% of total Revenue and 3% of Total Costs and Expenses, with an immaterial impact to Net Income on the Consolidated Statement of Operations and Comprehensive Income (Loss)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for the Three and Six Months ended June 30, 2023 and 2022</w:t>
      </w:r>
    </w:p>
    <w:tbl>
      <w:tblPr>
        <w:tblW w:w="10205" w:type="dxa"/>
        <w:jc w:val="center"/>
        <w:tblInd w:w="0" w:type="dxa"/>
        <w:tblLayout w:type="fixed"/>
        <w:tblCellMar>
          <w:top w:w="28" w:type="dxa"/>
          <w:left w:w="28" w:type="dxa"/>
          <w:bottom w:w="28" w:type="dxa"/>
          <w:right w:w="28" w:type="dxa"/>
        </w:tblCellMar>
      </w:tblPr>
      <w:tblGrid>
        <w:gridCol w:w="973"/>
        <w:gridCol w:w="561"/>
        <w:gridCol w:w="567"/>
        <w:gridCol w:w="196"/>
        <w:gridCol w:w="646"/>
        <w:gridCol w:w="109"/>
        <w:gridCol w:w="196"/>
        <w:gridCol w:w="646"/>
        <w:gridCol w:w="109"/>
        <w:gridCol w:w="196"/>
        <w:gridCol w:w="671"/>
        <w:gridCol w:w="109"/>
        <w:gridCol w:w="278"/>
        <w:gridCol w:w="278"/>
        <w:gridCol w:w="377"/>
        <w:gridCol w:w="109"/>
        <w:gridCol w:w="109"/>
        <w:gridCol w:w="109"/>
        <w:gridCol w:w="196"/>
        <w:gridCol w:w="661"/>
        <w:gridCol w:w="109"/>
        <w:gridCol w:w="196"/>
        <w:gridCol w:w="736"/>
        <w:gridCol w:w="109"/>
        <w:gridCol w:w="196"/>
        <w:gridCol w:w="671"/>
        <w:gridCol w:w="109"/>
        <w:gridCol w:w="277"/>
        <w:gridCol w:w="279"/>
        <w:gridCol w:w="427"/>
      </w:tblGrid>
      <w:tr>
        <w:trPr/>
        <w:tc>
          <w:tcPr>
            <w:tcW w:w="97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182,453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(79,470)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382,961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545,101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(162,140)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i/>
                <w:color w:val="000000"/>
                <w:sz w:val="18"/>
              </w:rPr>
              <w:t>(exclusive of depreciation and amortization shown separately below)</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175,840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265,819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389,359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551,935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270</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w:t>
            </w: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(8,038)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7,923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w:t>
            </w:r>
            <w:r>
              <w:rPr>
                <w:color w:val="000000"/>
              </w:rPr>
              <w:t> </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13,342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(18,864)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32,206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171</w:t>
            </w:r>
            <w:r>
              <w:rPr>
                <w:color w:val="000000"/>
              </w:rPr>
              <w:t> </w:t>
            </w:r>
          </w:p>
        </w:tc>
        <w:tc>
          <w:tcPr>
            <w:tcW w:w="4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in the second quarter and first six months of 2023 compared to the second quarter and first six months of 2022 due to decreases in our Home, Consumer, and Insurance segments.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$23.7 million, or 22%, in the second quarter of 2023 from the second quarter of 2022, and decreased $45.0 million, or 22%, in the first six months of 2023 from the first six months of 2022 primarily due to decreases in our personal loans, credit cards, and small business.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personal loans product decreased $14.2 million, or 33%, to $28.1 million in the second quarter of 2023 from $42.3 million in the second quarter of 2022, and decreased $25.8 million, or 33%, to $51.7 million in the first six months of 2023 from $77.5 million in the first six months of 2022 primarily due to a decrease in the number of consumers completing request forms.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credit cards product decreased $6.2 million, or 23%, to $21.1 million in the second quarter of 2023 from $27.3 million in the second quarter of 2022 primarily due to a decrease in the number of consumer clicks. Revenue from our credit cards product decreased $17.8 million, or 31%, to $39.4 million in the first six months of 2023 compared to $57.1 million in the first six months of 2022, primarily due to a decrease in the number of consumer clicks and in revenue earned per click.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periods presented, no other products in our Consumer segment represented more than 10% of revenue; however, certain other Consumer products experienced notable changes. Revenue from our small business loans product decreased $4.0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or 23%, in the second quarter of 2023 compared to the second quarter of 2022, primarily due to a decrease in revenue earned per consumer and a decrease in the number of consumers completing request forms. Revenue from our small business loans produced decreased $6.0 million, or 17%, in the first six months of 2023 compared to the first six months of 2022, primarily due to a decrease in the number of consumers completing request forms.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Home segment includes the following products: purchase mortgage, refinance mortgage, and home equity loans and lines of credit. We ceased offering reverse mortgage loans in the fourth quarter of 2022. Revenue from our Home segment decreased $32.4 million, or 44%, in the second quarter of 2023 from the second quarter of 2022, and decreased $90.6 million, or 52%, in the first six months of 2023 from the first six months of 2022 primarily due to decreases in revenue from our refinance and purchase mortgage products.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our mortgage products decreased $28.1 million, or 63%, to $16.2 million in the second quarter of 2023 from $44.4 million in the second quarter of 2022, and decreased $86.1 million, or 70%, to $36.2 million in the first six months of 2023 from $122.3 million in the first six months of 2022. Revenue from our refinance mortgage product decreased $19.9 million in the second quarter of 2023 compared to the second quarter of 2022 and decreased $68.1 million in the first six months of 2023 compared to the first six months of 2022 due to a decrease in the number of consumers completing request forms and a decrease in revenue earned per consumer, as interest rates have risen. Revenue from our purchase mortgage product decreased $8.2 million in the second quarter of 2023 compared to the second quarter of 2022, and decreased $18.1 million in the first six months of 2023 compared to the first six months of 2022 primarily due to a decrease in the number of consumers completing request forms and a decrease in revenue earned per consumer. Revenue from our home equity loans product decreased $3.0 million, or 11%, to $25.3 million in the second quarter of 2023 from $28.4 million in the second quarter of 2022, and decreased $2.5 million, or 5%, to $49.0 million in the first six months of 2023 from $51.5 million in the first six months of 2022.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Insurance segment decreased $23.4 million, or 29%, to $58.4 million in the second quarter of 2023 from $81.8 million in the second quarter of 2022, and decreased $26.3 million, or 16%, to $135.5 million in the first six months of 2023 from $161.8 million first six months of 2022 primarily due to a decrease in revenue earned per consumer.</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in the second quarter of 2023 from the second quarter of 2022, primarily due to a decrease in compensation and benefits of $4.0 million. Cost of revenue decreased in the first six months of 2023 from the first six months of 2022 primarily due to a decrease in compensation and benefits of $4.2 million and a decrease in website network hosting and server hosting fees of $1.8 million. The decreases in the second quarter and first six months are primarily due to the Reduction Plan at the end of the first quarter of 2023, including shutting down the LendingTree customer call center.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as a percentage of revenue decreased to 5% in the second quarter of 2023 compared to 6% in the second quarter of 2022, and remained consisted at 6% in the first six months of 2023 and 2022. </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Selling and marketing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in the second quarter of 2023 compared to the second quarter 2022 by $68.5 million, and decreased $135.5 million in the first six months of 2023 compared to the first six months of 2022 primarily due to the changes in advertising and promotional expense discussed below. Additionally, compensation and benefits decreased $3.3 million in the second quarter of 2023 compared to the second quarter of 2022 and decreased $5.6 million in the first six months of 2023 compared to the first six months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expense is the largest component of selling and marketing expense, and is comprised of the following:</w:t>
      </w:r>
    </w:p>
    <w:tbl>
      <w:tblPr>
        <w:tblW w:w="10205" w:type="dxa"/>
        <w:jc w:val="left"/>
        <w:tblInd w:w="0" w:type="dxa"/>
        <w:tblLayout w:type="fixed"/>
        <w:tblCellMar>
          <w:top w:w="28" w:type="dxa"/>
          <w:left w:w="28" w:type="dxa"/>
          <w:bottom w:w="28" w:type="dxa"/>
          <w:right w:w="28" w:type="dxa"/>
        </w:tblCellMar>
      </w:tblPr>
      <w:tblGrid>
        <w:gridCol w:w="496"/>
        <w:gridCol w:w="435"/>
        <w:gridCol w:w="441"/>
        <w:gridCol w:w="211"/>
        <w:gridCol w:w="841"/>
        <w:gridCol w:w="109"/>
        <w:gridCol w:w="211"/>
        <w:gridCol w:w="841"/>
        <w:gridCol w:w="109"/>
        <w:gridCol w:w="211"/>
        <w:gridCol w:w="750"/>
        <w:gridCol w:w="109"/>
        <w:gridCol w:w="225"/>
        <w:gridCol w:w="225"/>
        <w:gridCol w:w="377"/>
        <w:gridCol w:w="109"/>
        <w:gridCol w:w="109"/>
        <w:gridCol w:w="109"/>
        <w:gridCol w:w="211"/>
        <w:gridCol w:w="841"/>
        <w:gridCol w:w="109"/>
        <w:gridCol w:w="211"/>
        <w:gridCol w:w="841"/>
        <w:gridCol w:w="109"/>
        <w:gridCol w:w="211"/>
        <w:gridCol w:w="855"/>
        <w:gridCol w:w="109"/>
        <w:gridCol w:w="180"/>
        <w:gridCol w:w="180"/>
        <w:gridCol w:w="430"/>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Broadcast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advertising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105,958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171,152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(65,194)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230,357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360,228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(129,871)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w:t>
            </w:r>
          </w:p>
        </w:tc>
        <w:tc>
          <w:tcPr>
            <w:tcW w:w="4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the periods presented, advertising and promotional expenses are equivalent to the non-GAAP measure variable marketing expense.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Variable Marketing Expense and Variable Marketing Margin below for additional information.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adjusted our advertising expenditures in the second quarter and first six months of 2023 compared to the second quarter and first six months of 2022 in response to changes in Network Partner demand on our marketplace. We will continue to adjust selling and marketing expenditures dynamically in response to anticipated revenue opportunities.</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decreased in the second quarter of 2023 from the second quarter of 2022 primarily due to a decrease in compensation and benefits of $5.9 million, a decrease in loss on assets of $2.9 million, and a decrease in facilities expense of $0.9 million. General and administrative expense decreased in the first six months of 2023 from the first six months of 2022 primarily due to a decrease in compensation and benefits of $7.6 million, a decrease in facilities expenses of $1.6 million, a decrease in franchise tax expense of $1.5 million, partially offset by an increase in loss on assets of $1.7 million. We incurred a $4.2 million loss on the impairment of assets for our Ovation business in the first quarter of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as a percentage of revenue increased to 16% in the second quarter of 2023 compared to 15% in the second quarter of 2022, and increased to 17% in the first six months of 2023 compared to 14% in the first six months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Product development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decreased in the second quarter and first six months of 2023 compared to the second quarter and first six months of 2022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Amortization of intangibles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amortization of intangibles in the second quarter and first six months of 2023 compared to the second quarter and first six months of 2022 was primarily due to certain intangible assets associated with our recent business acquisitions becoming fully amortized.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Restructuring and severance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committed to the Reduction Plan to reduce operating costs, which included the elimination of approximately 13% of the Company’s workforce. As a result of the Reduction Plan, we estimate that we will incur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restructuring expense of $4.3 million in the first quarter of 2023 and an additional $1.0 million of restructuring expense in the second quarter of 2023 related to the Reduction Plan. We anticipate that the execution of the Reduction Plan, including cash payments, will be completed by the end of the second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made the decision to close the Ovation credit services business by mid-2023. We incurred $2.1 million of restructuring expense related to the Ovation closure in the second quarter of 2023 in connection with cash expenditures for employee separation costs. We anticipate the cash payments for separation costs will be completed by the second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2022, we completed a workforce reduction of approximately 75 employees and in the second quarter of 2022 completed a workforce reduction of approximately 25 employees. We incurred total expense of $3.8 million in the first six months of 2022 related to these actions, consisting of employee separation costs of $2.7 million and non-cash compensation expense of $1.1 million due to the accelerated vesting of certain equity awards. </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income/expense</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the first quarter of 2023, we repurchased approximately $190.6 million in principal amount of our 0.50% Convertible Senior Notes due July 15, 2025 (the "2025 Notes")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income/expense, net in the consolidated statements of operations and comprehensive income.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13—Debt for additional information.</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second quarter and first six months of 2023 and 2022, other income primarily consisted of dividend income.</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and first six months of 2023, the effective tax rate varied from the federal statutory rate of 21% primarily due to the change in the valuation allowance, net of the current period change in tax effected net indefinite-lived intangibles.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and first six months of 2022, the effective tax rate varied from the federal statutory rate of 21% primarily due to excess tax expense of $0.4 million and $2.9 million, respectively, resulting from vesting of restricted stock in accordance with Accounting Standards Update 2016-09 and the effect of state taxes. </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Segment Profit</w:t>
      </w:r>
    </w:p>
    <w:tbl>
      <w:tblPr>
        <w:tblW w:w="10063" w:type="dxa"/>
        <w:jc w:val="left"/>
        <w:tblInd w:w="0" w:type="dxa"/>
        <w:tblLayout w:type="fixed"/>
        <w:tblCellMar>
          <w:top w:w="28" w:type="dxa"/>
          <w:left w:w="28" w:type="dxa"/>
          <w:bottom w:w="28" w:type="dxa"/>
          <w:right w:w="28" w:type="dxa"/>
        </w:tblCellMar>
      </w:tblPr>
      <w:tblGrid>
        <w:gridCol w:w="492"/>
        <w:gridCol w:w="433"/>
        <w:gridCol w:w="440"/>
        <w:gridCol w:w="211"/>
        <w:gridCol w:w="736"/>
        <w:gridCol w:w="109"/>
        <w:gridCol w:w="211"/>
        <w:gridCol w:w="736"/>
        <w:gridCol w:w="109"/>
        <w:gridCol w:w="211"/>
        <w:gridCol w:w="796"/>
        <w:gridCol w:w="109"/>
        <w:gridCol w:w="203"/>
        <w:gridCol w:w="203"/>
        <w:gridCol w:w="377"/>
        <w:gridCol w:w="109"/>
        <w:gridCol w:w="109"/>
        <w:gridCol w:w="109"/>
        <w:gridCol w:w="211"/>
        <w:gridCol w:w="841"/>
        <w:gridCol w:w="109"/>
        <w:gridCol w:w="211"/>
        <w:gridCol w:w="841"/>
        <w:gridCol w:w="109"/>
        <w:gridCol w:w="211"/>
        <w:gridCol w:w="796"/>
        <w:gridCol w:w="109"/>
        <w:gridCol w:w="248"/>
        <w:gridCol w:w="248"/>
        <w:gridCol w:w="426"/>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profit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78,509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93,765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(15,256)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w:t>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158,466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193,229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(34,763)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w:t>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profit is our primary segment operating metric. Segment profit is calculated as segment revenue less segment selling and marketing expenses attributed to variable costs paid for advertising, direct marketing and related expenses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directly attributable to the segments' products.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16—Segment Information in the notes to the consolidated financial statements for additional information on segments and a reconciliation of segment profit to pre-tax income.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Home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Home segment revenue of $41.6 million in the second quarter of 2023 decreased 44% from the second quarter of 2022 and segment profit of $13.3 million in the second quarter of 2023 decreased 50% from the second quarter of 2022. The Home segment margin of 32% in the second quarter of 2023 decreased from 36% in the second quarter of 2022, as lower close rates realized by our Network Partners has negatively impacted revenue per consumer. Our home equity business again produced the majority of the Home segment's revenue, declining 11% in the second quarter of 2023 from the second quarter of 2022. Consumer demand to borrow against a near record level of equity in their homes remains strong, and we expect this channel will continue to generate the majority of segment revenue going forward.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Consumer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segment revenue of $82.5 million in the second quarter of 2023 was down 22% from the second quarter of 2022, while segment profit of $40.7 million was down a more modest 9% as segment margin improved to 49% in the second quarter of 2023 compared to 42% in the second quarter of 2022.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Personal loans revenue of $28.1 million in the second quarter of 2023 decreased 33% from the second quarter of 2022 as close rates again declined from the prior quarter, most notably in prime and mid-prime segments. Although partner appetite to extend credit appears to have stabilized since multiple regional banks failed in March 2023, capital market headwinds and the outlook for additional increases in short-term rates by the Federal Reserve mean a return to year over year revenue growth is unlikely to occur this year.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Small business revenue decreased 23% in the second quarter of 2022 from the second quarter of 2023. Ongoing tightening of credit by our lender partners again negatively impacted conversion rates, most notably for lower credit quality borrowers. Close rates have now declined steadily for four consecutive quarters. The average loan size has also declined across borrower credit spectrum, which directly impacts revenue we earn on funded loans. We have focused on optimizing our marketing mix to target higher credit quality borrowers as well as bringing on new lender partners to improve close rates.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card revenue of $21.1 million in the second quarter of 2023 decreased 23% from the second quarter of 2022. During the second quarter of 2023 we continued to migrate traffic to our LendingTree website from our CompareCards domain. The results have been positive, with notably improved consumer engagement and higher approval rates observed. The implementation of LightSpeed, our new credit card tech platform, has performed as expected, greatly improving page load speeds and redirect rates. These improvements in consumer experience represent the beginning of our approach to recapture market share in this large and important vertical.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Revenue of $58.4 million in the second quarter of 2023 decreased 29% from the second quarter of 2022, however, segment profit of $24.8 million in the second quarter of 2023 increased 10% from the second quarter of 2022. As expected, carriers reduced advertising budgets in the quarter due to worse than expected loss rates on personal auto policies. Continued operating efficiency gains generated a 42% segment margin compared to a 28% segment margin in the second quarter of 2022</w:t>
      </w:r>
      <w:r>
        <w:rPr>
          <w:rFonts w:ascii="Calibri;sans-serif" w:hAnsi="Calibri;sans-serif"/>
          <w:b w:val="false"/>
          <w:color w:val="000000"/>
          <w:sz w:val="22"/>
        </w:rPr>
        <w:t>.</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Variable Marketing Expense and Variable Marketing Margin</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shows the calculation of variable marketing margin:</w:t>
      </w:r>
    </w:p>
    <w:tbl>
      <w:tblPr>
        <w:tblW w:w="8114" w:type="dxa"/>
        <w:jc w:val="left"/>
        <w:tblInd w:w="0" w:type="dxa"/>
        <w:tblLayout w:type="fixed"/>
        <w:tblCellMar>
          <w:top w:w="28" w:type="dxa"/>
          <w:left w:w="28" w:type="dxa"/>
          <w:bottom w:w="28" w:type="dxa"/>
          <w:right w:w="28" w:type="dxa"/>
        </w:tblCellMar>
      </w:tblPr>
      <w:tblGrid>
        <w:gridCol w:w="892"/>
        <w:gridCol w:w="787"/>
        <w:gridCol w:w="795"/>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4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76,495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90,771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152,604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184,873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selling and marketing expense, the most directly comparable GAAP measure, to variable marketing expense:</w:t>
      </w:r>
    </w:p>
    <w:tbl>
      <w:tblPr>
        <w:tblW w:w="9374" w:type="dxa"/>
        <w:jc w:val="left"/>
        <w:tblInd w:w="0" w:type="dxa"/>
        <w:tblLayout w:type="fixed"/>
        <w:tblCellMar>
          <w:top w:w="28" w:type="dxa"/>
          <w:left w:w="28" w:type="dxa"/>
          <w:bottom w:w="28" w:type="dxa"/>
          <w:right w:w="28" w:type="dxa"/>
        </w:tblCellMar>
      </w:tblPr>
      <w:tblGrid>
        <w:gridCol w:w="1339"/>
        <w:gridCol w:w="1178"/>
        <w:gridCol w:w="118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Non-variable 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105,958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171,152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230,357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360,228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income, the most directly comparable GAAP measure, to variable marketing margin:</w:t>
      </w:r>
    </w:p>
    <w:tbl>
      <w:tblPr>
        <w:tblW w:w="9814" w:type="dxa"/>
        <w:jc w:val="left"/>
        <w:tblInd w:w="0" w:type="dxa"/>
        <w:tblLayout w:type="fixed"/>
        <w:tblCellMar>
          <w:top w:w="28" w:type="dxa"/>
          <w:left w:w="28" w:type="dxa"/>
          <w:bottom w:w="28" w:type="dxa"/>
          <w:right w:w="28" w:type="dxa"/>
        </w:tblCellMar>
      </w:tblPr>
      <w:tblGrid>
        <w:gridCol w:w="1664"/>
        <w:gridCol w:w="1467"/>
        <w:gridCol w:w="1473"/>
        <w:gridCol w:w="285"/>
        <w:gridCol w:w="337"/>
        <w:gridCol w:w="339"/>
        <w:gridCol w:w="147"/>
        <w:gridCol w:w="147"/>
        <w:gridCol w:w="147"/>
        <w:gridCol w:w="285"/>
        <w:gridCol w:w="344"/>
        <w:gridCol w:w="346"/>
        <w:gridCol w:w="109"/>
        <w:gridCol w:w="109"/>
        <w:gridCol w:w="109"/>
        <w:gridCol w:w="249"/>
        <w:gridCol w:w="390"/>
        <w:gridCol w:w="391"/>
        <w:gridCol w:w="129"/>
        <w:gridCol w:w="129"/>
        <w:gridCol w:w="129"/>
        <w:gridCol w:w="249"/>
        <w:gridCol w:w="347"/>
        <w:gridCol w:w="493"/>
      </w:tblGrid>
      <w:tr>
        <w:trPr/>
        <w:tc>
          <w:tcPr>
            <w:tcW w:w="16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13,342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(18,864)</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variable marketing margin: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30,135</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Non-variable selling and marketing expense </w:t>
            </w:r>
            <w:r>
              <w:rPr>
                <w:rFonts w:ascii="Times New Roman;sans-serif" w:hAnsi="Times New Roman;sans-serif"/>
                <w:b w:val="false"/>
                <w:color w:val="000000"/>
                <w:sz w:val="13"/>
              </w:rPr>
              <w:t>(1)</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76,268</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r>
      <w:tr>
        <w:trPr/>
        <w:tc>
          <w:tcPr>
            <w:tcW w:w="46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76,495</w:t>
            </w:r>
          </w:p>
        </w:tc>
        <w:tc>
          <w:tcPr>
            <w:tcW w:w="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90,771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152,604</w:t>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184,873</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9780"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Adjusted EBITDA</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One-Time Items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adjusted for one-time items, if applicable. Items are considered one-time in nature if they are non-recurring, infrequent, or unusual and have not occurred in the past two years or are not expected to recur in the next two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 rules. For the periods presented below, one-time items consisted of the franchise tax caused by the equity investment gain in Stash Financial, Inc..</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Non-Cash Expenses that are Excluded from Adjusted EBITDA</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net (loss) income, the most directly comparable GAAP measure, to Adjusted EBITDA.</w:t>
      </w:r>
    </w:p>
    <w:tbl>
      <w:tblPr>
        <w:tblW w:w="9284" w:type="dxa"/>
        <w:jc w:val="left"/>
        <w:tblInd w:w="0" w:type="dxa"/>
        <w:tblLayout w:type="fixed"/>
        <w:tblCellMar>
          <w:top w:w="28" w:type="dxa"/>
          <w:left w:w="28" w:type="dxa"/>
          <w:bottom w:w="28" w:type="dxa"/>
          <w:right w:w="28" w:type="dxa"/>
        </w:tblCellMar>
      </w:tblPr>
      <w:tblGrid>
        <w:gridCol w:w="1437"/>
        <w:gridCol w:w="1266"/>
        <w:gridCol w:w="1271"/>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9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Adjusted EBITDA:</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 and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tax caused by equity investment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26,673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28,594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41,193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57,961</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Position, Liquidity and Capital Resources</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$162.6 million of cash and cash equivalents, compared to $298.8 million of cash and cash equivalents as of December 31, 2022.</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On March 8, 2023, we repurchased approximately $190.6 million in principal amount of our 2025 Notes, through separate transactions with certain holders of the 2025 Notes, for $156.3 million plus accrued and unpaid interest of approximately $0.1 million. In the first quarter of 2023, we recognized a gain on the extinguishment of $34.3 million, a loss on the write-off of unamortized debt issuance costs of $2.4 million and incurred debt repayment costs of $1.0 million, all of which are included in interest income/expense, net in the consolidated statement of operations and comprehensive income.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13—Debt for additional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cash and cash equivalents and cash flows from operations to be sufficient to fund our operating needs for the next twelve months and beyond. Our credit facility described below is an additional potential source of liquidity.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 to monitor the impact of the current economic conditions, including interest rates, inflation, and ongoing COVID-19 pandemic on our liquidity and capital resources. </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2022 Notes, including interest. The remaining proceeds of $79.8 million may be used for general corporate purposes and any other purposes not prohibited by the Credit Agreement.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13—Debt for additional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27, 2023, we have outstanding $247.5 million under the Term Loan Facility, a $0.2 million letter of credit under the Revolving Facility and the remaining borrowing capacity under the Revolving Facility is $199.8 million. We have $101.1 million available for borrowing under the Revolving Facility as of July 27, 2023.</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are as follows:</w:t>
      </w:r>
    </w:p>
    <w:tbl>
      <w:tblPr>
        <w:tblW w:w="6668" w:type="dxa"/>
        <w:jc w:val="left"/>
        <w:tblInd w:w="0" w:type="dxa"/>
        <w:tblLayout w:type="fixed"/>
        <w:tblCellMar>
          <w:top w:w="28" w:type="dxa"/>
          <w:left w:w="28" w:type="dxa"/>
          <w:bottom w:w="28" w:type="dxa"/>
          <w:right w:w="28" w:type="dxa"/>
        </w:tblCellMar>
      </w:tblPr>
      <w:tblGrid>
        <w:gridCol w:w="1525"/>
        <w:gridCol w:w="1343"/>
        <w:gridCol w:w="1346"/>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(159,665)</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34,584 </w:t>
            </w:r>
          </w:p>
        </w:tc>
        <w:tc>
          <w:tcPr>
            <w:tcW w:w="154"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in the first six months of 2023 from the first six months of 2022 primarily due to favorable changes in accounts receivable and prepaid and other current assets.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first six months of 2023 of $4.9 million consisted of capital expenditures primarily related to internally developed software.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first six months of 2022 of $22.8 million consisted of the purchase of a $16.4 million equity interest in EarnUp and another small investment, as well as capital expenditures of $6.3 million primarily related to internally-developed software.</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 the first six months of 2023 of $159.7 million consisted primarily of the repurchase of our Convertible Senior Notes for $156.3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the first six months of 2022 of $34.6 million consisted primarily of $250.0 million in proceeds from the term loan and the repayment of $169.7 million to settle our 2022 Notes discussed in the “Credit Facility” section above, $43.0 million for the repurchase of our stock, and $2.7 million in withholding taxes paid upon surrender of shares to satisfy obligations on equity awards, net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For information regarding new accounting pronouncements,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w:t>
      </w:r>
      <w:r>
        <w:rPr>
          <w:color w:val="000000"/>
        </w:rPr>
        <w:t>—</w:t>
      </w:r>
      <w:r>
        <w:rPr>
          <w:rFonts w:ascii="Times New Roman;sans-serif" w:hAnsi="Times New Roman;sans-serif"/>
          <w:b w:val="false"/>
          <w:color w:val="000000"/>
          <w:sz w:val="20"/>
        </w:rPr>
        <w:t xml:space="preserve">Significant Accounting Policies, in Part I, Item 1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 xml:space="preserve">Quantitative and Qualitative Disclosures about Market Risk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July 27, 2023, the Company had $247.5 million outstanding on its Term Loan Facility, and there were no outstanding borrowings under its Revolving Facility.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w:t>
      </w:r>
      <w:r>
        <w:rPr>
          <w:rFonts w:ascii="Times New Roman;sans-serif" w:hAnsi="Times New Roman;sans-serif"/>
          <w:b w:val="false"/>
          <w:color w:val="000000"/>
          <w:sz w:val="20"/>
          <w:shd w:fill="FFFFFF" w:val="clear"/>
        </w:rPr>
        <w:t>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w:t>
      </w:r>
      <w:r>
        <w:rPr>
          <w:color w:val="000000"/>
        </w:rPr>
        <w:t xml:space="preserve"> </w:t>
      </w:r>
      <w:r>
        <w:rPr>
          <w:rFonts w:ascii="Times New Roman;sans-serif" w:hAnsi="Times New Roman;sans-serif"/>
          <w:b w:val="false"/>
          <w:color w:val="000000"/>
          <w:sz w:val="20"/>
        </w:rPr>
        <w:t xml:space="preserve">Based upon that evaluation, our Chief Executive Officer and Chief Financial Officer concluded that our disclosure controls and procedures are effective, as of June 30, 2023,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the quarter ended June 30, 2023 that has materially affected, or is reasonably likely to materially affect, our internal controls over financial reporting.</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sans-serif" w:hAnsi="Times New Roman;sans-serif"/>
          <w:b w:val="false"/>
          <w:i/>
          <w:color w:val="000000"/>
          <w:sz w:val="20"/>
        </w:rPr>
        <w:t xml:space="preserve">Legal Proceedings </w:t>
      </w:r>
      <w:r>
        <w:rPr>
          <w:rFonts w:ascii="Times New Roman;sans-serif" w:hAnsi="Times New Roman;sans-serif"/>
          <w:b w:val="false"/>
          <w:color w:val="000000"/>
          <w:sz w:val="20"/>
        </w:rPr>
        <w:t>of our 2022 Annual Report and updated that information in Note 14—Contingencies to the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Risk factors that affect our business and financial results are discussed in Part 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our 2022 Annual Report. There have been no material changes to the risk factors included in our 2022 Annual Report.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You should carefully consider the risks described in our 2022 Annual Report, which could materially affect our business, financial condition or</w:t>
      </w:r>
      <w:r>
        <w:rPr>
          <w:color w:val="000000"/>
          <w:shd w:fill="FFFFFF" w:val="clear"/>
        </w:rPr>
        <w:t xml:space="preserve"> </w:t>
      </w:r>
      <w:r>
        <w:rPr>
          <w:rFonts w:ascii="Times New Roman;sans-serif" w:hAnsi="Times New Roman;sans-serif"/>
          <w:b w:val="false"/>
          <w:color w:val="000000"/>
          <w:sz w:val="20"/>
          <w:shd w:fill="FFFFFF" w:val="clear"/>
        </w:rPr>
        <w:t>future results. The risks described in our 2022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2023, no shares of common stock were repurchased under the stock repurchase program. As of </w:t>
      </w:r>
      <w:r>
        <w:rPr>
          <w:rFonts w:ascii="Times New Roman;sans-serif" w:hAnsi="Times New Roman;sans-serif"/>
          <w:b w:val="false"/>
          <w:color w:val="000000"/>
          <w:sz w:val="19"/>
        </w:rPr>
        <w:t>July 24, 2023</w:t>
      </w:r>
      <w:r>
        <w:rPr>
          <w:rFonts w:ascii="Times New Roman;sans-serif" w:hAnsi="Times New Roman;sans-serif"/>
          <w:b w:val="false"/>
          <w:color w:val="000000"/>
          <w:sz w:val="20"/>
        </w:rPr>
        <w:t>, approximately $96.7 million remains authorized for share repurchase.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LendingTree Seventh Amended and Restated 2008 Stock Plan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2023, 5,644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Company's purchases of equity securities during the quarter ended June 30, 2023.</w:t>
      </w:r>
    </w:p>
    <w:tbl>
      <w:tblPr>
        <w:tblW w:w="9290" w:type="dxa"/>
        <w:jc w:val="left"/>
        <w:tblInd w:w="0" w:type="dxa"/>
        <w:tblLayout w:type="fixed"/>
        <w:tblCellMar>
          <w:top w:w="28" w:type="dxa"/>
          <w:left w:w="28" w:type="dxa"/>
          <w:bottom w:w="28" w:type="dxa"/>
          <w:right w:w="28" w:type="dxa"/>
        </w:tblCellMar>
      </w:tblPr>
      <w:tblGrid>
        <w:gridCol w:w="677"/>
        <w:gridCol w:w="596"/>
        <w:gridCol w:w="602"/>
        <w:gridCol w:w="109"/>
        <w:gridCol w:w="109"/>
        <w:gridCol w:w="109"/>
        <w:gridCol w:w="514"/>
        <w:gridCol w:w="514"/>
        <w:gridCol w:w="516"/>
        <w:gridCol w:w="109"/>
        <w:gridCol w:w="109"/>
        <w:gridCol w:w="109"/>
        <w:gridCol w:w="263"/>
        <w:gridCol w:w="786"/>
        <w:gridCol w:w="137"/>
        <w:gridCol w:w="109"/>
        <w:gridCol w:w="109"/>
        <w:gridCol w:w="109"/>
        <w:gridCol w:w="525"/>
        <w:gridCol w:w="525"/>
        <w:gridCol w:w="526"/>
        <w:gridCol w:w="109"/>
        <w:gridCol w:w="109"/>
        <w:gridCol w:w="109"/>
        <w:gridCol w:w="345"/>
        <w:gridCol w:w="1203"/>
        <w:gridCol w:w="253"/>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pPr>
            <w:r>
              <w:rPr>
                <w:rFonts w:ascii="Times New Roman;sans-serif" w:hAnsi="Times New Roman;sans-serif"/>
                <w:b/>
                <w:color w:val="000000"/>
                <w:sz w:val="16"/>
              </w:rPr>
              <w:t xml:space="preserve">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0" w:after="0"/>
              <w:jc w:val="center"/>
              <w:rPr/>
            </w:pPr>
            <w:r>
              <w:rPr>
                <w:rFonts w:ascii="Times New Roman;sans-serif" w:hAnsi="Times New Roman;sans-serif"/>
                <w:b/>
                <w:color w:val="000000"/>
                <w:sz w:val="16"/>
              </w:rPr>
              <w:t xml:space="preserve">Programs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br/>
              <w:t>Dollar Value of Shares</w:t>
              <w:br/>
              <w:t>that May Yet Be</w:t>
              <w:br/>
              <w:t>Purchased Under the</w:t>
              <w:br/>
              <w:t>Plans or Programs</w:t>
            </w:r>
          </w:p>
        </w:tc>
      </w:tr>
      <w:tr>
        <w:trPr/>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4/1/2023 - 4/30/2023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5/1/2023 - 5/31/2023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6/1/2023 - 6/30/2023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5,644</w:t>
            </w:r>
            <w:r>
              <w:rPr>
                <w:color w:val="000000"/>
              </w:rPr>
              <w:t> </w:t>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21.49</w:t>
            </w:r>
            <w:r>
              <w:rPr>
                <w:color w:val="000000"/>
              </w:rPr>
              <w:t>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96,655</w:t>
            </w:r>
            <w:r>
              <w:rPr>
                <w:color w:val="000000"/>
              </w:rPr>
              <w:t>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(1)During April 2023, May 2023 and June 2023, 573 shares, 861 shares and 4,210 shares, respectively (totaling 5,644 shares), were purchased to satisfy federal and state withholding obligations of our employees upon the settlement of restricted stock units, all in accordance with our Seventh Amended and Restated 2008 Stock Plan, as described above.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(2)See the narrative disclosure above the table for further description of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2023, the Company’s directors adopted the LendingTree, Inc. 2023 Inducement Grant Plan (the “Inducement Plan”) and, subject to the adjustment provisions of the Inducement Plan, reserved 100,000 shares of the Company’s common stock for issuance pursuant to equity awards to be granted under the Inducement Plan.</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Inducement Plan was adopted without stockholder approval pursuant to Rule 5635(c)(4) of the Nasdaq Listing Rules. The Inducement Plan provides for the grant of stock options, stock appreciation rights, restricted stock units, and other types of equity-based incentive compensation. The terms and conditions of the Inducement Plan are substantially similar to the Company’s 2023 Stock Plan (as was described in our proxy statement for the 2023 annual stockholder meeting), but with such other terms and conditions intended to comply with the Nasdaq inducement award rules and which are generally not applicable to inducement plans (e.g., no statutory incentive stock options could be granted under the Inducement Plan and only non-qualified options may be granted). On July 26, 2023, the Board also adopted forms of award agreements for use with the Inducement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 5635(c)(4) of the Nasdaq Listing Rules, the only persons eligible to receive grants of equity awards under the Inducement Plan are individuals who were not previously an employee or director of the Company, or following a bona fide period of non-employment, as an inducement material to such persons entering into employment with the 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description of the Inducement Plan and the award agreements thereunder is not complete and is qualified in its entirety by reference to the text of the Inducement Plan and its forms of award agreements, complete copies of which are filed herewith as Exhibits 10.1, 10.2, and 10.3, respectively, and are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6"/>
        <w:gridCol w:w="259"/>
        <w:gridCol w:w="218"/>
        <w:gridCol w:w="109"/>
        <w:gridCol w:w="109"/>
        <w:gridCol w:w="109"/>
        <w:gridCol w:w="2038"/>
        <w:gridCol w:w="1923"/>
        <w:gridCol w:w="1942"/>
        <w:gridCol w:w="109"/>
        <w:gridCol w:w="109"/>
        <w:gridCol w:w="109"/>
        <w:gridCol w:w="838"/>
        <w:gridCol w:w="838"/>
        <w:gridCol w:w="1199"/>
      </w:tblGrid>
      <w:tr>
        <w:trPr/>
        <w:tc>
          <w:tcPr>
            <w:tcW w:w="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Certificate of Incorporation of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August 25, 2008</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Fourth Amended and Restated By-laws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November 15, 2017</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101.htm">
              <w:r>
                <w:rPr>
                  <w:rStyle w:val="InternetLink"/>
                  <w:rFonts w:ascii="Times New Roman;sans-serif" w:hAnsi="Times New Roman;sans-serif"/>
                  <w:b w:val="false"/>
                  <w:color w:val="0000FF"/>
                  <w:sz w:val="20"/>
                  <w:u w:val="single"/>
                </w:rPr>
                <w:t>LendingTree, Inc. 2023 Inducement Grant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102.htm">
              <w:r>
                <w:rPr>
                  <w:rStyle w:val="InternetLink"/>
                  <w:rFonts w:ascii="Times New Roman;sans-serif" w:hAnsi="Times New Roman;sans-serif"/>
                  <w:b w:val="false"/>
                  <w:color w:val="0000FF"/>
                  <w:sz w:val="20"/>
                  <w:u w:val="single"/>
                </w:rPr>
                <w:t>Notice of Stock Option Award Granted Under the LendingTree, Inc. 2023 Inducement Grant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103.htm">
              <w:r>
                <w:rPr>
                  <w:rStyle w:val="InternetLink"/>
                  <w:rFonts w:ascii="Times New Roman;sans-serif" w:hAnsi="Times New Roman;sans-serif"/>
                  <w:b w:val="false"/>
                  <w:color w:val="0000FF"/>
                  <w:sz w:val="20"/>
                  <w:u w:val="single"/>
                </w:rPr>
                <w:t>Notice of Restricted Stock Unit Award Granted Under the LendingTree, Inc. 2023 Inducement Grant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311.htm">
              <w:r>
                <w:rPr>
                  <w:rStyle w:val="InternetLink"/>
                  <w:rFonts w:ascii="Times New Roman;sans-serif" w:hAnsi="Times New Roman;sans-serif"/>
                  <w:b w:val="false"/>
                  <w:color w:val="0000FF"/>
                  <w:sz w:val="20"/>
                  <w:u w:val="single"/>
                </w:rPr>
                <w:t>Certification of the Chief Executive Officer pursuant to Rule 13a-14(a) or Rule 15d-14(a) of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312.htm">
              <w:r>
                <w:rPr>
                  <w:rStyle w:val="InternetLink"/>
                  <w:rFonts w:ascii="Times New Roman;sans-serif" w:hAnsi="Times New Roman;sans-serif"/>
                  <w:b w:val="false"/>
                  <w:color w:val="0000FF"/>
                  <w:sz w:val="20"/>
                  <w:u w:val="single"/>
                </w:rPr>
                <w:t>Certification of the Chief Financial Officer pursuant to Rule 13a-14(a) or Rule 15d-14(a) of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3630x10qex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XBRL Instance Document </w:t>
            </w:r>
            <w:r>
              <w:rPr>
                <w:color w:val="000000"/>
              </w:rPr>
              <w:t xml:space="preserve">— </w:t>
            </w: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Filed herewith.</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29bf98798204efa942921417f4fba0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27, 2023 </w:t>
      </w:r>
    </w:p>
    <w:p>
      <w:pPr>
        <w:pStyle w:val="TextBody"/>
        <w:bidi w:val="0"/>
        <w:spacing w:lineRule="auto" w:line="288" w:before="0" w:after="0"/>
        <w:jc w:val="left"/>
        <w:rPr>
          <w:color w:val="000000"/>
        </w:rPr>
      </w:pPr>
      <w:r>
        <w:rPr>
          <w:color w:val="000000"/>
        </w:rPr>
        <w:t> </w:t>
      </w:r>
    </w:p>
    <w:tbl>
      <w:tblPr>
        <w:tblW w:w="5949" w:type="dxa"/>
        <w:jc w:val="left"/>
        <w:tblInd w:w="0" w:type="dxa"/>
        <w:tblLayout w:type="fixed"/>
        <w:tblCellMar>
          <w:top w:w="28" w:type="dxa"/>
          <w:left w:w="28" w:type="dxa"/>
          <w:bottom w:w="28" w:type="dxa"/>
          <w:right w:w="28" w:type="dxa"/>
        </w:tblCellMar>
      </w:tblPr>
      <w:tblGrid>
        <w:gridCol w:w="124"/>
        <w:gridCol w:w="109"/>
        <w:gridCol w:w="109"/>
        <w:gridCol w:w="304"/>
        <w:gridCol w:w="304"/>
        <w:gridCol w:w="304"/>
        <w:gridCol w:w="1370"/>
        <w:gridCol w:w="1370"/>
        <w:gridCol w:w="19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160" w:after="283"/>
        <w:jc w:val="left"/>
        <w:rPr>
          <w:rFonts w:ascii="Arial;sans-serif" w:hAnsi="Arial;sans-serif"/>
          <w:b w:val="false"/>
          <w:color w:val="000000"/>
          <w:sz w:val="40"/>
        </w:rPr>
      </w:pPr>
      <w:r>
        <w:rPr>
          <w:rFonts w:ascii="Arial;sans-serif" w:hAnsi="Arial;sans-serif"/>
          <w:b w:val="false"/>
          <w:color w:val="000000"/>
          <w:sz w:val="40"/>
        </w:rPr>
        <w:t>LendingTree, Inc. 2023 Inducement Grant Plan</w:t>
      </w:r>
    </w:p>
    <w:p>
      <w:pPr>
        <w:pStyle w:val="TextBody"/>
        <w:bidi w:val="0"/>
        <w:spacing w:lineRule="auto" w:line="240" w:before="0" w:after="0"/>
        <w:jc w:val="left"/>
        <w:rPr>
          <w:color w:val="000000"/>
          <w:shd w:fill="FFFFFF" w:val="clear"/>
        </w:rPr>
      </w:pPr>
      <w:r>
        <w:rPr>
          <w:color w:val="000000"/>
          <w:shd w:fill="FFFFFF" w:val="clear"/>
        </w:rPr>
        <w:t> </w:t>
      </w:r>
    </w:p>
    <w:tbl>
      <w:tblPr>
        <w:tblW w:w="380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777"/>
        <w:gridCol w:w="777"/>
        <w:gridCol w:w="1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265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        Purpose; Definition</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Arial;sans-serif" w:hAnsi="Arial;sans-serif"/>
          <w:b w:val="false"/>
          <w:color w:val="000000"/>
          <w:sz w:val="20"/>
        </w:rPr>
        <w:t>This LendingTree, Inc. 2023 Inducement Grant Plan was approved by the Board on July 26, 2023 (the “</w:t>
      </w:r>
      <w:r>
        <w:rPr>
          <w:rFonts w:ascii="Arial;sans-serif" w:hAnsi="Arial;sans-serif"/>
          <w:b w:val="false"/>
          <w:i/>
          <w:color w:val="000000"/>
          <w:sz w:val="20"/>
        </w:rPr>
        <w:t>Effective Date</w:t>
      </w:r>
      <w:r>
        <w:rPr>
          <w:color w:val="000000"/>
        </w:rPr>
        <w:t>”</w:t>
      </w:r>
      <w:r>
        <w:rPr>
          <w:rFonts w:ascii="Arial;sans-serif" w:hAnsi="Arial;sans-serif"/>
          <w:b w:val="false"/>
          <w:color w:val="000000"/>
          <w:sz w:val="20"/>
        </w:rPr>
        <w:t xml:space="preserve">). The purpose of this Plan is to give the Company a competitive advantage in attracting, retaining and motivating new employees and to provide the Company and its Subsidiaries and Affiliates with a stock and incentive plan providing incentives directly linked to stockholder value. This Plan enables compliance with the inducement equity grant exception to stockholder approval of equity issuances under Nasdaq Stock Market Listing Rule 5635(c)(4) by providing equity compensation issuances to any prospective employee who was not previously an employee or director of the Company, or following a bona fide period of non-employment, as an inducement material to the individual entering into employment with the Company. </w:t>
      </w:r>
    </w:p>
    <w:p>
      <w:pPr>
        <w:pStyle w:val="TextBody"/>
        <w:bidi w:val="0"/>
        <w:spacing w:lineRule="auto" w:line="240"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Certain terms used herein have definitions given to them in the first place in which they are used. In addition, for purposes of this Plan, the following terms are defined as set forth below provided however that if a Participant’s Individual Agreement or Award Agreement expressly includes defined terms that expressly are different from and/or conflict with the defined terms contained in this Plan then the defined terms contained in the Individual Agreement or Award Agreement shall govern and shall supersede the definitions provided in this Plan: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Affiliate</w:t>
      </w:r>
      <w:r>
        <w:rPr>
          <w:color w:val="000000"/>
        </w:rPr>
        <w:t xml:space="preserve">” </w:t>
      </w:r>
      <w:r>
        <w:rPr>
          <w:rFonts w:ascii="Arial;sans-serif" w:hAnsi="Arial;sans-serif"/>
          <w:b w:val="false"/>
          <w:color w:val="000000"/>
          <w:sz w:val="20"/>
        </w:rPr>
        <w:t>means a corporation or other entity controlled by, controlling or under common control with, the Company.</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Applicable Exchange</w:t>
      </w:r>
      <w:r>
        <w:rPr>
          <w:color w:val="000000"/>
        </w:rPr>
        <w:t xml:space="preserve">” </w:t>
      </w:r>
      <w:r>
        <w:rPr>
          <w:rFonts w:ascii="Arial;sans-serif" w:hAnsi="Arial;sans-serif"/>
          <w:b w:val="false"/>
          <w:color w:val="000000"/>
          <w:sz w:val="20"/>
        </w:rPr>
        <w:t>means Nasdaq or such other securities exchange as may at the applicable time be the principal market for the Common Stock.</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Award</w:t>
      </w:r>
      <w:r>
        <w:rPr>
          <w:color w:val="000000"/>
        </w:rPr>
        <w:t xml:space="preserve">” </w:t>
      </w:r>
      <w:r>
        <w:rPr>
          <w:rFonts w:ascii="Arial;sans-serif" w:hAnsi="Arial;sans-serif"/>
          <w:b w:val="false"/>
          <w:color w:val="000000"/>
          <w:sz w:val="20"/>
        </w:rPr>
        <w:t>means an Option, Stock Appreciation Right, Restricted Stock, Restricted Stock Unit, or other stock based award granted or assumed pursuant to the terms of this Plan.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Award Agreement</w:t>
      </w:r>
      <w:r>
        <w:rPr>
          <w:color w:val="000000"/>
        </w:rPr>
        <w:t xml:space="preserve">” </w:t>
      </w:r>
      <w:r>
        <w:rPr>
          <w:rFonts w:ascii="Arial;sans-serif" w:hAnsi="Arial;sans-serif"/>
          <w:b w:val="false"/>
          <w:color w:val="000000"/>
          <w:sz w:val="20"/>
        </w:rPr>
        <w:t>means a written or electronic document or agreement setting forth the terms and conditions of a specific Award.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Beneficial Ownership</w:t>
      </w:r>
      <w:r>
        <w:rPr>
          <w:color w:val="000000"/>
        </w:rPr>
        <w:t xml:space="preserve">” </w:t>
      </w:r>
      <w:r>
        <w:rPr>
          <w:rFonts w:ascii="Arial;sans-serif" w:hAnsi="Arial;sans-serif"/>
          <w:b w:val="false"/>
          <w:color w:val="000000"/>
          <w:sz w:val="20"/>
        </w:rPr>
        <w:t>shall have the meaning given in Rule 13d-3 promulgated under the Exchange Act.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Board</w:t>
      </w:r>
      <w:r>
        <w:rPr>
          <w:color w:val="000000"/>
        </w:rPr>
        <w:t xml:space="preserve">” </w:t>
      </w:r>
      <w:r>
        <w:rPr>
          <w:rFonts w:ascii="Arial;sans-serif" w:hAnsi="Arial;sans-serif"/>
          <w:b w:val="false"/>
          <w:color w:val="000000"/>
          <w:sz w:val="20"/>
        </w:rPr>
        <w:t>means the Board of Directors of the Company.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Cause</w:t>
      </w:r>
      <w:r>
        <w:rPr>
          <w:color w:val="000000"/>
        </w:rPr>
        <w:t xml:space="preserve">” </w:t>
      </w:r>
      <w:r>
        <w:rPr>
          <w:rFonts w:ascii="Arial;sans-serif" w:hAnsi="Arial;sans-serif"/>
          <w:b w:val="false"/>
          <w:color w:val="000000"/>
          <w:sz w:val="20"/>
        </w:rPr>
        <w:t>means: (i) “Cause” as defined in any Individual Agreement to which the applicable Participant is a party, or (ii) if there is no such Individual Agreement or if it does not define Cause: (A) the willful misconduct or gross negligence by a Participant of his employment duties that is materially injurious to the Company or any of its Affiliates (financially, reputationally, or otherwise); (B) the commission by the Participant of, the plea of guilty or </w:t>
      </w:r>
      <w:r>
        <w:rPr>
          <w:rFonts w:ascii="Arial;sans-serif" w:hAnsi="Arial;sans-serif"/>
          <w:b w:val="false"/>
          <w:i/>
          <w:color w:val="000000"/>
          <w:sz w:val="20"/>
        </w:rPr>
        <w:t>nolo contendere</w:t>
      </w:r>
      <w:r>
        <w:rPr>
          <w:color w:val="000000"/>
        </w:rPr>
        <w:t> </w:t>
      </w:r>
      <w:r>
        <w:rPr>
          <w:rFonts w:ascii="Arial;sans-serif" w:hAnsi="Arial;sans-serif"/>
          <w:b w:val="false"/>
          <w:color w:val="000000"/>
          <w:sz w:val="20"/>
        </w:rPr>
        <w:t>to, or conviction for, any serious crime involving fraud, dishonesty or moral turpitude; (C) a material breach by a Participant of a fiduciary duty owed to the Company or any of its Affiliates; (D) a material breach by a Participant of any nondisclosure, non-solicitation or non-competition obligation owed to the Company or any of its Affiliates; (E) Participant’s material breach of Participant’s obligations under any written agreement with the Company or any of its Affiliates or material Company or Affiliate policy, including but not limited to a code of conduct; or (F) before a 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w:t>
      </w:r>
      <w:r>
        <w:rPr>
          <w:rFonts w:ascii="Arial;sans-serif" w:hAnsi="Arial;sans-serif"/>
          <w:b w:val="false"/>
          <w:i/>
          <w:color w:val="000000"/>
          <w:sz w:val="20"/>
        </w:rPr>
        <w:t>de novo</w:t>
      </w:r>
      <w:r>
        <w:rPr>
          <w:color w:val="000000"/>
        </w:rPr>
        <w:t> </w:t>
      </w:r>
      <w:r>
        <w:rPr>
          <w:rFonts w:ascii="Arial;sans-serif" w:hAnsi="Arial;sans-serif"/>
          <w:b w:val="false"/>
          <w:color w:val="000000"/>
          <w:sz w:val="20"/>
        </w:rPr>
        <w:t>review. The Board or Committee may in its discretion determine that a Participant’s employment with, or performance of services for, the Company and any of its Subsidiaries or Affiliates may be deemed to have been terminated for Cause if, after the Participant’s employment and/or service has terminated, facts and circumstances are discovered that would have justified a termination for Cause, including, without limitation, violation of material Company policies or breach of confidentiality or other restrictive covenants that may apply to the Participant.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(h)</w:t>
      </w:r>
      <w:r>
        <w:rPr>
          <w:color w:val="000000"/>
        </w:rPr>
        <w:t>“</w:t>
      </w:r>
      <w:r>
        <w:rPr>
          <w:rFonts w:ascii="Arial;sans-serif" w:hAnsi="Arial;sans-serif"/>
          <w:b w:val="false"/>
          <w:i/>
          <w:color w:val="000000"/>
          <w:sz w:val="20"/>
        </w:rPr>
        <w:t>Change in Control</w:t>
      </w:r>
      <w:r>
        <w:rPr>
          <w:color w:val="000000"/>
        </w:rPr>
        <w:t xml:space="preserve">” </w:t>
      </w:r>
      <w:r>
        <w:rPr>
          <w:rFonts w:ascii="Arial;sans-serif" w:hAnsi="Arial;sans-serif"/>
          <w:b w:val="false"/>
          <w:color w:val="000000"/>
          <w:sz w:val="20"/>
        </w:rPr>
        <w:t>has the meaning set forth in Section 9(b).</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Code</w:t>
      </w:r>
      <w:r>
        <w:rPr>
          <w:color w:val="000000"/>
        </w:rPr>
        <w:t xml:space="preserve">” </w:t>
      </w:r>
      <w:r>
        <w:rPr>
          <w:rFonts w:ascii="Arial;sans-serif" w:hAnsi="Arial;sans-serif"/>
          <w:b w:val="false"/>
          <w:color w:val="000000"/>
          <w:sz w:val="20"/>
        </w:rPr>
        <w:t>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(j)</w:t>
      </w:r>
      <w:r>
        <w:rPr>
          <w:color w:val="000000"/>
        </w:rPr>
        <w:t>“</w:t>
      </w:r>
      <w:r>
        <w:rPr>
          <w:rFonts w:ascii="Arial;sans-serif" w:hAnsi="Arial;sans-serif"/>
          <w:b w:val="false"/>
          <w:i/>
          <w:color w:val="000000"/>
          <w:sz w:val="20"/>
        </w:rPr>
        <w:t>Commission</w:t>
      </w:r>
      <w:r>
        <w:rPr>
          <w:color w:val="000000"/>
        </w:rPr>
        <w:t xml:space="preserve">” </w:t>
      </w:r>
      <w:r>
        <w:rPr>
          <w:rFonts w:ascii="Arial;sans-serif" w:hAnsi="Arial;sans-serif"/>
          <w:b w:val="false"/>
          <w:color w:val="000000"/>
          <w:sz w:val="20"/>
        </w:rPr>
        <w:t>means the Securities and Exchange Commission or any successor agency.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(k)</w:t>
      </w:r>
      <w:r>
        <w:rPr>
          <w:color w:val="000000"/>
        </w:rPr>
        <w:t>“</w:t>
      </w:r>
      <w:r>
        <w:rPr>
          <w:rFonts w:ascii="Arial;sans-serif" w:hAnsi="Arial;sans-serif"/>
          <w:b w:val="false"/>
          <w:i/>
          <w:color w:val="000000"/>
          <w:sz w:val="20"/>
        </w:rPr>
        <w:t>Committee</w:t>
      </w:r>
      <w:r>
        <w:rPr>
          <w:color w:val="000000"/>
        </w:rPr>
        <w:t xml:space="preserve">” </w:t>
      </w:r>
      <w:r>
        <w:rPr>
          <w:rFonts w:ascii="Arial;sans-serif" w:hAnsi="Arial;sans-serif"/>
          <w:b w:val="false"/>
          <w:color w:val="000000"/>
          <w:sz w:val="20"/>
        </w:rPr>
        <w:t>has the meaning set forth in Section 2(a).</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(l)</w:t>
      </w:r>
      <w:r>
        <w:rPr>
          <w:color w:val="000000"/>
        </w:rPr>
        <w:t>“</w:t>
      </w:r>
      <w:r>
        <w:rPr>
          <w:rFonts w:ascii="Arial;sans-serif" w:hAnsi="Arial;sans-serif"/>
          <w:b w:val="false"/>
          <w:i/>
          <w:color w:val="000000"/>
          <w:sz w:val="20"/>
        </w:rPr>
        <w:t>Common Stock</w:t>
      </w:r>
      <w:r>
        <w:rPr>
          <w:color w:val="000000"/>
        </w:rPr>
        <w:t xml:space="preserve">” </w:t>
      </w:r>
      <w:r>
        <w:rPr>
          <w:rFonts w:ascii="Arial;sans-serif" w:hAnsi="Arial;sans-serif"/>
          <w:b w:val="false"/>
          <w:color w:val="000000"/>
          <w:sz w:val="20"/>
        </w:rPr>
        <w:t>means common stock, par value $0.01 per share, of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00455"/>
                <wp:effectExtent l="0" t="0" r="0" b="0"/>
                <wp:wrapNone/>
                <wp:docPr id="44" name="Frame42"/>
                <a:graphic xmlns:a="http://schemas.openxmlformats.org/drawingml/2006/main">
                  <a:graphicData uri="http://schemas.microsoft.com/office/word/2010/wordprocessingShape">
                    <wps:wsp>
                      <wps:cNvSpPr txBox="1"/>
                      <wps:spPr>
                        <a:xfrm>
                          <a:off x="0" y="0"/>
                          <a:ext cx="6480175" cy="1100455"/>
                        </a:xfrm>
                        <a:prstGeom prst="rect"/>
                        <a:solidFill>
                          <a:srgbClr val="FFFFFF"/>
                        </a:solidFill>
                      </wps:spPr>
                      <wps:txbx>
                        <w:txbxContent>
                          <w:tbl>
                            <w:tblPr>
                              <w:tblW w:w="2726" w:type="dxa"/>
                              <w:jc w:val="left"/>
                              <w:tblInd w:w="0" w:type="dxa"/>
                              <w:tblLayout w:type="fixed"/>
                              <w:tblCellMar>
                                <w:top w:w="28" w:type="dxa"/>
                                <w:left w:w="28" w:type="dxa"/>
                                <w:bottom w:w="28" w:type="dxa"/>
                                <w:right w:w="28" w:type="dxa"/>
                              </w:tblCellMar>
                            </w:tblPr>
                            <w:tblGrid>
                              <w:gridCol w:w="717"/>
                              <w:gridCol w:w="628"/>
                              <w:gridCol w:w="634"/>
                              <w:gridCol w:w="125"/>
                              <w:gridCol w:w="125"/>
                              <w:gridCol w:w="125"/>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r>
                                    <w:br w:type="page"/>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SMRH:4869-9267-1851.6</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65pt;mso-wrap-distance-left:0pt;mso-wrap-distance-right:0pt;mso-wrap-distance-top:0pt;mso-wrap-distance-bottom:0pt;margin-top:0pt;mso-position-vertical:top;mso-position-vertical-relative:text;margin-left:0pt;mso-position-horizontal:left;mso-position-horizontal-relative:text">
                <v:textbox>
                  <w:txbxContent>
                    <w:tbl>
                      <w:tblPr>
                        <w:tblW w:w="2726" w:type="dxa"/>
                        <w:jc w:val="left"/>
                        <w:tblInd w:w="0" w:type="dxa"/>
                        <w:tblLayout w:type="fixed"/>
                        <w:tblCellMar>
                          <w:top w:w="28" w:type="dxa"/>
                          <w:left w:w="28" w:type="dxa"/>
                          <w:bottom w:w="28" w:type="dxa"/>
                          <w:right w:w="28" w:type="dxa"/>
                        </w:tblCellMar>
                      </w:tblPr>
                      <w:tblGrid>
                        <w:gridCol w:w="717"/>
                        <w:gridCol w:w="628"/>
                        <w:gridCol w:w="634"/>
                        <w:gridCol w:w="125"/>
                        <w:gridCol w:w="125"/>
                        <w:gridCol w:w="125"/>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SMRH:4869-9267-1851.6</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Arial;sans-serif" w:hAnsi="Arial;sans-serif"/>
          <w:b w:val="false"/>
          <w:color w:val="000000"/>
          <w:sz w:val="20"/>
        </w:rPr>
        <w:t>(m)</w:t>
      </w:r>
      <w:r>
        <w:rPr>
          <w:color w:val="000000"/>
        </w:rPr>
        <w:t>“</w:t>
      </w:r>
      <w:r>
        <w:rPr>
          <w:rFonts w:ascii="Arial;sans-serif" w:hAnsi="Arial;sans-serif"/>
          <w:b w:val="false"/>
          <w:i/>
          <w:color w:val="000000"/>
          <w:sz w:val="20"/>
        </w:rPr>
        <w:t>Company</w:t>
      </w:r>
      <w:r>
        <w:rPr>
          <w:color w:val="000000"/>
        </w:rPr>
        <w:t xml:space="preserve">” </w:t>
      </w:r>
      <w:r>
        <w:rPr>
          <w:rFonts w:ascii="Arial;sans-serif" w:hAnsi="Arial;sans-serif"/>
          <w:b w:val="false"/>
          <w:color w:val="000000"/>
          <w:sz w:val="20"/>
        </w:rPr>
        <w:t>means LendingTree, Inc., a Delaware corporation, or its successor.</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(n)</w:t>
      </w:r>
      <w:r>
        <w:rPr>
          <w:color w:val="000000"/>
        </w:rPr>
        <w:t>“</w:t>
      </w:r>
      <w:r>
        <w:rPr>
          <w:rFonts w:ascii="Arial;sans-serif" w:hAnsi="Arial;sans-serif"/>
          <w:b w:val="false"/>
          <w:i/>
          <w:color w:val="000000"/>
          <w:sz w:val="20"/>
        </w:rPr>
        <w:t>Covered Executive</w:t>
      </w:r>
      <w:r>
        <w:rPr>
          <w:color w:val="000000"/>
        </w:rPr>
        <w:t xml:space="preserve">” </w:t>
      </w:r>
      <w:r>
        <w:rPr>
          <w:rFonts w:ascii="Arial;sans-serif" w:hAnsi="Arial;sans-serif"/>
          <w:b w:val="false"/>
          <w:color w:val="000000"/>
          <w:sz w:val="20"/>
        </w:rPr>
        <w:t>means any current or former Executive Officer that has received Incentive Compensation during the Look-Back Period (as defined in Section 13(n)).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(o)</w:t>
      </w:r>
      <w:r>
        <w:rPr>
          <w:color w:val="000000"/>
        </w:rPr>
        <w:t>“</w:t>
      </w:r>
      <w:r>
        <w:rPr>
          <w:rFonts w:ascii="Arial;sans-serif" w:hAnsi="Arial;sans-serif"/>
          <w:b w:val="false"/>
          <w:i/>
          <w:color w:val="000000"/>
          <w:sz w:val="20"/>
        </w:rPr>
        <w:t>Disability</w:t>
      </w:r>
      <w:r>
        <w:rPr>
          <w:color w:val="000000"/>
        </w:rPr>
        <w:t xml:space="preserve">” </w:t>
      </w:r>
      <w:r>
        <w:rPr>
          <w:rFonts w:ascii="Arial;sans-serif" w:hAnsi="Arial;sans-serif"/>
          <w:b w:val="false"/>
          <w:color w:val="000000"/>
          <w:sz w:val="20"/>
        </w:rPr>
        <w:t>means (i) “Disability” as defined in any Individual Agreement to which the Participant is a party, or (ii) if there is no such Individual Agreement or it does not define “Disability,” (A) permanent and total disability as determined under the Company’s long-term disability plan applicable to the Participant, or (B) if there is no such plan applicable to the Participant or the Committee determines otherwise in an applicable Award Agreement, “Disability” as determined by the Committee.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or (ii) the Participant’s “separation from service” within the meaning of Section 409A of the Code and (iii) the date such Award would otherwise be settled pursuant to the terms of the Award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(p)</w:t>
      </w:r>
      <w:r>
        <w:rPr>
          <w:color w:val="000000"/>
        </w:rPr>
        <w:t>“</w:t>
      </w:r>
      <w:r>
        <w:rPr>
          <w:rFonts w:ascii="Arial;sans-serif" w:hAnsi="Arial;sans-serif"/>
          <w:b w:val="false"/>
          <w:i/>
          <w:color w:val="000000"/>
          <w:sz w:val="20"/>
        </w:rPr>
        <w:t>Disaffiliation</w:t>
      </w:r>
      <w:r>
        <w:rPr>
          <w:color w:val="000000"/>
        </w:rPr>
        <w:t xml:space="preserve">” </w:t>
      </w:r>
      <w:r>
        <w:rPr>
          <w:rFonts w:ascii="Arial;sans-serif" w:hAnsi="Arial;sans-serif"/>
          <w:b w:val="false"/>
          <w:color w:val="000000"/>
          <w:sz w:val="20"/>
        </w:rPr>
        <w:t>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(q)</w:t>
      </w:r>
      <w:r>
        <w:rPr>
          <w:color w:val="000000"/>
        </w:rPr>
        <w:t>“</w:t>
      </w:r>
      <w:r>
        <w:rPr>
          <w:rFonts w:ascii="Arial;sans-serif" w:hAnsi="Arial;sans-serif"/>
          <w:b w:val="false"/>
          <w:i/>
          <w:color w:val="000000"/>
          <w:sz w:val="20"/>
        </w:rPr>
        <w:t>EBITDA</w:t>
      </w:r>
      <w:r>
        <w:rPr>
          <w:color w:val="000000"/>
        </w:rPr>
        <w:t xml:space="preserve">” </w:t>
      </w:r>
      <w:r>
        <w:rPr>
          <w:rFonts w:ascii="Arial;sans-serif" w:hAnsi="Arial;sans-serif"/>
          <w:b w:val="false"/>
          <w:color w:val="000000"/>
          <w:sz w:val="20"/>
        </w:rPr>
        <w:t>means for any period, operating profit (loss) plus (i) depreciation and amortization, including goodwill impairment, (ii) amortization of non-cash distribution and marketing expense and non-cash compensation expense, (iii) restructuring charges, (iv) non-cash write-downs of assets or goodwill, (v) charges relating to disposal of lines of business, (vi) litigation settlement amounts and (vii) costs incurred for proposed and completed acquisitions.</w:t>
      </w:r>
    </w:p>
    <w:p>
      <w:pPr>
        <w:pStyle w:val="TextBody"/>
        <w:bidi w:val="0"/>
        <w:spacing w:before="0" w:after="0"/>
        <w:ind w:left="0" w:right="0" w:firstLine="60"/>
        <w:jc w:val="left"/>
        <w:rPr/>
      </w:pPr>
      <w:r>
        <w:rPr/>
      </w:r>
    </w:p>
    <w:p>
      <w:pPr>
        <w:pStyle w:val="TextBody"/>
        <w:bidi w:val="0"/>
        <w:spacing w:lineRule="auto" w:line="240" w:before="0" w:after="0"/>
        <w:ind w:left="0" w:right="0" w:firstLine="720"/>
        <w:jc w:val="both"/>
        <w:rPr/>
      </w:pPr>
      <w:r>
        <w:rPr>
          <w:rFonts w:ascii="Arial;sans-serif" w:hAnsi="Arial;sans-serif"/>
          <w:b w:val="false"/>
          <w:color w:val="000000"/>
          <w:sz w:val="20"/>
        </w:rPr>
        <w:t>(r)</w:t>
      </w:r>
      <w:r>
        <w:rPr>
          <w:color w:val="000000"/>
        </w:rPr>
        <w:t>“</w:t>
      </w:r>
      <w:r>
        <w:rPr>
          <w:rFonts w:ascii="Arial;sans-serif" w:hAnsi="Arial;sans-serif"/>
          <w:b w:val="false"/>
          <w:i/>
          <w:color w:val="000000"/>
          <w:sz w:val="20"/>
        </w:rPr>
        <w:t>Eligible Individuals</w:t>
      </w:r>
      <w:r>
        <w:rPr>
          <w:color w:val="000000"/>
        </w:rPr>
        <w:t xml:space="preserve">” </w:t>
      </w:r>
      <w:r>
        <w:rPr>
          <w:rFonts w:ascii="Arial;sans-serif" w:hAnsi="Arial;sans-serif"/>
          <w:b w:val="false"/>
          <w:color w:val="000000"/>
          <w:sz w:val="20"/>
        </w:rPr>
        <w:t>means a natural person who is eligible to receive an employment inducement grant in accordance with Nasdaq Stock Market Listing Rule 5635(c)(4).</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(s)</w:t>
      </w:r>
      <w:r>
        <w:rPr>
          <w:color w:val="000000"/>
        </w:rPr>
        <w:t>“</w:t>
      </w:r>
      <w:r>
        <w:rPr>
          <w:rFonts w:ascii="Arial;sans-serif" w:hAnsi="Arial;sans-serif"/>
          <w:b w:val="false"/>
          <w:i/>
          <w:color w:val="000000"/>
          <w:sz w:val="20"/>
        </w:rPr>
        <w:t>Exchange Act</w:t>
      </w:r>
      <w:r>
        <w:rPr>
          <w:color w:val="000000"/>
        </w:rPr>
        <w:t xml:space="preserve">” </w:t>
      </w:r>
      <w:r>
        <w:rPr>
          <w:rFonts w:ascii="Arial;sans-serif" w:hAnsi="Arial;sans-serif"/>
          <w:b w:val="false"/>
          <w:color w:val="000000"/>
          <w:sz w:val="20"/>
        </w:rPr>
        <w:t>means the Securities Exchange Act of 1934, as amended from time to time, and any successor thereto.</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(t)</w:t>
      </w:r>
      <w:r>
        <w:rPr>
          <w:color w:val="000000"/>
        </w:rPr>
        <w:t>“</w:t>
      </w:r>
      <w:r>
        <w:rPr>
          <w:rFonts w:ascii="Arial;sans-serif" w:hAnsi="Arial;sans-serif"/>
          <w:b w:val="false"/>
          <w:i/>
          <w:color w:val="000000"/>
          <w:sz w:val="20"/>
        </w:rPr>
        <w:t>Executive Officer</w:t>
      </w:r>
      <w:r>
        <w:rPr>
          <w:color w:val="000000"/>
        </w:rPr>
        <w:t xml:space="preserve">” </w:t>
      </w:r>
      <w:r>
        <w:rPr>
          <w:rFonts w:ascii="Arial;sans-serif" w:hAnsi="Arial;sans-serif"/>
          <w:b w:val="false"/>
          <w:color w:val="000000"/>
          <w:sz w:val="20"/>
        </w:rPr>
        <w:t>means any “executive officer” as defined in Section 10D-1(d) of the Exchange Act whom the Board (or the Committee, as applicable) has determined is subject to the reporting requirements of Section 10D of the Exchange Act, and includes any person who is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Company (with any executive officers of the Company’s parent(s) or subsidiaries being deemed Executive Officers of the Company if they perform such policy making functions for the Company). All Executive Officers of the Company identified by the Board (or the Committee, as applicable) pursuant to 17 CFR 229.401(b) shall be deemed an “Executive Officer.”.</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(u)</w:t>
      </w:r>
      <w:r>
        <w:rPr>
          <w:color w:val="000000"/>
        </w:rPr>
        <w:t>“</w:t>
      </w:r>
      <w:r>
        <w:rPr>
          <w:rFonts w:ascii="Arial;sans-serif" w:hAnsi="Arial;sans-serif"/>
          <w:b w:val="false"/>
          <w:i/>
          <w:color w:val="000000"/>
          <w:sz w:val="20"/>
        </w:rPr>
        <w:t>Fair Market Value</w:t>
      </w:r>
      <w:r>
        <w:rPr>
          <w:color w:val="000000"/>
        </w:rPr>
        <w:t xml:space="preserve">” </w:t>
      </w:r>
      <w:r>
        <w:rPr>
          <w:rFonts w:ascii="Arial;sans-serif" w:hAnsi="Arial;sans-serif"/>
          <w:b w:val="false"/>
          <w:color w:val="000000"/>
          <w:sz w:val="20"/>
        </w:rPr>
        <w:t>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taking into account, to the extent appropriate, the requirements of Section 409A of the Code.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(v)</w:t>
      </w:r>
      <w:r>
        <w:rPr>
          <w:color w:val="000000"/>
        </w:rPr>
        <w:t>“</w:t>
      </w:r>
      <w:r>
        <w:rPr>
          <w:rFonts w:ascii="Arial;sans-serif" w:hAnsi="Arial;sans-serif"/>
          <w:b w:val="false"/>
          <w:i/>
          <w:color w:val="000000"/>
          <w:sz w:val="20"/>
        </w:rPr>
        <w:t>Free-Standing SAR</w:t>
      </w:r>
      <w:r>
        <w:rPr>
          <w:color w:val="000000"/>
        </w:rPr>
        <w:t xml:space="preserve">” </w:t>
      </w:r>
      <w:r>
        <w:rPr>
          <w:rFonts w:ascii="Arial;sans-serif" w:hAnsi="Arial;sans-serif"/>
          <w:b w:val="false"/>
          <w:color w:val="000000"/>
          <w:sz w:val="20"/>
        </w:rPr>
        <w:t>has the meaning set forth in Section 5(b).</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(w)</w:t>
      </w:r>
      <w:r>
        <w:rPr>
          <w:color w:val="000000"/>
        </w:rPr>
        <w:t>“</w:t>
      </w:r>
      <w:r>
        <w:rPr>
          <w:rFonts w:ascii="Arial;sans-serif" w:hAnsi="Arial;sans-serif"/>
          <w:b w:val="false"/>
          <w:i/>
          <w:color w:val="000000"/>
          <w:sz w:val="20"/>
        </w:rPr>
        <w:t>Grant Date</w:t>
      </w:r>
      <w:r>
        <w:rPr>
          <w:color w:val="000000"/>
        </w:rPr>
        <w:t xml:space="preserve">” </w:t>
      </w:r>
      <w:r>
        <w:rPr>
          <w:rFonts w:ascii="Arial;sans-serif" w:hAnsi="Arial;sans-serif"/>
          <w:b w:val="false"/>
          <w:color w:val="000000"/>
          <w:sz w:val="20"/>
        </w:rPr>
        <w:t>means (i) the date on which the Committee by resolution selects an Eligible Individual to receive a grant of an Award and determines the number of Shares to be subject to such Award or the formula for earning a number of shares or cash amount or (ii) such later date as the Committee shall provide in such resolution.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(x)</w:t>
      </w:r>
      <w:r>
        <w:rPr>
          <w:color w:val="000000"/>
        </w:rPr>
        <w:t>“</w:t>
      </w:r>
      <w:r>
        <w:rPr>
          <w:rFonts w:ascii="Arial;sans-serif" w:hAnsi="Arial;sans-serif"/>
          <w:b w:val="false"/>
          <w:i/>
          <w:color w:val="000000"/>
          <w:sz w:val="20"/>
        </w:rPr>
        <w:t>Group</w:t>
      </w:r>
      <w:r>
        <w:rPr>
          <w:color w:val="000000"/>
        </w:rPr>
        <w:t xml:space="preserve">” </w:t>
      </w:r>
      <w:r>
        <w:rPr>
          <w:rFonts w:ascii="Arial;sans-serif" w:hAnsi="Arial;sans-serif"/>
          <w:b w:val="false"/>
          <w:color w:val="000000"/>
          <w:sz w:val="20"/>
        </w:rPr>
        <w:t>shall have the meaning given in Section 13(d)(3) and 14(d)(2) of the Exchange Act.</w:t>
      </w:r>
    </w:p>
    <w:p>
      <w:pPr>
        <w:pStyle w:val="TextBody"/>
        <w:bidi w:val="0"/>
        <w:spacing w:before="0" w:after="0"/>
        <w:jc w:val="both"/>
        <w:rPr/>
      </w:pPr>
      <w:r>
        <w:rPr/>
      </w:r>
    </w:p>
    <w:p>
      <w:pPr>
        <w:pStyle w:val="TextBody"/>
        <w:bidi w:val="0"/>
        <w:spacing w:lineRule="auto" w:line="240"/>
        <w:ind w:left="0" w:right="0" w:firstLine="720"/>
        <w:jc w:val="both"/>
        <w:rPr/>
      </w:pPr>
      <w:r>
        <w:rPr>
          <w:rFonts w:ascii="Arial;sans-serif" w:hAnsi="Arial;sans-serif"/>
          <w:b w:val="false"/>
          <w:color w:val="000000"/>
          <w:sz w:val="20"/>
        </w:rPr>
        <w:t>(y)</w:t>
      </w:r>
      <w:r>
        <w:rPr>
          <w:color w:val="000000"/>
        </w:rPr>
        <w:t>“</w:t>
      </w:r>
      <w:r>
        <w:rPr>
          <w:rFonts w:ascii="Arial;sans-serif" w:hAnsi="Arial;sans-serif"/>
          <w:b w:val="false"/>
          <w:i/>
          <w:color w:val="000000"/>
          <w:sz w:val="20"/>
        </w:rPr>
        <w:t>Incentive Compensation</w:t>
      </w:r>
      <w:r>
        <w:rPr>
          <w:color w:val="000000"/>
        </w:rPr>
        <w:t xml:space="preserve">” </w:t>
      </w:r>
      <w:r>
        <w:rPr>
          <w:rFonts w:ascii="Arial;sans-serif" w:hAnsi="Arial;sans-serif"/>
          <w:b w:val="false"/>
          <w:color w:val="000000"/>
          <w:sz w:val="20"/>
        </w:rPr>
        <w:t>means any compensation (including any Award or any other short-term or long-term cash or equity incentive award or any other payment) that is (i) granted, earned, or vested based wholly or in part upon the attainment of any financial reporting measure (i.e., any measures that are determined and presented in accordance with the accounting principles used in preparing the Company’s financial statements, and any measure that is derived wholly or in part from such measures, including stock price and total stockholder return), or (ii) otherwise granted, earned, or vested based upon time/service and/ or performance metrics, as determined in the discretion of the Committee. For avoidance of doubt, financial reporting measures include “non-GAAP financial measures” for purposes of Exchange Act Regulation G and 17 CFR 229.10, as well other measures, metrics and ratios that are not non- GAAP measures, like same store sales. Financial reporting measures may or may not be included in a filing with the Securities and Exchange Commission, and may be presented outside the Company’s financial statements, such as in Management’s Discussion and Analysis of Financial Conditions and Results of Operations or the performance graph.</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12825"/>
                <wp:effectExtent l="0" t="0" r="0" b="0"/>
                <wp:wrapNone/>
                <wp:docPr id="45" name="Frame4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(z)</w:t>
      </w:r>
      <w:r>
        <w:rPr>
          <w:color w:val="000000"/>
        </w:rPr>
        <w:t>“</w:t>
      </w:r>
      <w:r>
        <w:rPr>
          <w:rFonts w:ascii="Arial;sans-serif" w:hAnsi="Arial;sans-serif"/>
          <w:b w:val="false"/>
          <w:i/>
          <w:color w:val="000000"/>
          <w:sz w:val="20"/>
        </w:rPr>
        <w:t>Individual Agreement</w:t>
      </w:r>
      <w:r>
        <w:rPr>
          <w:color w:val="000000"/>
        </w:rPr>
        <w:t xml:space="preserve">” </w:t>
      </w:r>
      <w:r>
        <w:rPr>
          <w:rFonts w:ascii="Arial;sans-serif" w:hAnsi="Arial;sans-serif"/>
          <w:b w:val="false"/>
          <w:color w:val="000000"/>
          <w:sz w:val="20"/>
        </w:rPr>
        <w:t>means an employment, consulting or similar agreement between a Participant and the Company or one of its Subsidiaries or Affiliates.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(aa)</w:t>
      </w:r>
      <w:r>
        <w:rPr>
          <w:color w:val="000000"/>
        </w:rPr>
        <w:t>“</w:t>
      </w:r>
      <w:r>
        <w:rPr>
          <w:rFonts w:ascii="Arial;sans-serif" w:hAnsi="Arial;sans-serif"/>
          <w:b w:val="false"/>
          <w:i/>
          <w:color w:val="000000"/>
          <w:sz w:val="20"/>
        </w:rPr>
        <w:t>Nasdaq</w:t>
      </w:r>
      <w:r>
        <w:rPr>
          <w:color w:val="000000"/>
        </w:rPr>
        <w:t xml:space="preserve">” </w:t>
      </w:r>
      <w:r>
        <w:rPr>
          <w:rFonts w:ascii="Arial;sans-serif" w:hAnsi="Arial;sans-serif"/>
          <w:b w:val="false"/>
          <w:color w:val="000000"/>
          <w:sz w:val="20"/>
        </w:rPr>
        <w:t>means the National Association of Securities Dealers Inc. Automated Quotation System.</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(ab)</w:t>
      </w:r>
      <w:r>
        <w:rPr>
          <w:color w:val="000000"/>
        </w:rPr>
        <w:t>“</w:t>
      </w:r>
      <w:r>
        <w:rPr>
          <w:rFonts w:ascii="Arial;sans-serif" w:hAnsi="Arial;sans-serif"/>
          <w:b w:val="false"/>
          <w:i/>
          <w:color w:val="000000"/>
          <w:sz w:val="20"/>
        </w:rPr>
        <w:t>Nonqualified Option</w:t>
      </w:r>
      <w:r>
        <w:rPr>
          <w:color w:val="000000"/>
        </w:rPr>
        <w:t xml:space="preserve">” </w:t>
      </w:r>
      <w:r>
        <w:rPr>
          <w:rFonts w:ascii="Arial;sans-serif" w:hAnsi="Arial;sans-serif"/>
          <w:b w:val="false"/>
          <w:color w:val="000000"/>
          <w:sz w:val="20"/>
        </w:rPr>
        <w:t>means any Option that is not an incentive stock option within the meaning of Code Section 422.</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(ac)</w:t>
      </w:r>
      <w:r>
        <w:rPr>
          <w:color w:val="000000"/>
        </w:rPr>
        <w:t>“</w:t>
      </w:r>
      <w:r>
        <w:rPr>
          <w:rFonts w:ascii="Arial;sans-serif" w:hAnsi="Arial;sans-serif"/>
          <w:b w:val="false"/>
          <w:i/>
          <w:color w:val="000000"/>
          <w:sz w:val="20"/>
        </w:rPr>
        <w:t>Option</w:t>
      </w:r>
      <w:r>
        <w:rPr>
          <w:color w:val="000000"/>
        </w:rPr>
        <w:t xml:space="preserve">” </w:t>
      </w:r>
      <w:r>
        <w:rPr>
          <w:rFonts w:ascii="Arial;sans-serif" w:hAnsi="Arial;sans-serif"/>
          <w:b w:val="false"/>
          <w:color w:val="000000"/>
          <w:sz w:val="20"/>
        </w:rPr>
        <w:t>means an Award granted under Section 5.</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(ad)</w:t>
      </w:r>
      <w:r>
        <w:rPr>
          <w:color w:val="000000"/>
        </w:rPr>
        <w:t>“</w:t>
      </w:r>
      <w:r>
        <w:rPr>
          <w:rFonts w:ascii="Arial;sans-serif" w:hAnsi="Arial;sans-serif"/>
          <w:b w:val="false"/>
          <w:i/>
          <w:color w:val="000000"/>
          <w:sz w:val="20"/>
        </w:rPr>
        <w:t>Participant</w:t>
      </w:r>
      <w:r>
        <w:rPr>
          <w:color w:val="000000"/>
        </w:rPr>
        <w:t xml:space="preserve">” </w:t>
      </w:r>
      <w:r>
        <w:rPr>
          <w:rFonts w:ascii="Arial;sans-serif" w:hAnsi="Arial;sans-serif"/>
          <w:b w:val="false"/>
          <w:color w:val="000000"/>
          <w:sz w:val="20"/>
        </w:rPr>
        <w:t>means an Eligible Individual to whom an Award is or has been granted.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(ae)</w:t>
      </w:r>
      <w:r>
        <w:rPr>
          <w:color w:val="000000"/>
        </w:rPr>
        <w:t>“</w:t>
      </w:r>
      <w:r>
        <w:rPr>
          <w:rFonts w:ascii="Arial;sans-serif" w:hAnsi="Arial;sans-serif"/>
          <w:b w:val="false"/>
          <w:i/>
          <w:color w:val="000000"/>
          <w:sz w:val="20"/>
        </w:rPr>
        <w:t>Performance Goals</w:t>
      </w:r>
      <w:r>
        <w:rPr>
          <w:color w:val="000000"/>
        </w:rPr>
        <w:t xml:space="preserve">” </w:t>
      </w:r>
      <w:r>
        <w:rPr>
          <w:rFonts w:ascii="Arial;sans-serif" w:hAnsi="Arial;sans-serif"/>
          <w:b w:val="false"/>
          <w:color w:val="000000"/>
          <w:sz w:val="20"/>
        </w:rPr>
        <w:t>means the performance goals established by the Committee in connection with the grant of Options, Restricted Stock, Restricted Stock Units or other stock-based awards.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(af)</w:t>
      </w:r>
      <w:r>
        <w:rPr>
          <w:color w:val="000000"/>
        </w:rPr>
        <w:t>“</w:t>
      </w:r>
      <w:r>
        <w:rPr>
          <w:rFonts w:ascii="Arial;sans-serif" w:hAnsi="Arial;sans-serif"/>
          <w:b w:val="false"/>
          <w:i/>
          <w:color w:val="000000"/>
          <w:sz w:val="20"/>
        </w:rPr>
        <w:t>Plan</w:t>
      </w:r>
      <w:r>
        <w:rPr>
          <w:color w:val="000000"/>
        </w:rPr>
        <w:t xml:space="preserve">” </w:t>
      </w:r>
      <w:r>
        <w:rPr>
          <w:rFonts w:ascii="Arial;sans-serif" w:hAnsi="Arial;sans-serif"/>
          <w:b w:val="false"/>
          <w:color w:val="000000"/>
          <w:sz w:val="20"/>
        </w:rPr>
        <w:t>means this LendingTree, Inc. 2023 Inducement Grant Plan, as set forth herein and as hereafter amended from time to time.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(ag)</w:t>
      </w:r>
      <w:r>
        <w:rPr>
          <w:color w:val="000000"/>
        </w:rPr>
        <w:t>“</w:t>
      </w:r>
      <w:r>
        <w:rPr>
          <w:rFonts w:ascii="Arial;sans-serif" w:hAnsi="Arial;sans-serif"/>
          <w:b w:val="false"/>
          <w:i/>
          <w:color w:val="000000"/>
          <w:sz w:val="20"/>
        </w:rPr>
        <w:t>Restricted Stock</w:t>
      </w:r>
      <w:r>
        <w:rPr>
          <w:color w:val="000000"/>
        </w:rPr>
        <w:t xml:space="preserve">” </w:t>
      </w:r>
      <w:r>
        <w:rPr>
          <w:rFonts w:ascii="Arial;sans-serif" w:hAnsi="Arial;sans-serif"/>
          <w:b w:val="false"/>
          <w:color w:val="000000"/>
          <w:sz w:val="20"/>
        </w:rPr>
        <w:t>means an Award granted under Section 6.</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(ah)</w:t>
      </w:r>
      <w:r>
        <w:rPr>
          <w:color w:val="000000"/>
        </w:rPr>
        <w:t>“</w:t>
      </w:r>
      <w:r>
        <w:rPr>
          <w:rFonts w:ascii="Arial;sans-serif" w:hAnsi="Arial;sans-serif"/>
          <w:b w:val="false"/>
          <w:i/>
          <w:color w:val="000000"/>
          <w:sz w:val="20"/>
        </w:rPr>
        <w:t>Restricted Stock Units</w:t>
      </w:r>
      <w:r>
        <w:rPr>
          <w:color w:val="000000"/>
        </w:rPr>
        <w:t xml:space="preserve">” </w:t>
      </w:r>
      <w:r>
        <w:rPr>
          <w:rFonts w:ascii="Arial;sans-serif" w:hAnsi="Arial;sans-serif"/>
          <w:b w:val="false"/>
          <w:color w:val="000000"/>
          <w:sz w:val="20"/>
        </w:rPr>
        <w:t>means an Award granted under Section 7.</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(ai)</w:t>
      </w:r>
      <w:r>
        <w:rPr>
          <w:color w:val="000000"/>
        </w:rPr>
        <w:t>“</w:t>
      </w:r>
      <w:r>
        <w:rPr>
          <w:rFonts w:ascii="Arial;sans-serif" w:hAnsi="Arial;sans-serif"/>
          <w:b w:val="false"/>
          <w:i/>
          <w:color w:val="000000"/>
          <w:sz w:val="20"/>
        </w:rPr>
        <w:t>Resulting Voting Power</w:t>
      </w:r>
      <w:r>
        <w:rPr>
          <w:color w:val="000000"/>
        </w:rPr>
        <w:t xml:space="preserve">” </w:t>
      </w:r>
      <w:r>
        <w:rPr>
          <w:rFonts w:ascii="Arial;sans-serif" w:hAnsi="Arial;sans-serif"/>
          <w:b w:val="false"/>
          <w:color w:val="000000"/>
          <w:sz w:val="20"/>
        </w:rPr>
        <w:t>shall mean the outstanding combined voting power of the then outstanding voting securities entitled to vote generally in the election of directors (or equivalent governing body, if applicable) of the entity resulting from a Business Combination (including, without limitation, an entity which as a result of such transaction owns the Company or all or substantially all of the Company’s assets either directly or through one or more subsidiaries).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(aj)</w:t>
      </w:r>
      <w:r>
        <w:rPr>
          <w:color w:val="000000"/>
        </w:rPr>
        <w:t>“</w:t>
      </w:r>
      <w:r>
        <w:rPr>
          <w:rFonts w:ascii="Arial;sans-serif" w:hAnsi="Arial;sans-serif"/>
          <w:b w:val="false"/>
          <w:i/>
          <w:color w:val="000000"/>
          <w:sz w:val="20"/>
        </w:rPr>
        <w:t>Retirement</w:t>
      </w:r>
      <w:r>
        <w:rPr>
          <w:color w:val="000000"/>
        </w:rPr>
        <w:t xml:space="preserve">” </w:t>
      </w:r>
      <w:r>
        <w:rPr>
          <w:rFonts w:ascii="Arial;sans-serif" w:hAnsi="Arial;sans-serif"/>
          <w:b w:val="false"/>
          <w:color w:val="000000"/>
          <w:sz w:val="20"/>
        </w:rPr>
        <w:t>means (A) Participant’s Termination of Employment with the Company, a Subsidiary, or Affiliate, due to Participant’s resignation for any reason (other than due to Participant’s death or disability) or due to the Participant’s termination without Cause, provided that at such time no facts or circumstances existed that would constitute grounds for the Company to be able to terminate the Participant for Cause and (B) Participant has satisfied the Rule of 65 (as defined below) prior to the effective date of Participant’s Termination of Employment.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(ak)</w:t>
      </w:r>
      <w:r>
        <w:rPr>
          <w:color w:val="000000"/>
        </w:rPr>
        <w:t>“</w:t>
      </w:r>
      <w:r>
        <w:rPr>
          <w:rFonts w:ascii="Arial;sans-serif" w:hAnsi="Arial;sans-serif"/>
          <w:b w:val="false"/>
          <w:i/>
          <w:color w:val="000000"/>
          <w:sz w:val="20"/>
        </w:rPr>
        <w:t>Rule of 65</w:t>
      </w:r>
      <w:r>
        <w:rPr>
          <w:color w:val="000000"/>
        </w:rPr>
        <w:t xml:space="preserve">” </w:t>
      </w:r>
      <w:r>
        <w:rPr>
          <w:rFonts w:ascii="Arial;sans-serif" w:hAnsi="Arial;sans-serif"/>
          <w:b w:val="false"/>
          <w:color w:val="000000"/>
          <w:sz w:val="20"/>
        </w:rPr>
        <w:t>means the sum of (A) Participant’s age in years and complete months (rounded to the nearest month) upon the effective date of Participant’s Termination of Employment and (B) Participant’s years and complete months (rounded to the nearest month) of service with the Company, a Subsidiary, or Affiliate (or a predecessor of each, as applicable) is equal to or exceeds sixty five (65), provided that Participant’s age as calculated under (A) shall be no less than sixty (60) and Participant’s years of service calculated under (B) shall be no less than five (5).</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(al)</w:t>
      </w:r>
      <w:r>
        <w:rPr>
          <w:color w:val="000000"/>
        </w:rPr>
        <w:t>“</w:t>
      </w:r>
      <w:r>
        <w:rPr>
          <w:rFonts w:ascii="Arial;sans-serif" w:hAnsi="Arial;sans-serif"/>
          <w:b w:val="false"/>
          <w:i/>
          <w:color w:val="000000"/>
          <w:sz w:val="20"/>
        </w:rPr>
        <w:t>Share</w:t>
      </w:r>
      <w:r>
        <w:rPr>
          <w:color w:val="000000"/>
        </w:rPr>
        <w:t xml:space="preserve">” </w:t>
      </w:r>
      <w:r>
        <w:rPr>
          <w:rFonts w:ascii="Arial;sans-serif" w:hAnsi="Arial;sans-serif"/>
          <w:b w:val="false"/>
          <w:color w:val="000000"/>
          <w:sz w:val="20"/>
        </w:rPr>
        <w:t>means a share of Common Stock.</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(am)</w:t>
      </w:r>
      <w:r>
        <w:rPr>
          <w:color w:val="000000"/>
        </w:rPr>
        <w:t>“</w:t>
      </w:r>
      <w:r>
        <w:rPr>
          <w:rFonts w:ascii="Arial;sans-serif" w:hAnsi="Arial;sans-serif"/>
          <w:b w:val="false"/>
          <w:i/>
          <w:color w:val="000000"/>
          <w:sz w:val="20"/>
        </w:rPr>
        <w:t>Specified Employee</w:t>
      </w:r>
      <w:r>
        <w:rPr>
          <w:color w:val="000000"/>
        </w:rPr>
        <w:t xml:space="preserve">” </w:t>
      </w:r>
      <w:r>
        <w:rPr>
          <w:rFonts w:ascii="Arial;sans-serif" w:hAnsi="Arial;sans-serif"/>
          <w:b w:val="false"/>
          <w:color w:val="000000"/>
          <w:sz w:val="20"/>
        </w:rPr>
        <w:t>shall mean any individual who is a “key employee” (as defined in Section 416(i) of the Code without regard to paragraph (5) thereof) with respect to the Company and its Affiliates, as determined by the Company (or the Affiliate, in the event that the Affiliate and the Company are not considered a single employer under Sections 414(b) or 414(c) of the Code) in accordance with its uniform policy with respect to all arrangements subject to Section 409A of the Code, based upon the twelve (12) month period ending on each December 31st. All individuals who are determined to be key employees under Section 416(i)(1)(A)(i), (ii) or (iii) of the Code (without regard to paragraph (5) thereof) on December 31st shall be treated as Specified Employees for purposes of the Plan during the twelve (12) month period that begins on the following April 1</w:t>
      </w:r>
      <w:r>
        <w:rPr>
          <w:rFonts w:ascii="Arial;sans-serif" w:hAnsi="Arial;sans-serif"/>
          <w:b w:val="false"/>
          <w:color w:val="000000"/>
          <w:sz w:val="13"/>
        </w:rPr>
        <w:t>st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(an)</w:t>
      </w:r>
      <w:r>
        <w:rPr>
          <w:color w:val="000000"/>
        </w:rPr>
        <w:t>“</w:t>
      </w:r>
      <w:r>
        <w:rPr>
          <w:rFonts w:ascii="Arial;sans-serif" w:hAnsi="Arial;sans-serif"/>
          <w:b w:val="false"/>
          <w:i/>
          <w:color w:val="000000"/>
          <w:sz w:val="20"/>
        </w:rPr>
        <w:t>Stock Appreciation Right</w:t>
      </w:r>
      <w:r>
        <w:rPr>
          <w:color w:val="000000"/>
        </w:rPr>
        <w:t xml:space="preserve">” </w:t>
      </w:r>
      <w:r>
        <w:rPr>
          <w:rFonts w:ascii="Arial;sans-serif" w:hAnsi="Arial;sans-serif"/>
          <w:b w:val="false"/>
          <w:color w:val="000000"/>
          <w:sz w:val="20"/>
        </w:rPr>
        <w:t>has the meaning set forth in Section 5(b).</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(ao)</w:t>
      </w:r>
      <w:r>
        <w:rPr>
          <w:color w:val="000000"/>
        </w:rPr>
        <w:t>“</w:t>
      </w:r>
      <w:r>
        <w:rPr>
          <w:rFonts w:ascii="Arial;sans-serif" w:hAnsi="Arial;sans-serif"/>
          <w:b w:val="false"/>
          <w:i/>
          <w:color w:val="000000"/>
          <w:sz w:val="20"/>
        </w:rPr>
        <w:t>Subsidiary</w:t>
      </w:r>
      <w:r>
        <w:rPr>
          <w:color w:val="000000"/>
        </w:rPr>
        <w:t xml:space="preserve">” </w:t>
      </w:r>
      <w:r>
        <w:rPr>
          <w:rFonts w:ascii="Arial;sans-serif" w:hAnsi="Arial;sans-serif"/>
          <w:b w:val="false"/>
          <w:color w:val="000000"/>
          <w:sz w:val="20"/>
        </w:rPr>
        <w:t>means any corporation, partnership, joint venture, limited liability company or other entity during any period in which at least a 50% voting or profits interest is owned, directly or indirectly, by the Company or any successor to the Company.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(ap)</w:t>
      </w:r>
      <w:r>
        <w:rPr>
          <w:color w:val="000000"/>
        </w:rPr>
        <w:t>“</w:t>
      </w:r>
      <w:r>
        <w:rPr>
          <w:rFonts w:ascii="Arial;sans-serif" w:hAnsi="Arial;sans-serif"/>
          <w:b w:val="false"/>
          <w:i/>
          <w:color w:val="000000"/>
          <w:sz w:val="20"/>
        </w:rPr>
        <w:t>Tandem SAR</w:t>
      </w:r>
      <w:r>
        <w:rPr>
          <w:color w:val="000000"/>
        </w:rPr>
        <w:t xml:space="preserve">” </w:t>
      </w:r>
      <w:r>
        <w:rPr>
          <w:rFonts w:ascii="Arial;sans-serif" w:hAnsi="Arial;sans-serif"/>
          <w:b w:val="false"/>
          <w:color w:val="000000"/>
          <w:sz w:val="20"/>
        </w:rPr>
        <w:t>has the meaning set forth in Section 5(b).</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(aq)</w:t>
      </w:r>
      <w:r>
        <w:rPr>
          <w:color w:val="000000"/>
        </w:rPr>
        <w:t>“</w:t>
      </w: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means the maximum period during which an Option or Stock Appreciation Right may remain outstanding, subject to earlier termination upon Termination of Employment or otherwise, as specified in the applicable Award Agreement.</w:t>
      </w:r>
    </w:p>
    <w:p>
      <w:pPr>
        <w:pStyle w:val="TextBody"/>
        <w:bidi w:val="0"/>
        <w:spacing w:before="0" w:after="0"/>
        <w:jc w:val="both"/>
        <w:rPr/>
      </w:pPr>
      <w:r>
        <w:rPr/>
      </w:r>
    </w:p>
    <w:p>
      <w:pPr>
        <w:pStyle w:val="TextBody"/>
        <w:bidi w:val="0"/>
        <w:spacing w:lineRule="auto" w:line="240"/>
        <w:ind w:left="0" w:right="0" w:firstLine="720"/>
        <w:jc w:val="both"/>
        <w:rPr/>
      </w:pPr>
      <w:r>
        <w:rPr>
          <w:rFonts w:ascii="Arial;sans-serif" w:hAnsi="Arial;sans-serif"/>
          <w:b w:val="false"/>
          <w:color w:val="000000"/>
          <w:sz w:val="20"/>
        </w:rPr>
        <w:t>(ar)</w:t>
      </w:r>
      <w:r>
        <w:rPr>
          <w:color w:val="000000"/>
        </w:rPr>
        <w:t>“</w:t>
      </w:r>
      <w:r>
        <w:rPr>
          <w:rFonts w:ascii="Arial;sans-serif" w:hAnsi="Arial;sans-serif"/>
          <w:b w:val="false"/>
          <w:i/>
          <w:color w:val="000000"/>
          <w:sz w:val="20"/>
        </w:rPr>
        <w:t>Termination of Employment</w:t>
      </w:r>
      <w:r>
        <w:rPr>
          <w:color w:val="000000"/>
        </w:rPr>
        <w:t xml:space="preserve">” </w:t>
      </w:r>
      <w:r>
        <w:rPr>
          <w:rFonts w:ascii="Arial;sans-serif" w:hAnsi="Arial;sans-serif"/>
          <w:b w:val="false"/>
          <w:color w:val="000000"/>
          <w:sz w:val="20"/>
        </w:rPr>
        <w:t xml:space="preserve">means the termination of the applicable Participant’s employment with, or performance of services for, the Company and any of its Subsidiaries or Affiliates. Unless otherwise determined by the Committee, if a Participant’s employment with the Company and its Affiliates terminates but such Participant continues to provide services to the Company and its Affiliates as an employee or consultant, as applicable, such change in status shall not be deemed a Termination of Employment. A Participant employed by, or performing services for, a Subsidiary or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12825"/>
                <wp:effectExtent l="0" t="0" r="0" b="0"/>
                <wp:wrapNone/>
                <wp:docPr id="46" name="Frame4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with respect to any Award that constitutes a “nonqualified deferred compensation plan” within the meaning of Section 409A of the Code, “Termination of Employment” shall mean a “separation from service” as defined under Section 409A of the Code. </w:t>
      </w:r>
    </w:p>
    <w:p>
      <w:pPr>
        <w:pStyle w:val="TextBody"/>
        <w:bidi w:val="0"/>
        <w:spacing w:before="0" w:after="240"/>
        <w:jc w:val="both"/>
        <w:rPr/>
      </w:pPr>
      <w:r>
        <w:rPr/>
      </w:r>
    </w:p>
    <w:tbl>
      <w:tblPr>
        <w:tblW w:w="338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654"/>
        <w:gridCol w:w="654"/>
        <w:gridCol w:w="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2235" w:type="dxa"/>
            <w:gridSpan w:val="3"/>
            <w:tcBorders/>
            <w:tcMar>
              <w:top w:w="0" w:type="dxa"/>
              <w:left w:w="0" w:type="dxa"/>
              <w:bottom w:w="0" w:type="dxa"/>
              <w:right w:w="0" w:type="dxa"/>
            </w:tcMar>
            <w:vAlign w:val="center"/>
          </w:tcPr>
          <w:p>
            <w:pPr>
              <w:pStyle w:val="TableContents"/>
              <w:bidi w:val="0"/>
              <w:spacing w:lineRule="auto" w:line="319" w:before="0" w:after="283"/>
              <w:jc w:val="both"/>
              <w:rPr>
                <w:color w:val="000000"/>
              </w:rPr>
            </w:pPr>
            <w:r>
              <w:rPr>
                <w:color w:val="000000"/>
              </w:rPr>
              <w:t> </w:t>
            </w:r>
            <w:r>
              <w:rPr>
                <w:rFonts w:ascii="Arial;sans-serif" w:hAnsi="Arial;sans-serif"/>
                <w:b/>
                <w:color w:val="000000"/>
                <w:sz w:val="20"/>
              </w:rPr>
              <w:t>2.        Administration</w:t>
            </w:r>
          </w:p>
        </w:tc>
      </w:tr>
    </w:tbl>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Committee</w:t>
      </w:r>
      <w:r>
        <w:rPr>
          <w:rFonts w:ascii="Arial;sans-serif" w:hAnsi="Arial;sans-serif"/>
          <w:b w:val="false"/>
          <w:color w:val="000000"/>
          <w:sz w:val="20"/>
        </w:rPr>
        <w:t>. The Plan shall be administered by the Compensation Committee of the Board (the “</w:t>
      </w:r>
      <w:r>
        <w:rPr>
          <w:rFonts w:ascii="Arial;sans-serif" w:hAnsi="Arial;sans-serif"/>
          <w:b w:val="false"/>
          <w:i/>
          <w:color w:val="000000"/>
          <w:sz w:val="20"/>
        </w:rPr>
        <w:t>Committee</w:t>
      </w:r>
      <w:r>
        <w:rPr>
          <w:color w:val="000000"/>
        </w:rPr>
        <w:t>”</w:t>
      </w:r>
      <w:r>
        <w:rPr>
          <w:rFonts w:ascii="Arial;sans-serif" w:hAnsi="Arial;sans-serif"/>
          <w:b w:val="false"/>
          <w:color w:val="000000"/>
          <w:sz w:val="20"/>
        </w:rPr>
        <w:t>), which shall be composed of not less than two independent directors, and shall be appointed by and serve at the pleasure of the Board. The Committee shall, subject to Section 10, have plenary authority to grant Awards pursuant to the terms of the Plan to Eligible Individuals. Among other things, the Committee shall have the authority, subject to the terms and conditions of the Plan:</w:t>
      </w:r>
    </w:p>
    <w:p>
      <w:pPr>
        <w:pStyle w:val="TextBody"/>
        <w:bidi w:val="0"/>
        <w:spacing w:before="0" w:after="0"/>
        <w:jc w:val="both"/>
        <w:rPr/>
      </w:pPr>
      <w:r>
        <w:rPr/>
      </w:r>
    </w:p>
    <w:tbl>
      <w:tblPr>
        <w:tblW w:w="80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0"/>
        <w:gridCol w:w="2170"/>
        <w:gridCol w:w="3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742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select the Eligible Individuals to whom Awards may from time to time be granted;</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determine whether and to what extent Nonqualified Options, Stock Appreciation Rights, Restricted Stock, Restricted Stock Units, other stock-based awards, or any combination thereof, are to be granted hereunder;</w:t>
            </w:r>
          </w:p>
        </w:tc>
      </w:tr>
    </w:tbl>
    <w:p>
      <w:pPr>
        <w:pStyle w:val="TextBody"/>
        <w:bidi w:val="0"/>
        <w:spacing w:before="0" w:after="0"/>
        <w:jc w:val="left"/>
        <w:rPr/>
      </w:pPr>
      <w:r>
        <w:rPr/>
      </w:r>
    </w:p>
    <w:tbl>
      <w:tblPr>
        <w:tblW w:w="814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174"/>
        <w:gridCol w:w="2174"/>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determine the number of Shares to be covered by each Award granted hereunder;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7"/>
        <w:gridCol w:w="117"/>
        <w:gridCol w:w="117"/>
        <w:gridCol w:w="2783"/>
        <w:gridCol w:w="2783"/>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(iv)</w:t>
            </w:r>
          </w:p>
        </w:tc>
        <w:tc>
          <w:tcPr>
            <w:tcW w:w="9512"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determine the terms and conditions, including Performance Goals (if any) and their degree of satisfaction, of each Award granted hereunder, based on such factors as the Committee shall determine;</w:t>
            </w:r>
          </w:p>
        </w:tc>
      </w:tr>
    </w:tbl>
    <w:p>
      <w:pPr>
        <w:pStyle w:val="TextBody"/>
        <w:bidi w:val="0"/>
        <w:spacing w:before="0" w:after="0"/>
        <w:jc w:val="left"/>
        <w:rPr/>
      </w:pPr>
      <w:r>
        <w:rPr/>
      </w:r>
    </w:p>
    <w:tbl>
      <w:tblPr>
        <w:tblW w:w="857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312"/>
        <w:gridCol w:w="2312"/>
        <w:gridCol w:w="3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(v)</w:t>
            </w:r>
          </w:p>
        </w:tc>
        <w:tc>
          <w:tcPr>
            <w:tcW w:w="7905"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subject to Section 11, to modify, amend or adjust the terms and conditions of any Award;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782"/>
        <w:gridCol w:w="2782"/>
        <w:gridCol w:w="39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(vi)</w:t>
            </w:r>
          </w:p>
        </w:tc>
        <w:tc>
          <w:tcPr>
            <w:tcW w:w="9503"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adopt, alter and repeal such administrative rules, guidelines and practices governing the Plan as it shall from time to time deem advisable;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8"/>
        <w:gridCol w:w="128"/>
        <w:gridCol w:w="130"/>
        <w:gridCol w:w="2773"/>
        <w:gridCol w:w="2773"/>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(vii)</w:t>
            </w:r>
          </w:p>
        </w:tc>
        <w:tc>
          <w:tcPr>
            <w:tcW w:w="9477"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accelerate the vesting or lapse of restrictions of any outstanding Award and/or to extend the exercise period of an Award, based in each case on such considerations as the Committee in its sole discretion determines;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1"/>
        <w:gridCol w:w="151"/>
        <w:gridCol w:w="153"/>
        <w:gridCol w:w="2753"/>
        <w:gridCol w:w="2753"/>
        <w:gridCol w:w="3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(viii)</w:t>
            </w:r>
          </w:p>
        </w:tc>
        <w:tc>
          <w:tcPr>
            <w:tcW w:w="9408"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interpret the terms and provisions of the Plan and any Award issued under the Plan (and any agreement relating thereto);</w:t>
            </w:r>
          </w:p>
        </w:tc>
      </w:tr>
    </w:tbl>
    <w:p>
      <w:pPr>
        <w:pStyle w:val="TextBody"/>
        <w:bidi w:val="0"/>
        <w:spacing w:before="0" w:after="0"/>
        <w:jc w:val="left"/>
        <w:rPr/>
      </w:pPr>
      <w:r>
        <w:rPr/>
      </w:r>
    </w:p>
    <w:tbl>
      <w:tblPr>
        <w:tblW w:w="10046"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2732"/>
        <w:gridCol w:w="2732"/>
        <w:gridCol w:w="3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(ix)</w:t>
            </w:r>
          </w:p>
        </w:tc>
        <w:tc>
          <w:tcPr>
            <w:tcW w:w="932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establish any “blackout” period that the Committee in its sole discretion deems necessary or advisable;</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12825"/>
                <wp:effectExtent l="0" t="0" r="0" b="0"/>
                <wp:wrapNone/>
                <wp:docPr id="47" name="Frame4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determine whether, to what extent, and under what circumstances cash, Shares, and other property and other amounts payable with respect to an Award under this Plan shall be deferred either automatically or at the election of the Participant;</w:t>
            </w:r>
          </w:p>
        </w:tc>
      </w:tr>
    </w:tbl>
    <w:p>
      <w:pPr>
        <w:pStyle w:val="TextBody"/>
        <w:bidi w:val="0"/>
        <w:spacing w:before="0" w:after="0"/>
        <w:jc w:val="left"/>
        <w:rPr/>
      </w:pPr>
      <w:r>
        <w:rPr/>
      </w:r>
    </w:p>
    <w:tbl>
      <w:tblPr>
        <w:tblW w:w="8231"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2198"/>
        <w:gridCol w:w="2198"/>
        <w:gridCol w:w="3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(xi)</w:t>
            </w:r>
          </w:p>
        </w:tc>
        <w:tc>
          <w:tcPr>
            <w:tcW w:w="751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decide all other matters that must be determined in connection with an Award; and</w:t>
            </w:r>
          </w:p>
        </w:tc>
      </w:tr>
    </w:tbl>
    <w:p>
      <w:pPr>
        <w:pStyle w:val="TextBody"/>
        <w:bidi w:val="0"/>
        <w:spacing w:before="0" w:after="0"/>
        <w:jc w:val="left"/>
        <w:rPr/>
      </w:pPr>
      <w:r>
        <w:rPr/>
      </w:r>
    </w:p>
    <w:tbl>
      <w:tblPr>
        <w:tblW w:w="3760" w:type="dxa"/>
        <w:jc w:val="left"/>
        <w:tblInd w:w="0" w:type="dxa"/>
        <w:tblLayout w:type="fixed"/>
        <w:tblCellMar>
          <w:top w:w="28" w:type="dxa"/>
          <w:left w:w="28" w:type="dxa"/>
          <w:bottom w:w="28" w:type="dxa"/>
          <w:right w:w="28" w:type="dxa"/>
        </w:tblCellMar>
      </w:tblPr>
      <w:tblGrid>
        <w:gridCol w:w="124"/>
        <w:gridCol w:w="109"/>
        <w:gridCol w:w="109"/>
        <w:gridCol w:w="139"/>
        <w:gridCol w:w="139"/>
        <w:gridCol w:w="141"/>
        <w:gridCol w:w="876"/>
        <w:gridCol w:w="876"/>
        <w:gridCol w:w="12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(xii)</w:t>
            </w:r>
          </w:p>
        </w:tc>
        <w:tc>
          <w:tcPr>
            <w:tcW w:w="299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otherwise administer the Plan.</w:t>
            </w:r>
          </w:p>
        </w:tc>
      </w:tr>
    </w:tbl>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Procedures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The Committee may act only by a majority of its members then in office, except that the Committee may, except to the extent prohibited by applicable law or the listing standards of the Applicable Exchange and subject to Section 10, allocate all or any portion of its responsibilities and powers to any one or more of its members and may delegate all or any part of its responsibilities and powers to any person or persons selected by it.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Subject to Section 10, any authority granted to the Committee may also be exercised by the full Board. To the extent that any permitted action taken by the Board conflicts with action taken by the Committee, the Board action shall control.</w:t>
            </w:r>
          </w:p>
        </w:tc>
      </w:tr>
    </w:tbl>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(c)</w:t>
      </w:r>
      <w:r>
        <w:rPr>
          <w:rFonts w:ascii="Arial;sans-serif" w:hAnsi="Arial;sans-serif"/>
          <w:b w:val="false"/>
          <w:i/>
          <w:color w:val="000000"/>
          <w:sz w:val="20"/>
        </w:rPr>
        <w:t>Discretion of Committee</w:t>
      </w:r>
      <w:r>
        <w:rPr>
          <w:rFonts w:ascii="Arial;sans-serif" w:hAnsi="Arial;sans-serif"/>
          <w:b w:val="false"/>
          <w:color w:val="000000"/>
          <w:sz w:val="20"/>
        </w:rPr>
        <w:t>. Any determination made by the Committee or by an appropriately delegated officer pursuant to delegated authority under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Participants, and Eligible Individuals, and shall receive the maximum deference permitted under applicable laws.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i/>
          <w:color w:val="000000"/>
          <w:sz w:val="20"/>
        </w:rPr>
        <w:t>Award Agreements</w:t>
      </w:r>
      <w:r>
        <w:rPr>
          <w:rFonts w:ascii="Arial;sans-serif" w:hAnsi="Arial;sans-serif"/>
          <w:b w:val="false"/>
          <w:color w:val="000000"/>
          <w:sz w:val="20"/>
        </w:rPr>
        <w:t>. The terms and conditions of each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 the Participant receiving the Award unless specifically so provided in the Award Agreement. Award Agreements may be amended only in accordance with Section 11 hereof. Notwithstanding any provision of the Plan or an Award Agreement to the contrary, in the event that any term of an Award Agreement conflicts with any provision of the Plan that specifically pertains to Section 409A of the Code, the provision of the Plan shall govern.</w:t>
      </w:r>
    </w:p>
    <w:p>
      <w:pPr>
        <w:pStyle w:val="TextBody"/>
        <w:bidi w:val="0"/>
        <w:spacing w:before="0" w:after="0"/>
        <w:ind w:left="0" w:right="0" w:firstLine="720"/>
        <w:jc w:val="both"/>
        <w:rPr/>
      </w:pPr>
      <w:r>
        <w:rPr/>
      </w:r>
    </w:p>
    <w:tbl>
      <w:tblPr>
        <w:tblW w:w="4933"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105"/>
        <w:gridCol w:w="1105"/>
        <w:gridCol w:w="1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3780"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3.        Common Stock Subject to Plan</w:t>
            </w:r>
          </w:p>
        </w:tc>
      </w:tr>
    </w:tbl>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Plan Maximums</w:t>
      </w:r>
      <w:r>
        <w:rPr>
          <w:rFonts w:ascii="Arial;sans-serif" w:hAnsi="Arial;sans-serif"/>
          <w:b w:val="false"/>
          <w:color w:val="000000"/>
          <w:sz w:val="20"/>
        </w:rPr>
        <w:t xml:space="preserve">. Shares subject to an Award under the Plan shall be for an award granted as an inducement grant pursuant to Nasdaq Listing Rule 5635(c) or under the rules of an exchange on which the Common Stock is traded, to the extent it is not traded on Nasdaq. Subject to Sections 3(c) and 3(d), as of the Effective Date, the maximum number of Shares that may be delivered pursuant to Awards granted under the Plan is 100,000. Shares subject to an Award under the Plan may be authorized and unissued Shares or may be treasury Shares.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Rules for Calculating Shares Delivered.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the extent that any Award is forfeited, or any Option and the related Tandem SAR (if any) or Free-Standing SAR terminates, expires or lapses without being exercised (specifically including the Award contemplated by clause (iii) below), or any Award is settled for cash, the Shares subject to such Awards not delivered as a result thereof shall again be (or shall newly be, as applicable) available for Awards under the Plan.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12825"/>
                <wp:effectExtent l="0" t="0" r="0" b="0"/>
                <wp:wrapNone/>
                <wp:docPr id="48" name="Frame4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If the exercise price of any Option and/or the tax withholding obligations relating to any Award are satisfied by delivering Shares to the Company (by either actual delivery or by attestation), only the number of Shares issued net of the Shares delivered or attested to shall be deemed delivered for purposes of the limit set forth in Section 3(a). To the extent any Shares subject to an Award are withheld to satisfy the exercise price and/or the tax withholding obligations relating to any Award, such Shares shall not be deemed to have been delivered for purposes of the limit set forth in Section 3(a) and shall therefore again be (or shall newly be, as applicable) available for Awards under the Plan.</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86"/>
        <w:gridCol w:w="2786"/>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Any dividend equivalents distributed under the Plan shall count against the Share limit set forth in Section 3(a). Dividends and dividend equivalents will not be paid (or accrue) on unexercised Options or unexercised Stock Appreciation Rights. Any dividends or dividend equivalents payable on any other Awards under the plan shall be subject to the same vesting and risk of forfeiture as the underlying Award and shall be payment if, when and to the extent the underling Award has vested.</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(c)</w:t>
      </w:r>
      <w:r>
        <w:rPr>
          <w:rFonts w:ascii="Arial;sans-serif" w:hAnsi="Arial;sans-serif"/>
          <w:b w:val="false"/>
          <w:i/>
          <w:color w:val="000000"/>
          <w:sz w:val="20"/>
        </w:rPr>
        <w:t>Adjustment Provision</w:t>
      </w:r>
      <w:r>
        <w:rPr>
          <w:rFonts w:ascii="Arial;sans-serif" w:hAnsi="Arial;sans-serif"/>
          <w:b w:val="false"/>
          <w:color w:val="000000"/>
          <w:sz w:val="20"/>
        </w:rPr>
        <w:t>. In the event of a merger, consolidation, amalgamation acquisition of property or shares, stock rights offering, liquidation, Disaffiliation, or similar event affecting the Company or any of its Subsidiaries (each, a “</w:t>
      </w:r>
      <w:r>
        <w:rPr>
          <w:rFonts w:ascii="Arial;sans-serif" w:hAnsi="Arial;sans-serif"/>
          <w:b w:val="false"/>
          <w:i/>
          <w:color w:val="000000"/>
          <w:sz w:val="20"/>
        </w:rPr>
        <w:t>Corporate Transaction</w:t>
      </w:r>
      <w:r>
        <w:rPr>
          <w:color w:val="000000"/>
        </w:rPr>
        <w:t>”</w:t>
      </w:r>
      <w:r>
        <w:rPr>
          <w:rFonts w:ascii="Arial;sans-serif" w:hAnsi="Arial;sans-serif"/>
          <w:b w:val="false"/>
          <w:color w:val="000000"/>
          <w:sz w:val="20"/>
        </w:rPr>
        <w:t>), the Committee or the Board shall in its discretion make such substitutions or adjustments as it deems appropriate and equitable to (w) the aggregate number and kind of Shares or other securities reserved for issuance and delivery under the Plan, (x) the maximum limitation set forth in Section 3(a) upon certain types of Awards and upon the grants to individuals of certain types of Awards, (y) the number and kind of Shares or other securities subject to outstanding Awards; and (z) the exercise price of outstanding Options and Stock Appreciation Rights. 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Arial;sans-serif" w:hAnsi="Arial;sans-serif"/>
          <w:b w:val="false"/>
          <w:i/>
          <w:color w:val="000000"/>
          <w:sz w:val="20"/>
        </w:rPr>
        <w:t>Share Change</w:t>
      </w:r>
      <w:r>
        <w:rPr>
          <w:color w:val="000000"/>
        </w:rPr>
        <w:t>”</w:t>
      </w:r>
      <w:r>
        <w:rPr>
          <w:rFonts w:ascii="Arial;sans-serif" w:hAnsi="Arial;sans-serif"/>
          <w:b w:val="false"/>
          <w:color w:val="000000"/>
          <w:sz w:val="20"/>
        </w:rPr>
        <w:t xml:space="preserve">), the Committee or the Board shall make such substitutions or adjustments as it deems appropriate and equitable to (i) the aggregate number and kind of Shares or other securities reserved for issuance and delivery under the Plan, (ii) the maximum limitation set forth in Section 3(a) upon certain types of Awards and upon the grants to individuals of certain types of Awards, (iii) the number and kind of Shares or other securities subject to outstanding Awards; (iv) the exercise price of outstanding Options and Stock Appreciation Rights, and (v) and/or the terms and conditions of any outstanding Awards (including, without limitation, any applicable performance targets or criteria with respect thereto);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any fractional shares resulting from the adjustment shall be eliminated. 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stockholders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in its sole discretion the Performance Goals applicable to any Awards to reflect any Share Change and any Corporate Transaction and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the Company’s other SEC filings. Any adjustment under this Section 3(d) need not be the same for all Participants. Any adjustment of Shares pursuant to this Section 3(d) shall be rounded down to the nearest whole number of Shares. Under no circumstances shall the Company be required to authorize or issue fractional shares. To the extent permitted by applicable law, no consideration shall be provided as a result of any fractional shares not being issued or authorized.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i/>
          <w:color w:val="000000"/>
          <w:sz w:val="20"/>
        </w:rPr>
        <w:t>Section 409A</w:t>
      </w:r>
      <w:r>
        <w:rPr>
          <w:rFonts w:ascii="Arial;sans-serif" w:hAnsi="Arial;sans-serif"/>
          <w:b w:val="false"/>
          <w:color w:val="000000"/>
          <w:sz w:val="20"/>
        </w:rPr>
        <w:t>. Notwithstanding the foregoing: (i) any adjustments made pursuant to Section 3(d) to Awards that are considered “deferred 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12825"/>
                <wp:effectExtent l="0" t="0" r="0" b="0"/>
                <wp:wrapNone/>
                <wp:docPr id="49" name="Frame4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290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514"/>
        <w:gridCol w:w="514"/>
        <w:gridCol w:w="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175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4.        Eligibility</w:t>
            </w:r>
          </w:p>
        </w:tc>
      </w:tr>
    </w:tbl>
    <w:p>
      <w:pPr>
        <w:pStyle w:val="TextBody"/>
        <w:bidi w:val="0"/>
        <w:spacing w:before="0" w:after="0"/>
        <w:jc w:val="left"/>
        <w:rPr/>
      </w:pPr>
      <w:r>
        <w:rPr/>
      </w:r>
    </w:p>
    <w:p>
      <w:pPr>
        <w:pStyle w:val="TextBody"/>
        <w:bidi w:val="0"/>
        <w:spacing w:lineRule="auto" w:line="240"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Awards may be granted under the Plan to Eligible Individuals.</w:t>
      </w:r>
    </w:p>
    <w:tbl>
      <w:tblPr>
        <w:tblW w:w="5637"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311"/>
        <w:gridCol w:w="1311"/>
        <w:gridCol w:w="1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4484"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5.        Options and Stock Appreciation Rights</w:t>
            </w:r>
          </w:p>
        </w:tc>
      </w:tr>
    </w:tbl>
    <w:p>
      <w:pPr>
        <w:pStyle w:val="TextBody"/>
        <w:bidi w:val="0"/>
        <w:spacing w:before="0" w:after="0"/>
        <w:jc w:val="left"/>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Type of Options</w:t>
      </w:r>
      <w:r>
        <w:rPr>
          <w:rFonts w:ascii="Arial;sans-serif" w:hAnsi="Arial;sans-serif"/>
          <w:b w:val="false"/>
          <w:color w:val="000000"/>
          <w:sz w:val="20"/>
        </w:rPr>
        <w:t xml:space="preserve">. Options may be Nonqualified Options.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Types and Nature of Stock Appreciation Rights</w:t>
      </w:r>
      <w:r>
        <w:rPr>
          <w:rFonts w:ascii="Arial;sans-serif" w:hAnsi="Arial;sans-serif"/>
          <w:b w:val="false"/>
          <w:color w:val="000000"/>
          <w:sz w:val="20"/>
        </w:rPr>
        <w:t>. Stock Appreciation Rights may be “</w:t>
      </w:r>
      <w:r>
        <w:rPr>
          <w:rFonts w:ascii="Arial;sans-serif" w:hAnsi="Arial;sans-serif"/>
          <w:b w:val="false"/>
          <w:i/>
          <w:color w:val="000000"/>
          <w:sz w:val="20"/>
        </w:rPr>
        <w:t>Tandem SARs</w:t>
      </w:r>
      <w:r>
        <w:rPr>
          <w:rFonts w:ascii="Arial;sans-serif" w:hAnsi="Arial;sans-serif"/>
          <w:b w:val="false"/>
          <w:color w:val="000000"/>
          <w:sz w:val="20"/>
        </w:rPr>
        <w:t>,” which are granted in conjunction with an Option, or “</w:t>
      </w:r>
      <w:r>
        <w:rPr>
          <w:rFonts w:ascii="Arial;sans-serif" w:hAnsi="Arial;sans-serif"/>
          <w:b w:val="false"/>
          <w:i/>
          <w:color w:val="000000"/>
          <w:sz w:val="20"/>
        </w:rPr>
        <w:t>Free-Standing SARs</w:t>
      </w:r>
      <w:r>
        <w:rPr>
          <w:rFonts w:ascii="Arial;sans-serif" w:hAnsi="Arial;sans-serif"/>
          <w:b w:val="false"/>
          <w:color w:val="000000"/>
          <w:sz w:val="20"/>
        </w:rPr>
        <w:t>,” which are not granted in conjunction with an Option. Upon the exercise of a Stock Appreciation Right, the Participant shall be entitled to receive an amount in cash, Shares, or both, in aggregate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(c)</w:t>
      </w:r>
      <w:r>
        <w:rPr>
          <w:rFonts w:ascii="Arial;sans-serif" w:hAnsi="Arial;sans-serif"/>
          <w:b w:val="false"/>
          <w:i/>
          <w:color w:val="000000"/>
          <w:sz w:val="20"/>
        </w:rPr>
        <w:t>Tandem SARs</w:t>
      </w:r>
      <w:r>
        <w:rPr>
          <w:rFonts w:ascii="Arial;sans-serif" w:hAnsi="Arial;sans-serif"/>
          <w:b w:val="false"/>
          <w:color w:val="000000"/>
          <w:sz w:val="20"/>
        </w:rPr>
        <w:t>. A Tandem SAR may be granted at the Grant Date of the related Option. A Tandem SAR shall be exercisable only at such time or times and to the extent that the related Option is exercisable in accordance with the provisions of this Section 5, and shall have the same exercise price as the related Option. A Tandem SAR shall proportionately terminate or be forfeited upon the exercise or forfeiture of the related Option, and the related Option shall proportionately terminate or be forfeited upon the exercise or forfeiture of the Tandem SAR.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i/>
          <w:color w:val="000000"/>
          <w:sz w:val="20"/>
        </w:rPr>
        <w:t>Exercise Price</w:t>
      </w:r>
      <w:r>
        <w:rPr>
          <w:rFonts w:ascii="Arial;sans-serif" w:hAnsi="Arial;sans-serif"/>
          <w:b w:val="false"/>
          <w:color w:val="000000"/>
          <w:sz w:val="20"/>
        </w:rPr>
        <w:t>. The exercise price per Share subject to an Option or Free-Standing SAR shall be determined by the Committee and set forth in the applicable Award Agreement, and shall not be less than the Fair Market Value of a Share on the applicable Grant Date. In no event may any Option or Free-Standing SAR granted under this Plan be amended, other than pursuant to Section 3(d), to decrease the exercise price thereof, to be canceled when the exercise price per Share exceeds the Fair Market Value of one Share in exchange for cash or another Award (other than in connection with a Corporate Transaction), or otherwise be subject to any action that would be treated, for accounting purposes, as a “repricing” of such Option or Free-Standing SAR, unless such amendment, cancellation, or action is approved by the Administrator, or the Company’s stockholders, if required.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(e)</w:t>
      </w:r>
      <w:r>
        <w:rPr>
          <w:rFonts w:ascii="Arial;sans-serif" w:hAnsi="Arial;sans-serif"/>
          <w:b w:val="false"/>
          <w:i/>
          <w:color w:val="000000"/>
          <w:sz w:val="20"/>
        </w:rPr>
        <w:t>Term</w:t>
      </w:r>
      <w:r>
        <w:rPr>
          <w:rFonts w:ascii="Arial;sans-serif" w:hAnsi="Arial;sans-serif"/>
          <w:b w:val="false"/>
          <w:color w:val="000000"/>
          <w:sz w:val="20"/>
        </w:rPr>
        <w:t>. The Term of each Option and each Free-Standing SAR shall be fixed by the Committee, but shall not exceed ten years from the Grant Date.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(f)</w:t>
      </w:r>
      <w:r>
        <w:rPr>
          <w:rFonts w:ascii="Arial;sans-serif" w:hAnsi="Arial;sans-serif"/>
          <w:b w:val="false"/>
          <w:i/>
          <w:color w:val="000000"/>
          <w:sz w:val="20"/>
        </w:rPr>
        <w:t>Vesting and Exercisability</w:t>
      </w:r>
      <w:r>
        <w:rPr>
          <w:rFonts w:ascii="Arial;sans-serif" w:hAnsi="Arial;sans-serif"/>
          <w:b w:val="false"/>
          <w:color w:val="000000"/>
          <w:sz w:val="20"/>
        </w:rPr>
        <w:t>. Except as otherwise provided herein, Options and Free-Standing SARs shall be exercisable at such time or 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(g)</w:t>
      </w:r>
      <w:r>
        <w:rPr>
          <w:rFonts w:ascii="Arial;sans-serif" w:hAnsi="Arial;sans-serif"/>
          <w:b w:val="false"/>
          <w:i/>
          <w:color w:val="000000"/>
          <w:sz w:val="20"/>
        </w:rPr>
        <w:t>Method of Exercise</w:t>
      </w:r>
      <w:r>
        <w:rPr>
          <w:rFonts w:ascii="Arial;sans-serif" w:hAnsi="Arial;sans-serif"/>
          <w:b w:val="false"/>
          <w:color w:val="000000"/>
          <w:sz w:val="20"/>
        </w:rPr>
        <w:t>. Subject to the provisions of this Section 5, Options and Free-Standing SARs may be exercised, in whole or in part, at any time during the applicable Term by giving written notice of exercise to the Company or through the procedures established with the Company’s appointed third-party Option administrator specifying the number of Shares as to which the Option or Free-Standing SAR is being exercised; </w:t>
      </w:r>
      <w:r>
        <w:rPr>
          <w:rFonts w:ascii="Arial;sans-serif" w:hAnsi="Arial;sans-serif"/>
          <w:b w:val="false"/>
          <w:i/>
          <w:color w:val="000000"/>
          <w:sz w:val="20"/>
        </w:rPr>
        <w:t>provided, however</w:t>
      </w:r>
      <w:r>
        <w:rPr>
          <w:rFonts w:ascii="Arial;sans-serif" w:hAnsi="Arial;sans-serif"/>
          <w:b w:val="false"/>
          <w:color w:val="000000"/>
          <w:sz w:val="20"/>
        </w:rPr>
        <w:t>, that, unless otherwise permitted by the Committee, any such exercise must be with respect to a portion of the applicable Option or Free-Standing SAR relating to no less than the lesser of the number of 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12825"/>
                <wp:effectExtent l="0" t="0" r="0" b="0"/>
                <wp:wrapNone/>
                <wp:docPr id="50" name="Frame4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2"/>
        <w:gridCol w:w="112"/>
        <w:gridCol w:w="112"/>
        <w:gridCol w:w="2782"/>
        <w:gridCol w:w="2782"/>
        <w:gridCol w:w="3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27"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Payment may be made by instructing the Company to withhold a number of Shares having a Fair Market Value (based on the Fair Market Value of the Common Stock on the date the applicable Option is exercised) equal to the product of (A) the exercise price multiplied by (B) the number of Shares in respect of which the Option shall have been exercised.</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(h)</w:t>
      </w:r>
      <w:r>
        <w:rPr>
          <w:rFonts w:ascii="Arial;sans-serif" w:hAnsi="Arial;sans-serif"/>
          <w:b w:val="false"/>
          <w:i/>
          <w:color w:val="000000"/>
          <w:sz w:val="20"/>
        </w:rPr>
        <w:t>Delivery; Rights of Stockholders</w:t>
      </w:r>
      <w:r>
        <w:rPr>
          <w:rFonts w:ascii="Arial;sans-serif" w:hAnsi="Arial;sans-serif"/>
          <w:b w:val="false"/>
          <w:color w:val="000000"/>
          <w:sz w:val="20"/>
        </w:rPr>
        <w:t>. No Shares shall be delivered (and, in the case of an Option and Stock Appreciation Right, such Award shall not be deemed exercised) pursuant to the exercise of an Option until the exercise price therefor has been fully paid and the Participant has satisfied any applicable withholding or tax obligations relating to the Option. The Participant’s Awards shall be deemed exercised and the Participant shall have all of the rights of a stockholder of the Company holding the class or series of Common Stock that is subject to the Option or Stock Appreciation Right, when the Participant (i) has given written notice of exercise, (ii) if requested, has given the representation described in Section 13(a), (iii) in the case of an Option, has paid in full for such Shares, and (iv) has satisfied any applicable withholding or tax obligations relating to the Option or Stock Appreciation Right.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(i)</w:t>
      </w:r>
      <w:r>
        <w:rPr>
          <w:rFonts w:ascii="Arial;sans-serif" w:hAnsi="Arial;sans-serif"/>
          <w:b w:val="false"/>
          <w:color w:val="000000"/>
          <w:sz w:val="20"/>
        </w:rPr>
        <w:t>Termination of Employment. Subject to Section 9, a Participant’s Options and Stock Appreciation Rights shall be forfeited upon such Participant’s Termination of Employment, except as set forth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Upon a Participant’s Termination of Employment by reason of death, any Option or Stock Appreciation Right held by the Participant that was exercisable immediately before the Termination of Employment may be exercised at any time until the earlier of (A) the first anniversary of the date of such death and (B) the expiration of the Term thereof;</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Upon a Participant’s Termination of Employment by reason of Disability or Retirement, any Option or Stock Appreciation Right held by the Participant that was exercisable immediately before the Termination of Employment may be exercised at any time until the earlier of (A) the first anniversary of such Termination of Employment and (B) the expiration of the Term thereof;</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91"/>
        <w:gridCol w:w="2791"/>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Upon a Participant’s Termination of Employment for any reason other than death, Disability, Retirement or for Cause, any Option or Stock Appreciation Right held by the Participant that was exercisable immediately before the Termination of Employment may be exercised at any time until the earlier of (A) three months following such Termination of Employment and (B) expiration of the Term thereof;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87"/>
        <w:gridCol w:w="2787"/>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(iv)</w:t>
            </w:r>
          </w:p>
        </w:tc>
        <w:tc>
          <w:tcPr>
            <w:tcW w:w="95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Notwithstanding the above provisions of this Section 5(i), if a Participant dies after such Participant’s Termination of Employment but while any Option or Stock Appreciation Right remains exercisable as set forth above, such Option or Stock Appreciation Right may be exercised at any time until the later of (A) the first anniversary of the date of such death and (B) the last date on which such Option or Stock Appreciation Right would have been exercisable, absent this Section 5(i)(iv), but in no event later than the expiration of the Term thereof.</w:t>
            </w:r>
          </w:p>
        </w:tc>
      </w:tr>
    </w:tbl>
    <w:p>
      <w:pPr>
        <w:pStyle w:val="TextBody"/>
        <w:bidi w:val="0"/>
        <w:spacing w:lineRule="auto" w:line="240" w:before="0" w:after="240"/>
        <w:jc w:val="both"/>
        <w:rPr/>
      </w:pPr>
      <w:r>
        <w:rPr>
          <w:rFonts w:ascii="Arial;sans-serif" w:hAnsi="Arial;sans-serif"/>
          <w:b w:val="false"/>
          <w:color w:val="000000"/>
          <w:sz w:val="20"/>
        </w:rPr>
        <w:t>Notwithstanding the foregoing, the Committee shall have the power, in its discretion, to apply different rules concerning the consequences of a Termination of Employment; </w:t>
      </w:r>
      <w:r>
        <w:rPr>
          <w:rFonts w:ascii="Arial;sans-serif" w:hAnsi="Arial;sans-serif"/>
          <w:b w:val="false"/>
          <w:i/>
          <w:color w:val="000000"/>
          <w:sz w:val="20"/>
        </w:rPr>
        <w:t>provided, however</w:t>
      </w:r>
      <w:r>
        <w:rPr>
          <w:rFonts w:ascii="Arial;sans-serif" w:hAnsi="Arial;sans-serif"/>
          <w:b w:val="false"/>
          <w:color w:val="000000"/>
          <w:sz w:val="20"/>
        </w:rPr>
        <w:t>, that if such rules are less favorable to the Participant than those set forth above, such rules are set forth in the applicable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12825"/>
                <wp:effectExtent l="0" t="0" r="0" b="0"/>
                <wp:wrapNone/>
                <wp:docPr id="51" name="Frame4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Arial;sans-serif" w:hAnsi="Arial;sans-serif"/>
          <w:b w:val="false"/>
          <w:color w:val="454545"/>
          <w:sz w:val="20"/>
        </w:rPr>
        <w:t>(j)</w:t>
      </w:r>
      <w:r>
        <w:rPr>
          <w:rFonts w:ascii="Arial;sans-serif" w:hAnsi="Arial;sans-serif"/>
          <w:b w:val="false"/>
          <w:i/>
          <w:color w:val="000000"/>
          <w:sz w:val="20"/>
        </w:rPr>
        <w:t>Nontransferability of Options and Stock Appreciation Rights</w:t>
      </w:r>
      <w:r>
        <w:rPr>
          <w:rFonts w:ascii="Arial;sans-serif" w:hAnsi="Arial;sans-serif"/>
          <w:b w:val="false"/>
          <w:color w:val="000000"/>
          <w:sz w:val="20"/>
        </w:rPr>
        <w:t>. No Option or Free-Standing SAR shall be transferable by a Participant other than (i) by will or by the laws of descent and distribution, or (ii) in the case of a Nonqualified Option or Free-Standing SAR, pursuant to a qualified domestic relations order or as otherwise expressly permitted by the Committee including (in each case, for no consideration),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 “Participant” includes such guardian, legal representative and other transferee; </w:t>
      </w:r>
      <w:r>
        <w:rPr>
          <w:rFonts w:ascii="Arial;sans-serif" w:hAnsi="Arial;sans-serif"/>
          <w:b w:val="false"/>
          <w:i/>
          <w:color w:val="000000"/>
          <w:sz w:val="20"/>
        </w:rPr>
        <w:t>provided, however</w:t>
      </w:r>
      <w:r>
        <w:rPr>
          <w:rFonts w:ascii="Arial;sans-serif" w:hAnsi="Arial;sans-serif"/>
          <w:b w:val="false"/>
          <w:color w:val="000000"/>
          <w:sz w:val="20"/>
        </w:rPr>
        <w:t>, that the term “Termination of Employment” shall continue to refer to the Termination of Employment of the original Participant.</w:t>
      </w:r>
    </w:p>
    <w:p>
      <w:pPr>
        <w:pStyle w:val="TextBody"/>
        <w:bidi w:val="0"/>
        <w:spacing w:lineRule="auto" w:line="240" w:before="0" w:after="0"/>
        <w:jc w:val="left"/>
        <w:rPr>
          <w:color w:val="000000"/>
        </w:rPr>
      </w:pPr>
      <w:r>
        <w:rPr>
          <w:color w:val="000000"/>
        </w:rPr>
        <w:t> </w:t>
      </w:r>
    </w:p>
    <w:tbl>
      <w:tblPr>
        <w:tblW w:w="3523"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2370"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6.        Restricted Stock</w:t>
            </w:r>
          </w:p>
        </w:tc>
      </w:tr>
    </w:tbl>
    <w:p>
      <w:pPr>
        <w:pStyle w:val="TextBody"/>
        <w:bidi w:val="0"/>
        <w:spacing w:before="0" w:after="0"/>
        <w:jc w:val="left"/>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Nature of Awards and Certificates</w:t>
      </w:r>
      <w:r>
        <w:rPr>
          <w:rFonts w:ascii="Arial;sans-serif" w:hAnsi="Arial;sans-serif"/>
          <w:b w:val="false"/>
          <w:color w:val="000000"/>
          <w:sz w:val="20"/>
        </w:rPr>
        <w:t>.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in the case of Restricted Stock, shall bear an appropriate legend referring to the terms, conditions, and restrictions applicable to such Award, substantially in the following form, in addition to any other legend the Committee determines appropriate:</w:t>
      </w:r>
    </w:p>
    <w:p>
      <w:pPr>
        <w:pStyle w:val="TextBody"/>
        <w:bidi w:val="0"/>
        <w:spacing w:before="0" w:after="0"/>
        <w:jc w:val="both"/>
        <w:rPr/>
      </w:pPr>
      <w:r>
        <w:rPr/>
      </w:r>
    </w:p>
    <w:p>
      <w:pPr>
        <w:pStyle w:val="TextBody"/>
        <w:bidi w:val="0"/>
        <w:spacing w:lineRule="auto" w:line="240" w:before="0" w:after="240"/>
        <w:jc w:val="both"/>
        <w:rPr>
          <w:color w:val="000000"/>
        </w:rPr>
      </w:pPr>
      <w:r>
        <w:rPr>
          <w:color w:val="000000"/>
        </w:rPr>
        <w:t>“</w:t>
      </w:r>
      <w:r>
        <w:rPr>
          <w:rFonts w:ascii="Arial;sans-serif" w:hAnsi="Arial;sans-serif"/>
          <w:b w:val="false"/>
          <w:color w:val="000000"/>
          <w:sz w:val="20"/>
        </w:rPr>
        <w:t>The transferability of this certificate and the shares of stock represented hereby are subject to the terms and conditions (including forfeiture) of the LendingTree, Inc. 2023 Inducement Grant Plan and an Award Agreement. Copies of such Plan and Award Agreement are on file at the offices of LendingTree, Inc., 1415 Vantage Park Drive, Suite 700, Charlotte, NC 28203.”</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Terms and Conditions</w:t>
      </w:r>
      <w:r>
        <w:rPr>
          <w:rFonts w:ascii="Arial;sans-serif" w:hAnsi="Arial;sans-serif"/>
          <w:b w:val="false"/>
          <w:color w:val="000000"/>
          <w:sz w:val="20"/>
        </w:rPr>
        <w:t>. Shares of Restricted Stock shall be subject to the following terms and conditions: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The conditions for grant, vesting, or transferability and the other provisions of Restricted Stock Awards (including without limitation any Performance Goals) need not be the same with respect to each Participant.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Arial;sans-serif" w:hAnsi="Arial;sans-serif"/>
                <w:b w:val="false"/>
                <w:color w:val="000000"/>
                <w:sz w:val="20"/>
              </w:rPr>
              <w:t>Subject to the provisions of the Plan and the applicable Award Agreement, during the period, if any, set by the Committee, commencing with the date of such Restricted Stock Award for which such vesting restrictions apply and until the expiration of such vesting restrictions (the “</w:t>
            </w:r>
            <w:r>
              <w:rPr>
                <w:rFonts w:ascii="Arial;sans-serif" w:hAnsi="Arial;sans-serif"/>
                <w:b w:val="false"/>
                <w:i/>
                <w:color w:val="000000"/>
                <w:sz w:val="20"/>
              </w:rPr>
              <w:t>Restriction Period</w:t>
            </w:r>
            <w:r>
              <w:rPr>
                <w:color w:val="000000"/>
              </w:rPr>
              <w:t>”</w:t>
            </w:r>
            <w:r>
              <w:rPr>
                <w:rFonts w:ascii="Arial;sans-serif" w:hAnsi="Arial;sans-serif"/>
                <w:b w:val="false"/>
                <w:color w:val="000000"/>
                <w:sz w:val="20"/>
              </w:rPr>
              <w:t>), the Participant shall not be permitted to sell, assign, transfer, pledge or otherwise encumber Shares of Restricted Stock.</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6"/>
        <w:gridCol w:w="278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33"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Except as provided in this Section 6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For the avoidance of doubt, Participants shall be eligible to receive dividends in respect of their Shares of Restricted Stock, subject to Section 13(e) and the vesting of the underlying Restricted Stock, and any such dividends shall not be paid prior to such vesting.</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12825"/>
                <wp:effectExtent l="0" t="0" r="0" b="0"/>
                <wp:wrapNone/>
                <wp:docPr id="52" name="Frame5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86"/>
        <w:gridCol w:w="2786"/>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(iv)</w:t>
            </w:r>
          </w:p>
        </w:tc>
        <w:tc>
          <w:tcPr>
            <w:tcW w:w="9530"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Except as otherwise set forth in the applicable Award Agreement, upon a Participant’s Termination of Employment for any reason during the Restriction Period, all Shares of Restricted Stock still subject to restriction shall be forfeited by such Participant without consideration (except for repayment of any amounts the Participant had paid to the Company to acquire unvested Shares underlying the forfeited Awards); provided, however, that the Committee shall have the discretion to waive, in whole or in part, any or all remaining restrictions with respect to any or all of such Participant’s Shares of Restricted Stock.</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If and when any applicable Performance Goals are satisfied and the Restriction Period expires without a prior forfeiture of the Shares of Restricted Stock for which legended certificates have been issued, unlegended certificates for such Shares shall be delivered to the Participant upon surrender of the legended certificates.</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4063"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851"/>
        <w:gridCol w:w="851"/>
        <w:gridCol w:w="12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2910"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7.        Restricted Stock Units</w:t>
            </w:r>
          </w:p>
        </w:tc>
      </w:tr>
    </w:tbl>
    <w:p>
      <w:pPr>
        <w:pStyle w:val="TextBody"/>
        <w:bidi w:val="0"/>
        <w:spacing w:before="0" w:after="0"/>
        <w:ind w:left="0" w:right="0" w:hanging="720"/>
        <w:jc w:val="left"/>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Nature of Awards</w:t>
      </w:r>
      <w:r>
        <w:rPr>
          <w:rFonts w:ascii="Arial;sans-serif" w:hAnsi="Arial;sans-serif"/>
          <w:b w:val="false"/>
          <w:color w:val="000000"/>
          <w:sz w:val="20"/>
        </w:rPr>
        <w:t>. Restricted Stock Units are Awards denominated in Shares that will be settled, subject to the terms and conditions of the Restricted Stock Units, in an amount in cash, Shares or both, based upon the Fair Market Value of a specified number of Shares.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Terms and Conditions</w:t>
      </w:r>
      <w:r>
        <w:rPr>
          <w:rFonts w:ascii="Arial;sans-serif" w:hAnsi="Arial;sans-serif"/>
          <w:b w:val="false"/>
          <w:color w:val="000000"/>
          <w:sz w:val="20"/>
        </w:rPr>
        <w:t>. Restricted Stock Units shall be subject to the following terms and conditions: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The conditions for grant, vesting or transferability and the other provisions of Restricted Stock Units (including without limitation any Performance Goals) need not be the same with respect to each Participant. Except as otherwise provided in Section 7(b)(iv) or in the applicable Award Agreement, an Award of Restricted Stock Units shall be settled if and when the Restricted Stock Units vest (but in no event later than two and a half months after the end of the fiscal year in which the Restricted Stock Units vest).</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Subject to the provisions of the Plan and the applicable Award Agreement, during the period, if any, set by the Committee, commencing with the date of such Restricted Stock Units for which such vesting restrictions apply and until the expiration of such vesting restrictions (the “</w:t>
            </w:r>
            <w:r>
              <w:rPr>
                <w:rFonts w:ascii="Arial;sans-serif" w:hAnsi="Arial;sans-serif"/>
                <w:b w:val="false"/>
                <w:i/>
                <w:color w:val="000000"/>
                <w:sz w:val="20"/>
              </w:rPr>
              <w:t>Restriction Period</w:t>
            </w:r>
            <w:r>
              <w:rPr>
                <w:color w:val="000000"/>
              </w:rPr>
              <w:t>”</w:t>
            </w:r>
            <w:r>
              <w:rPr>
                <w:rFonts w:ascii="Arial;sans-serif" w:hAnsi="Arial;sans-serif"/>
                <w:b w:val="false"/>
                <w:color w:val="000000"/>
                <w:sz w:val="20"/>
              </w:rPr>
              <w:t>), the Participant shall not be permitted to sell, assign, transfer, pledge or otherwise encumber Restricted Stock Units.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791"/>
        <w:gridCol w:w="2791"/>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3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The Award Agreement for Restricted Stock Units shall specify whether, to what extent and on what terms and conditions the applicable Participant shall be entitled to receive dividend equivalents (subject to Section 13(e) below); </w:t>
            </w:r>
            <w:r>
              <w:rPr>
                <w:rFonts w:ascii="Arial;sans-serif" w:hAnsi="Arial;sans-serif"/>
                <w:b w:val="false"/>
                <w:i/>
                <w:color w:val="000000"/>
                <w:sz w:val="20"/>
              </w:rPr>
              <w:t>provided</w:t>
            </w:r>
            <w:r>
              <w:rPr>
                <w:color w:val="000000"/>
              </w:rPr>
              <w:t> </w:t>
            </w:r>
            <w:r>
              <w:rPr>
                <w:rFonts w:ascii="Arial;sans-serif" w:hAnsi="Arial;sans-serif"/>
                <w:b w:val="false"/>
                <w:color w:val="000000"/>
                <w:sz w:val="20"/>
              </w:rPr>
              <w:t>that any dividend equivalents shall be subject to the vesting of the underlying Restricted Stock Units. For the avoidance of doubt, any such cash, Common Stock or other property shall not be paid prior to such vesting.</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90"/>
        <w:gridCol w:w="2790"/>
        <w:gridCol w:w="3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(iv)</w:t>
            </w:r>
          </w:p>
        </w:tc>
        <w:tc>
          <w:tcPr>
            <w:tcW w:w="9533"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Except as otherwise set forth in the applicable Award Agreement, upon a Participant’s Termination of Employment for any reason during the Restriction Period, all Restricted Stock Units still subject to restriction shall be forfeited by such Participant; provided, however, that the Committee shall have the discretion to waive, in whole or in part, any or all remaining restrictions with respect to any or all of such Participant’s Restricted Stock Units, provided, however, if any of such Participant’s Restricted Stock Units constitute a “nonqualified deferred compensation plan” within the meaning of Section 409A of the Code, settlement of such Restricted Stock Units shall not occur until the earliest of (1) the date such Restricted Stock Units would otherwise be settled pursuant to the terms of the Award Agreement or (2) the Participant’s “separation of service” within the meaning of Section 409A of the Code.</w:t>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12825"/>
                <wp:effectExtent l="0" t="0" r="0" b="0"/>
                <wp:wrapNone/>
                <wp:docPr id="53" name="Frame5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483"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974"/>
        <w:gridCol w:w="974"/>
        <w:gridCol w:w="13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3330"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8.        Other Stock-Based Awards</w:t>
            </w:r>
          </w:p>
        </w:tc>
      </w:tr>
    </w:tbl>
    <w:p>
      <w:pPr>
        <w:pStyle w:val="TextBody"/>
        <w:bidi w:val="0"/>
        <w:spacing w:lineRule="auto" w:line="240" w:before="0" w:after="0"/>
        <w:ind w:left="0" w:right="0" w:hanging="720"/>
        <w:jc w:val="left"/>
        <w:rPr>
          <w:color w:val="000000"/>
        </w:rPr>
      </w:pPr>
      <w:r>
        <w:rPr>
          <w:color w:val="000000"/>
        </w:rPr>
        <w:t> </w:t>
      </w:r>
    </w:p>
    <w:p>
      <w:pPr>
        <w:pStyle w:val="TextBody"/>
        <w:bidi w:val="0"/>
        <w:spacing w:lineRule="auto" w:line="240"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the Plan (in each case subject to the terms of the Plan, including but not limited to, Section 3(c)(iii)).</w:t>
      </w:r>
    </w:p>
    <w:p>
      <w:pPr>
        <w:pStyle w:val="TextBody"/>
        <w:bidi w:val="0"/>
        <w:spacing w:lineRule="auto" w:line="240" w:before="0" w:after="0"/>
        <w:ind w:left="0" w:right="0" w:firstLine="720"/>
        <w:jc w:val="both"/>
        <w:rPr>
          <w:color w:val="000000"/>
        </w:rPr>
      </w:pPr>
      <w:r>
        <w:rPr>
          <w:color w:val="000000"/>
        </w:rPr>
        <w:t> </w:t>
      </w:r>
    </w:p>
    <w:tbl>
      <w:tblPr>
        <w:tblW w:w="476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059"/>
        <w:gridCol w:w="1059"/>
        <w:gridCol w:w="14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361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9.        Change in Control Provisions</w:t>
            </w:r>
          </w:p>
        </w:tc>
      </w:tr>
    </w:tbl>
    <w:p>
      <w:pPr>
        <w:pStyle w:val="TextBody"/>
        <w:bidi w:val="0"/>
        <w:spacing w:lineRule="auto" w:line="240" w:before="0" w:after="0"/>
        <w:ind w:left="0" w:right="0" w:hanging="720"/>
        <w:jc w:val="both"/>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Impact of Event</w:t>
      </w:r>
      <w:r>
        <w:rPr>
          <w:rFonts w:ascii="Arial;sans-serif" w:hAnsi="Arial;sans-serif"/>
          <w:b w:val="false"/>
          <w:color w:val="000000"/>
          <w:sz w:val="20"/>
        </w:rPr>
        <w:t>. Subject to paragraph (d) of this Section 9, Section 3(d), and paragraph (d) of Section 11, unless otherwise provided in any applicable Award Agreement, in connection with a Change in Control, the Committee may make such adjustments and/or settlements of outstanding Awards as it deems appropriate and consistent with the Plan’s purposes, including, without limitation, the termination of and/or acceleration of vesting of Awards either upon a Change in Control or upon various terminations of employment following a Change in Control. The Committee may provide for such adjustments as a term of the Award or may make such adjustments following the granting of the Award.</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Definition of Change in Control</w:t>
      </w:r>
      <w:r>
        <w:rPr>
          <w:rFonts w:ascii="Arial;sans-serif" w:hAnsi="Arial;sans-serif"/>
          <w:b w:val="false"/>
          <w:color w:val="000000"/>
          <w:sz w:val="20"/>
        </w:rPr>
        <w:t>. For purposes of the Plan, unless otherwise provided in an option agreement or other agreement relating to an Award, a “</w:t>
      </w:r>
      <w:r>
        <w:rPr>
          <w:rFonts w:ascii="Arial;sans-serif" w:hAnsi="Arial;sans-serif"/>
          <w:b w:val="false"/>
          <w:i/>
          <w:color w:val="000000"/>
          <w:sz w:val="20"/>
        </w:rPr>
        <w:t>Change in Control</w:t>
      </w:r>
      <w:r>
        <w:rPr>
          <w:color w:val="000000"/>
        </w:rPr>
        <w:t xml:space="preserve">” </w:t>
      </w:r>
      <w:r>
        <w:rPr>
          <w:rFonts w:ascii="Arial;sans-serif" w:hAnsi="Arial;sans-serif"/>
          <w:b w:val="false"/>
          <w:color w:val="000000"/>
          <w:sz w:val="20"/>
        </w:rPr>
        <w:t>shall mean the happening of any of the following events: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Arial;sans-serif" w:hAnsi="Arial;sans-serif"/>
                <w:b w:val="false"/>
                <w:color w:val="000000"/>
                <w:sz w:val="20"/>
              </w:rPr>
              <w:t>The acquisition by any individual, entity or Group (a “</w:t>
            </w:r>
            <w:r>
              <w:rPr>
                <w:rFonts w:ascii="Arial;sans-serif" w:hAnsi="Arial;sans-serif"/>
                <w:b w:val="false"/>
                <w:i/>
                <w:color w:val="000000"/>
                <w:sz w:val="20"/>
              </w:rPr>
              <w:t>Person</w:t>
            </w:r>
            <w:r>
              <w:rPr>
                <w:color w:val="000000"/>
              </w:rPr>
              <w:t>”</w:t>
            </w:r>
            <w:r>
              <w:rPr>
                <w:rFonts w:ascii="Arial;sans-serif" w:hAnsi="Arial;sans-serif"/>
                <w:b w:val="false"/>
                <w:color w:val="000000"/>
                <w:sz w:val="20"/>
              </w:rPr>
              <w:t>), other than the Company, of Beneficial Ownership of equity securities of the Company representing more than 50% of the voting power of the then outstanding equity securities of the Company entitled to vote generally in the election of directors (the “</w:t>
            </w:r>
            <w:r>
              <w:rPr>
                <w:rFonts w:ascii="Arial;sans-serif" w:hAnsi="Arial;sans-serif"/>
                <w:b w:val="false"/>
                <w:i/>
                <w:color w:val="000000"/>
                <w:sz w:val="20"/>
              </w:rPr>
              <w:t>Outstanding Company Voting Securities</w:t>
            </w:r>
            <w:r>
              <w:rPr>
                <w:color w:val="000000"/>
              </w:rPr>
              <w:t>”</w:t>
            </w:r>
            <w:r>
              <w:rPr>
                <w:rFonts w:ascii="Arial;sans-serif" w:hAnsi="Arial;sans-serif"/>
                <w:b w:val="false"/>
                <w:color w:val="000000"/>
                <w:sz w:val="20"/>
              </w:rPr>
              <w:t>); provided, however, that any acquisition that would constitute a Change in Control under this subsection (i) that is also a Business Combination shall be determined exclusively under subsection (iii) below; 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Arial;sans-serif" w:hAnsi="Arial;sans-serif"/>
                <w:b w:val="false"/>
                <w:color w:val="000000"/>
                <w:sz w:val="20"/>
              </w:rPr>
              <w:t>Individuals who, as of the Effective Date, constitute the Board (the “</w:t>
            </w:r>
            <w:r>
              <w:rPr>
                <w:rFonts w:ascii="Arial;sans-serif" w:hAnsi="Arial;sans-serif"/>
                <w:b w:val="false"/>
                <w:i/>
                <w:color w:val="000000"/>
                <w:sz w:val="20"/>
              </w:rPr>
              <w:t>Incumbent Directors</w:t>
            </w:r>
            <w:r>
              <w:rPr>
                <w:color w:val="000000"/>
              </w:rPr>
              <w:t>”</w:t>
            </w:r>
            <w:r>
              <w:rPr>
                <w:rFonts w:ascii="Arial;sans-serif" w:hAnsi="Arial;sans-serif"/>
                <w:b w:val="false"/>
                <w:color w:val="000000"/>
                <w:sz w:val="20"/>
              </w:rPr>
              <w:t>) cease for any reason to constitute at least a majority of the Board during any 24 months period; provided, however, that any individual becoming a director subsequent to the Effective Date, whose election, or nomination for election by the Company’s stockholders, was approved by a vote of at least a majority of the Incumbent Directors at such time shall become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9"/>
        <w:gridCol w:w="2789"/>
        <w:gridCol w:w="39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(iii)</w:t>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Arial;sans-serif" w:hAnsi="Arial;sans-serif"/>
                <w:b w:val="false"/>
                <w:color w:val="000000"/>
                <w:sz w:val="20"/>
              </w:rPr>
              <w:t>Consummation of a reorganization, merger, consolidation, amalgamation, sale or other disposition of all or substantially all of the assets of the Company, the purchase of assets or stock of another entity, or other similar corporate transaction (a “</w:t>
            </w:r>
            <w:r>
              <w:rPr>
                <w:rFonts w:ascii="Arial;sans-serif" w:hAnsi="Arial;sans-serif"/>
                <w:b w:val="false"/>
                <w:i/>
                <w:color w:val="000000"/>
                <w:sz w:val="20"/>
              </w:rPr>
              <w:t>Business Combination</w:t>
            </w:r>
            <w:r>
              <w:rPr>
                <w:color w:val="000000"/>
              </w:rPr>
              <w:t>”</w:t>
            </w:r>
            <w:r>
              <w:rPr>
                <w:rFonts w:ascii="Arial;sans-serif" w:hAnsi="Arial;sans-serif"/>
                <w:b w:val="false"/>
                <w:color w:val="000000"/>
                <w:sz w:val="20"/>
              </w:rPr>
              <w:t>), in each case, unless immediately following such Business Combination, (A) more than 50% of the Resulting Voting Power shall reside in Outstanding Company Voting Securities retained by the Company’s stockholders in the Business Combination and/or voting securities received by such stockholders in the Business Combination on account of Outstanding Company Voting Securities, and (B) at least a majority of the members of the board of directors (or equivalent governing body, if applicable) of the entity resulting from such Business Combination were Incumbent Directors at the time of the initial agreement, or action of the Board, providing for such Business Combination; or</w:t>
            </w:r>
          </w:p>
        </w:tc>
      </w:tr>
    </w:tbl>
    <w:p>
      <w:pPr>
        <w:pStyle w:val="TextBody"/>
        <w:bidi w:val="0"/>
        <w:spacing w:before="0" w:after="0"/>
        <w:jc w:val="left"/>
        <w:rPr/>
      </w:pPr>
      <w:r>
        <w:rPr/>
      </w:r>
    </w:p>
    <w:tbl>
      <w:tblPr>
        <w:tblW w:w="7061"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856"/>
        <w:gridCol w:w="1856"/>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(iv)</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Consummation of a complete liquidation or dissolution of the Company.</w:t>
            </w:r>
          </w:p>
        </w:tc>
      </w:tr>
    </w:tbl>
    <w:p>
      <w:pPr>
        <w:pStyle w:val="TextBody"/>
        <w:bidi w:val="0"/>
        <w:spacing w:before="0" w:after="0"/>
        <w:jc w:val="left"/>
        <w:rPr/>
      </w:pPr>
      <w:r>
        <w:rPr/>
      </w:r>
    </w:p>
    <w:p>
      <w:pPr>
        <w:pStyle w:val="TextBody"/>
        <w:bidi w:val="0"/>
        <w:spacing w:lineRule="auto" w:line="240"/>
        <w:ind w:left="0" w:right="0" w:firstLine="720"/>
        <w:jc w:val="both"/>
        <w:rPr/>
      </w:pPr>
      <w:r>
        <w:rPr>
          <w:rFonts w:ascii="Arial;sans-serif" w:hAnsi="Arial;sans-serif"/>
          <w:b w:val="false"/>
          <w:color w:val="454545"/>
          <w:sz w:val="20"/>
        </w:rPr>
        <w:t>(c)</w:t>
      </w:r>
      <w:r>
        <w:rPr>
          <w:rFonts w:ascii="Arial;sans-serif" w:hAnsi="Arial;sans-serif"/>
          <w:b w:val="false"/>
          <w:color w:val="000000"/>
          <w:sz w:val="20"/>
        </w:rPr>
        <w:t>For purposes of this Section 9, “</w:t>
      </w:r>
      <w:r>
        <w:rPr>
          <w:rFonts w:ascii="Arial;sans-serif" w:hAnsi="Arial;sans-serif"/>
          <w:b w:val="false"/>
          <w:i/>
          <w:color w:val="000000"/>
          <w:sz w:val="20"/>
        </w:rPr>
        <w:t>Good Reason</w:t>
      </w:r>
      <w:r>
        <w:rPr>
          <w:color w:val="000000"/>
        </w:rPr>
        <w:t xml:space="preserve">” </w:t>
      </w:r>
      <w:r>
        <w:rPr>
          <w:rFonts w:ascii="Arial;sans-serif" w:hAnsi="Arial;sans-serif"/>
          <w:b w:val="false"/>
          <w:color w:val="000000"/>
          <w:sz w:val="20"/>
        </w:rPr>
        <w:t xml:space="preserve">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 rate of annual base salary in effect for such Participant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12825"/>
                <wp:effectExtent l="0" t="0" r="0" b="0"/>
                <wp:wrapNone/>
                <wp:docPr id="54" name="Frame5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Arial;sans-serif" w:hAnsi="Arial;sans-serif"/>
          <w:b w:val="false"/>
          <w:color w:val="000000"/>
          <w:sz w:val="20"/>
        </w:rPr>
        <w:t>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(or date Participant should have reasonably become aware of) of the initial existence of such condition or conditions, and the Company shall have 30 days following receipt of such written notice (the “</w:t>
      </w:r>
      <w:r>
        <w:rPr>
          <w:rFonts w:ascii="Arial;sans-serif" w:hAnsi="Arial;sans-serif"/>
          <w:b w:val="false"/>
          <w:i/>
          <w:color w:val="000000"/>
          <w:sz w:val="20"/>
        </w:rPr>
        <w:t>Cure Period</w:t>
      </w:r>
      <w:r>
        <w:rPr>
          <w:color w:val="000000"/>
        </w:rPr>
        <w:t>”</w:t>
      </w:r>
      <w:r>
        <w:rPr>
          <w:rFonts w:ascii="Arial;sans-serif" w:hAnsi="Arial;sans-serif"/>
          <w:b w:val="false"/>
          <w:color w:val="000000"/>
          <w:sz w:val="20"/>
        </w:rPr>
        <w:t>) during which it may remedy the condition. In the event that the Company fails to remedy the condition constituting Good Reason during the Cure Period, the Participant must terminate employment, if at all, within 30 days following the Cure Period in order for such Termination of Employment to constitute a Termination of Employment for Good Reason.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color w:val="000000"/>
          <w:sz w:val="20"/>
        </w:rPr>
        <w:t>Notwithstanding the foregoing, to the extent required to avoid accelerated taxation and/or tax penalties under Section 409A of the Code, a “Change in Control” shall be deemed to have occurred with respect to the Plan only if a change in the ownership, effective control, or a change in ownership of a substantial portion of the assets. of the Company shall also be deemed to have occurred under Section 409A.</w:t>
      </w:r>
    </w:p>
    <w:p>
      <w:pPr>
        <w:pStyle w:val="TextBody"/>
        <w:bidi w:val="0"/>
        <w:spacing w:before="0" w:after="0"/>
        <w:jc w:val="both"/>
        <w:rPr/>
      </w:pPr>
      <w:r>
        <w:rPr/>
      </w:r>
    </w:p>
    <w:tbl>
      <w:tblPr>
        <w:tblW w:w="506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146"/>
        <w:gridCol w:w="1146"/>
        <w:gridCol w:w="16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391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10.     Section 16(b) of the Exchange Act</w:t>
            </w:r>
          </w:p>
        </w:tc>
      </w:tr>
    </w:tbl>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The provisions of this Plan are intended to ensure that no transaction under the Plan is subject to (and not exempt from) the short-swing recovery rules of Section 16(b) of the Exchange Act (“</w:t>
      </w:r>
      <w:r>
        <w:rPr>
          <w:rFonts w:ascii="Arial;sans-serif" w:hAnsi="Arial;sans-serif"/>
          <w:b w:val="false"/>
          <w:i/>
          <w:color w:val="000000"/>
          <w:sz w:val="20"/>
        </w:rPr>
        <w:t>Section 16(b)</w:t>
      </w:r>
      <w:r>
        <w:rPr>
          <w:color w:val="000000"/>
        </w:rPr>
        <w:t>”</w:t>
      </w:r>
      <w:r>
        <w:rPr>
          <w:rFonts w:ascii="Arial;sans-serif" w:hAnsi="Arial;sans-serif"/>
          <w:b w:val="false"/>
          <w:color w:val="000000"/>
          <w:sz w:val="20"/>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pStyle w:val="TextBody"/>
        <w:bidi w:val="0"/>
        <w:spacing w:lineRule="auto" w:line="240" w:before="0" w:after="0"/>
        <w:jc w:val="left"/>
        <w:rPr>
          <w:color w:val="000000"/>
        </w:rPr>
      </w:pPr>
      <w:r>
        <w:rPr>
          <w:color w:val="000000"/>
        </w:rPr>
        <w:t> </w:t>
      </w:r>
    </w:p>
    <w:tbl>
      <w:tblPr>
        <w:tblW w:w="524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197"/>
        <w:gridCol w:w="1197"/>
        <w:gridCol w:w="1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409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11.     Term, Amendment and Termination</w:t>
            </w:r>
          </w:p>
        </w:tc>
      </w:tr>
    </w:tbl>
    <w:p>
      <w:pPr>
        <w:pStyle w:val="TextBody"/>
        <w:bidi w:val="0"/>
        <w:spacing w:before="0" w:after="0"/>
        <w:jc w:val="left"/>
        <w:rPr/>
      </w:pPr>
      <w:r>
        <w:rPr/>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Effectiveness</w:t>
      </w:r>
      <w:r>
        <w:rPr>
          <w:rFonts w:ascii="Arial;sans-serif" w:hAnsi="Arial;sans-serif"/>
          <w:b w:val="false"/>
          <w:color w:val="000000"/>
          <w:sz w:val="20"/>
        </w:rPr>
        <w:t>. The Plan will become effective upon the Effective Date.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Termination</w:t>
      </w:r>
      <w:r>
        <w:rPr>
          <w:rFonts w:ascii="Arial;sans-serif" w:hAnsi="Arial;sans-serif"/>
          <w:b w:val="false"/>
          <w:color w:val="000000"/>
          <w:sz w:val="20"/>
        </w:rPr>
        <w:t>. The Plan will terminate on the tenth anniversary of the Effective Date, and may be terminated on any earlier date pursuant to Section 11(c). Awards outstanding as of such termination date shall not be affected or impaired by the termination of the Plan.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(c)</w:t>
      </w:r>
      <w:r>
        <w:rPr>
          <w:rFonts w:ascii="Arial;sans-serif" w:hAnsi="Arial;sans-serif"/>
          <w:b w:val="false"/>
          <w:i/>
          <w:color w:val="000000"/>
          <w:sz w:val="20"/>
        </w:rPr>
        <w:t>Amendment of Plan</w:t>
      </w:r>
      <w:r>
        <w:rPr>
          <w:rFonts w:ascii="Arial;sans-serif" w:hAnsi="Arial;sans-serif"/>
          <w:b w:val="false"/>
          <w:color w:val="000000"/>
          <w:sz w:val="20"/>
        </w:rPr>
        <w:t>. The Board may amend, alter, or discontinue the Plan, but, subject to Section 3(d),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i/>
          <w:color w:val="000000"/>
          <w:sz w:val="20"/>
        </w:rPr>
        <w:t>Amendment of Awards</w:t>
      </w:r>
      <w:r>
        <w:rPr>
          <w:rFonts w:ascii="Arial;sans-serif" w:hAnsi="Arial;sans-serif"/>
          <w:b w:val="false"/>
          <w:color w:val="000000"/>
          <w:sz w:val="20"/>
        </w:rPr>
        <w:t>. Subject to Section 5(d), the Committee may unilaterally amend the terms of any Award theretofore granted, but, subject to Section 3(d) no such amendment shall without the Participant’s consent materially impair the rights of any Participant with respect to an Award, except such an amendment made to cause the Plan or Award to comply with applicable law, stock exchange rules or accounting rules.</w:t>
      </w:r>
    </w:p>
    <w:p>
      <w:pPr>
        <w:pStyle w:val="TextBody"/>
        <w:bidi w:val="0"/>
        <w:spacing w:before="0" w:after="0"/>
        <w:jc w:val="both"/>
        <w:rPr/>
      </w:pPr>
      <w:r>
        <w:rPr/>
      </w:r>
    </w:p>
    <w:tbl>
      <w:tblPr>
        <w:tblW w:w="4197"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891"/>
        <w:gridCol w:w="891"/>
        <w:gridCol w:w="1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3044"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12.     Unfunded Status of Plan</w:t>
            </w:r>
          </w:p>
        </w:tc>
      </w:tr>
    </w:tbl>
    <w:p>
      <w:pPr>
        <w:pStyle w:val="TextBody"/>
        <w:bidi w:val="0"/>
        <w:spacing w:lineRule="auto" w:line="240" w:before="0" w:after="240"/>
        <w:ind w:left="0" w:right="0" w:firstLine="720"/>
        <w:jc w:val="both"/>
        <w:rPr/>
      </w:pPr>
      <w:r>
        <w:rPr>
          <w:rFonts w:ascii="Arial;sans-serif" w:hAnsi="Arial;sans-serif"/>
          <w:b w:val="false"/>
          <w:color w:val="000000"/>
          <w:sz w:val="20"/>
        </w:rPr>
        <w:t>It is presently intended that the Plan constitute an “unfunded” plan for incentive and deferred compensation. Solely to the extent permitted under Section 409A, the Committee may authorize the creation of trusts or other arrangements to meet the obligations created under the Plan to deliver Common Stock or make payments; </w:t>
      </w:r>
      <w:r>
        <w:rPr>
          <w:rFonts w:ascii="Arial;sans-serif" w:hAnsi="Arial;sans-serif"/>
          <w:b w:val="false"/>
          <w:i/>
          <w:color w:val="000000"/>
          <w:sz w:val="20"/>
        </w:rPr>
        <w:t>provided, however</w:t>
      </w:r>
      <w:r>
        <w:rPr>
          <w:rFonts w:ascii="Arial;sans-serif" w:hAnsi="Arial;sans-serif"/>
          <w:b w:val="false"/>
          <w:color w:val="000000"/>
          <w:sz w:val="20"/>
        </w:rPr>
        <w:t>, that the existence of such trusts or other arrangements is consistent with the “unfunded” status of the Plan. Notwithstanding any other provision of this 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w:t>
      </w:r>
    </w:p>
    <w:tbl>
      <w:tblPr>
        <w:tblW w:w="3718"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750"/>
        <w:gridCol w:w="750"/>
        <w:gridCol w:w="1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256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13.     General Provisions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012825"/>
                <wp:effectExtent l="0" t="0" r="0" b="0"/>
                <wp:wrapNone/>
                <wp:docPr id="55" name="Frame5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Arial;sans-serif" w:hAnsi="Arial;sans-serif"/>
          <w:b w:val="false"/>
          <w:color w:val="454545"/>
          <w:sz w:val="20"/>
        </w:rPr>
        <w:t>(a)</w:t>
      </w:r>
      <w:r>
        <w:rPr>
          <w:rFonts w:ascii="Arial;sans-serif" w:hAnsi="Arial;sans-serif"/>
          <w:b w:val="false"/>
          <w:i/>
          <w:color w:val="000000"/>
          <w:sz w:val="20"/>
        </w:rPr>
        <w:t>Conditions for Issuance</w:t>
      </w:r>
      <w:r>
        <w:rPr>
          <w:rFonts w:ascii="Arial;sans-serif" w:hAnsi="Arial;sans-serif"/>
          <w:b w:val="false"/>
          <w:color w:val="000000"/>
          <w:sz w:val="20"/>
        </w:rPr>
        <w:t>.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(b)</w:t>
      </w:r>
      <w:r>
        <w:rPr>
          <w:rFonts w:ascii="Arial;sans-serif" w:hAnsi="Arial;sans-serif"/>
          <w:b w:val="false"/>
          <w:i/>
          <w:color w:val="000000"/>
          <w:sz w:val="20"/>
        </w:rPr>
        <w:t>Additional Compensation Arrangements</w:t>
      </w:r>
      <w:r>
        <w:rPr>
          <w:rFonts w:ascii="Arial;sans-serif" w:hAnsi="Arial;sans-serif"/>
          <w:b w:val="false"/>
          <w:color w:val="000000"/>
          <w:sz w:val="20"/>
        </w:rPr>
        <w:t>. Nothing contained in the Plan shall prevent the Company or any Subsidiary or Affiliate from adopting other or additional compensation arrangements for its employees.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(c)</w:t>
      </w:r>
      <w:r>
        <w:rPr>
          <w:rFonts w:ascii="Arial;sans-serif" w:hAnsi="Arial;sans-serif"/>
          <w:b w:val="false"/>
          <w:i/>
          <w:color w:val="000000"/>
          <w:sz w:val="20"/>
        </w:rPr>
        <w:t>No Contract of Employment</w:t>
      </w:r>
      <w:r>
        <w:rPr>
          <w:rFonts w:ascii="Arial;sans-serif" w:hAnsi="Arial;sans-serif"/>
          <w:b w:val="false"/>
          <w:color w:val="000000"/>
          <w:sz w:val="20"/>
        </w:rPr>
        <w:t>. The Plan shall not constitute a contract of employment, and adoption of the Plan shall not confer upon any employee any right to continued employment, nor shall it interfere in any way with the right of the Company or any Subsidiary or Affiliate to terminate the employment of any employee at any time.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(d)</w:t>
      </w:r>
      <w:r>
        <w:rPr>
          <w:rFonts w:ascii="Arial;sans-serif" w:hAnsi="Arial;sans-serif"/>
          <w:b w:val="false"/>
          <w:i/>
          <w:color w:val="000000"/>
          <w:sz w:val="20"/>
        </w:rPr>
        <w:t>Required Taxes</w:t>
      </w:r>
      <w:r>
        <w:rPr>
          <w:rFonts w:ascii="Arial;sans-serif" w:hAnsi="Arial;sans-serif"/>
          <w:b w:val="false"/>
          <w:color w:val="000000"/>
          <w:sz w:val="20"/>
        </w:rPr>
        <w:t>. No later than the date as of which an amount first becomes includible in the gross income of a Participant for federal, state, local or foreign income or employment or 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To the extent necessary to avoid liability-classification of the Award (or other adverse accounting treatment) under applicable financial accounting rules, the amount of such tax withholding shall not exceed the maximum statutory federal, state or local income tax rates applicable to the Participant with respect to the Award on the date that the amount of tax to be withheld is to be determined.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(e)</w:t>
      </w:r>
      <w:r>
        <w:rPr>
          <w:rFonts w:ascii="Arial;sans-serif" w:hAnsi="Arial;sans-serif"/>
          <w:b w:val="false"/>
          <w:i/>
          <w:color w:val="000000"/>
          <w:sz w:val="20"/>
        </w:rPr>
        <w:t>Limitation on Dividend Reinvestment and Dividend Equivalents</w:t>
      </w:r>
      <w:r>
        <w:rPr>
          <w:rFonts w:ascii="Arial;sans-serif" w:hAnsi="Arial;sans-serif"/>
          <w:b w:val="false"/>
          <w:color w:val="000000"/>
          <w:sz w:val="20"/>
        </w:rPr>
        <w:t>. Reinvestment of dividends in additional Restricted Stock at the time of any dividend payment, and the payment of Shares with respect to dividends to Participants holding Awards of Restricted Stock Units, shall only be permissible if sufficient Shares are available under Section 3 for such reinvestment or payment (taking into account then outstanding Awards).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13(e).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(f)</w:t>
      </w:r>
      <w:r>
        <w:rPr>
          <w:rFonts w:ascii="Arial;sans-serif" w:hAnsi="Arial;sans-serif"/>
          <w:b w:val="false"/>
          <w:i/>
          <w:color w:val="000000"/>
          <w:sz w:val="20"/>
        </w:rPr>
        <w:t>Designation of Death Beneficiary</w:t>
      </w:r>
      <w:r>
        <w:rPr>
          <w:rFonts w:ascii="Arial;sans-serif" w:hAnsi="Arial;sans-serif"/>
          <w:b w:val="false"/>
          <w:color w:val="000000"/>
          <w:sz w:val="20"/>
        </w:rPr>
        <w:t>. The Committee shall establish such procedures as it deems appropriate for a Participant to designate a beneficiary to whom any amounts payable in the event of such Participant’s death are to be paid or by whom any rights of such eligible Individual, after such Participant’s death, may be exercised.</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(g)</w:t>
      </w:r>
      <w:r>
        <w:rPr>
          <w:rFonts w:ascii="Arial;sans-serif" w:hAnsi="Arial;sans-serif"/>
          <w:b w:val="false"/>
          <w:i/>
          <w:color w:val="000000"/>
          <w:sz w:val="20"/>
        </w:rPr>
        <w:t>Subsidiary Employees</w:t>
      </w:r>
      <w:r>
        <w:rPr>
          <w:rFonts w:ascii="Arial;sans-serif" w:hAnsi="Arial;sans-serif"/>
          <w:b w:val="false"/>
          <w:color w:val="000000"/>
          <w:sz w:val="20"/>
        </w:rPr>
        <w:t>.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the Plan. All Shares underlying Awards that are forfeited or canceled should revert to the Company.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(h)</w:t>
      </w:r>
      <w:r>
        <w:rPr>
          <w:rFonts w:ascii="Arial;sans-serif" w:hAnsi="Arial;sans-serif"/>
          <w:b w:val="false"/>
          <w:i/>
          <w:color w:val="000000"/>
          <w:sz w:val="20"/>
        </w:rPr>
        <w:t>Governing Law and Interpretation</w:t>
      </w:r>
      <w:r>
        <w:rPr>
          <w:rFonts w:ascii="Arial;sans-serif" w:hAnsi="Arial;sans-serif"/>
          <w:b w:val="false"/>
          <w:color w:val="000000"/>
          <w:sz w:val="20"/>
        </w:rPr>
        <w:t>. The Plan and (unless otherwise provided in the Award Agreement)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(i)</w:t>
      </w:r>
      <w:r>
        <w:rPr>
          <w:rFonts w:ascii="Arial;sans-serif" w:hAnsi="Arial;sans-serif"/>
          <w:b w:val="false"/>
          <w:i/>
          <w:color w:val="000000"/>
          <w:sz w:val="20"/>
        </w:rPr>
        <w:t>Non-Transferability</w:t>
      </w:r>
      <w:r>
        <w:rPr>
          <w:rFonts w:ascii="Arial;sans-serif" w:hAnsi="Arial;sans-serif"/>
          <w:b w:val="false"/>
          <w:color w:val="000000"/>
          <w:sz w:val="20"/>
        </w:rPr>
        <w:t>. Except as otherwise provided in Section 5(j) or by the Committee, Awards under the Plan are not transferable except by will or by laws of descent and distribution.</w:t>
      </w:r>
    </w:p>
    <w:p>
      <w:pPr>
        <w:pStyle w:val="TextBody"/>
        <w:bidi w:val="0"/>
        <w:spacing w:before="0" w:after="0"/>
        <w:jc w:val="both"/>
        <w:rPr/>
      </w:pPr>
      <w:r>
        <w:rPr/>
      </w:r>
    </w:p>
    <w:p>
      <w:pPr>
        <w:pStyle w:val="TextBody"/>
        <w:bidi w:val="0"/>
        <w:spacing w:lineRule="auto" w:line="240"/>
        <w:ind w:left="0" w:right="0" w:firstLine="720"/>
        <w:jc w:val="both"/>
        <w:rPr/>
      </w:pPr>
      <w:r>
        <w:rPr>
          <w:rFonts w:ascii="Arial;sans-serif" w:hAnsi="Arial;sans-serif"/>
          <w:b w:val="false"/>
          <w:color w:val="454545"/>
          <w:sz w:val="20"/>
        </w:rPr>
        <w:t>(j)</w:t>
      </w:r>
      <w:r>
        <w:rPr>
          <w:rFonts w:ascii="Arial;sans-serif" w:hAnsi="Arial;sans-serif"/>
          <w:b w:val="false"/>
          <w:i/>
          <w:color w:val="000000"/>
          <w:sz w:val="20"/>
        </w:rPr>
        <w:t>Foreign Employees and Foreign Law Considerations</w:t>
      </w:r>
      <w:r>
        <w:rPr>
          <w:rFonts w:ascii="Arial;sans-serif" w:hAnsi="Arial;sans-serif"/>
          <w:b w:val="false"/>
          <w:color w:val="000000"/>
          <w:sz w:val="20"/>
        </w:rPr>
        <w:t xml:space="preserve">.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012825"/>
                <wp:effectExtent l="0" t="0" r="0" b="0"/>
                <wp:wrapNone/>
                <wp:docPr id="56" name="Frame5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modifications, amendments, procedures, or subplans as may be necessary or advisable to comply with such legal or regulatory provisions.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(k)</w:t>
      </w:r>
      <w:r>
        <w:rPr>
          <w:rFonts w:ascii="Arial;sans-serif" w:hAnsi="Arial;sans-serif"/>
          <w:b w:val="false"/>
          <w:i/>
          <w:color w:val="000000"/>
          <w:sz w:val="20"/>
        </w:rPr>
        <w:t>Section 409A of the Code</w:t>
      </w:r>
      <w:r>
        <w:rPr>
          <w:rFonts w:ascii="Arial;sans-serif" w:hAnsi="Arial;sans-serif"/>
          <w:b w:val="false"/>
          <w:color w:val="000000"/>
          <w:sz w:val="20"/>
        </w:rPr>
        <w:t>. 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Any payment made pursuant to any Award shall be considered a separate payment and not one of a series of payments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In no event whatsoever shall the Company be liable for any additional tax, interest or penalties that may be imposed on a Participant by Section 409A of the Code or any damages for failing to comply with Section 409A of the Code.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(l)</w:t>
      </w:r>
      <w:r>
        <w:rPr>
          <w:rFonts w:ascii="Arial;sans-serif" w:hAnsi="Arial;sans-serif"/>
          <w:b w:val="false"/>
          <w:i/>
          <w:color w:val="000000"/>
          <w:sz w:val="20"/>
        </w:rPr>
        <w:t>Suspension or Termination of Awards</w:t>
      </w:r>
      <w:r>
        <w:rPr>
          <w:rFonts w:ascii="Arial;sans-serif" w:hAnsi="Arial;sans-serif"/>
          <w:b w:val="false"/>
          <w:color w:val="000000"/>
          <w:sz w:val="20"/>
        </w:rPr>
        <w:t>. If at any time (including after a notice of exercise has been delivered) the Committee (or the Board), reasonably believes that a Participant has committed an act of Cause (which includes a failure to act), the Committee (or Board) may suspend the Participant’s right to exercise any Award (or vesting or settlement of any Award) pending a determination of whether there was in fact an act of Cause. If the Committee (or the Board) determines a Participant has committed an act of Cause, neither the Participant nor his or her estate shall be entitled to exercise any outstanding Award whatsoever and all of Participant’s outstanding Awards shall then terminate without consideration. Any determination by the Committee (or the Board) with respect to the foregoing shall be final, conclusive and binding on all interested parties.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454545"/>
          <w:sz w:val="20"/>
        </w:rPr>
        <w:t>(m)</w:t>
      </w:r>
      <w:r>
        <w:rPr>
          <w:rFonts w:ascii="Arial;sans-serif" w:hAnsi="Arial;sans-serif"/>
          <w:b w:val="false"/>
          <w:i/>
          <w:color w:val="000000"/>
          <w:sz w:val="20"/>
        </w:rPr>
        <w:t>Successor Provision</w:t>
      </w:r>
      <w:r>
        <w:rPr>
          <w:rFonts w:ascii="Arial;sans-serif" w:hAnsi="Arial;sans-serif"/>
          <w:b w:val="false"/>
          <w:color w:val="000000"/>
          <w:sz w:val="20"/>
        </w:rPr>
        <w:t>. Any reference to a statute, rule or regulation, or to a section of a statute, rule or regulation, is a reference to that statute, rule, regulation, or section as amended from time to time, both before and after the Effective Date and including any successor provisions.</w:t>
      </w:r>
    </w:p>
    <w:p>
      <w:pPr>
        <w:pStyle w:val="TextBody"/>
        <w:bidi w:val="0"/>
        <w:spacing w:before="0" w:after="0"/>
        <w:jc w:val="both"/>
        <w:rPr/>
      </w:pPr>
      <w:r>
        <w:rPr/>
      </w:r>
    </w:p>
    <w:p>
      <w:pPr>
        <w:pStyle w:val="TextBody"/>
        <w:bidi w:val="0"/>
        <w:spacing w:lineRule="auto" w:line="240"/>
        <w:ind w:left="0" w:right="0" w:firstLine="720"/>
        <w:jc w:val="both"/>
        <w:rPr/>
      </w:pPr>
      <w:r>
        <w:rPr>
          <w:rFonts w:ascii="Arial;sans-serif" w:hAnsi="Arial;sans-serif"/>
          <w:b w:val="false"/>
          <w:color w:val="454545"/>
          <w:sz w:val="20"/>
        </w:rPr>
        <w:t>(n)</w:t>
      </w:r>
      <w:r>
        <w:rPr>
          <w:rFonts w:ascii="Arial;sans-serif" w:hAnsi="Arial;sans-serif"/>
          <w:b w:val="false"/>
          <w:i/>
          <w:color w:val="000000"/>
          <w:sz w:val="20"/>
        </w:rPr>
        <w:t>Clawback Policy</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12825"/>
                <wp:effectExtent l="0" t="0" r="0" b="0"/>
                <wp:wrapNone/>
                <wp:docPr id="57" name="Frame5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3"/>
        <w:gridCol w:w="2788"/>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Arial;sans-serif" w:hAnsi="Arial;sans-serif"/>
                <w:b w:val="false"/>
                <w:color w:val="000000"/>
                <w:sz w:val="20"/>
              </w:rPr>
              <w:t>If the Company is required to prepare an accounting restatement of its financial statements due to the Company’s material noncompliance (whether one occurrence or a series of occurrences of noncompliance) with any financial reporting requirement under the securities laws (including if the Company is required to prepare an accounting restatement to correct an error (or a series of errors)) (a “</w:t>
            </w:r>
            <w:r>
              <w:rPr>
                <w:rFonts w:ascii="Arial;sans-serif" w:hAnsi="Arial;sans-serif"/>
                <w:b w:val="false"/>
                <w:i/>
                <w:color w:val="000000"/>
                <w:sz w:val="20"/>
              </w:rPr>
              <w:t>Covered Accounting Restatement</w:t>
            </w:r>
            <w:r>
              <w:rPr>
                <w:color w:val="000000"/>
              </w:rPr>
              <w:t>”</w:t>
            </w:r>
            <w:r>
              <w:rPr>
                <w:rFonts w:ascii="Arial;sans-serif" w:hAnsi="Arial;sans-serif"/>
                <w:b w:val="false"/>
                <w:color w:val="000000"/>
                <w:sz w:val="20"/>
              </w:rPr>
              <w:t xml:space="preserve">), and if such Covered Accounting Restatement includes </w:t>
            </w:r>
            <w:r>
              <w:rPr>
                <w:rFonts w:ascii="Arial;sans-serif" w:hAnsi="Arial;sans-serif"/>
                <w:b w:val="false"/>
                <w:color w:val="000000"/>
                <w:sz w:val="20"/>
                <w:shd w:fill="FFFFFF" w:val="clear"/>
              </w:rPr>
              <w:t>(i) restatements that correct errors that are material to previously issued financial statements (commonly referred to as “Big R” restatements), and (ii) restatements that correct errors that are not material to previously issued financial statements, but would result in a material misstatement if (a) the errors were left uncorrected in the current report or (b) the error correction was recognized in the current period (commonly referred to as “little r” restatements)</w:t>
            </w:r>
            <w:r>
              <w:rPr>
                <w:rFonts w:ascii="Arial;sans-serif" w:hAnsi="Arial;sans-serif"/>
                <w:b w:val="false"/>
                <w:color w:val="000000"/>
                <w:sz w:val="20"/>
              </w:rPr>
              <w:t>, then the Committee may, in its sole discretion, require any Covered Executive to repay (in which event, such Covered Executive shall, within thirty (30) days of the notice by the Company, repay to the Company) or forfeit (in which case, such Covered Executive shall immediately forfeit to the Company) to the Company, and each Covered Executive hereby agrees to so repay or forfeit, that portion of the Incentive Compensation received by such Covered Executive during the period comprised of the Company’s three (3) completed fiscal years (together with any intermittent stub fiscal year period(s) of less than nine (9) months resulting from Company’s transition to different fiscal year measurement dates) immediately preceding the date the Company is deemed (as described below) to be required to prepare a Covered Accounting Restatement (such period, the “</w:t>
            </w:r>
            <w:r>
              <w:rPr>
                <w:rFonts w:ascii="Arial;sans-serif" w:hAnsi="Arial;sans-serif"/>
                <w:b w:val="false"/>
                <w:i/>
                <w:color w:val="000000"/>
                <w:sz w:val="20"/>
              </w:rPr>
              <w:t>Look-Back Period</w:t>
            </w:r>
            <w:r>
              <w:rPr>
                <w:color w:val="000000"/>
              </w:rPr>
              <w:t>”</w:t>
            </w:r>
            <w:r>
              <w:rPr>
                <w:rFonts w:ascii="Arial;sans-serif" w:hAnsi="Arial;sans-serif"/>
                <w:b w:val="false"/>
                <w:color w:val="000000"/>
                <w:sz w:val="20"/>
              </w:rPr>
              <w:t>), that the Committee determines was in excess of the amount of Incentive Compensation that such Covered Executive would have received during such Look-Back Period, had such Incentive Compensation been calculated based on the restated amounts, and irrespective of any fault, misconduct or responsibility of such Covered Executive for the Covered Accounting Restatement. It is specifically understood that, to the extent that the impact of the Covered Accounting Restatement on the amount of Incentive Compensation received cannot be calculated directly from the information therein (e.g., if such restatement’s impact on the Company’s stock price is not clear), such excess amount of Incentive Compensation shall be determined based on a reasonable estimate by the Committee of the effect of the Covered Accounting Restatement on the applicable financial measure (including the stock price or total stockholder return) based upon which the Incentive Compensation was received. In addition, in the case of time-based equity-based Incentive Compensation, a recoupment may occur, in the Committee’s sole discretion, if the Committee concludes that the Incentive Compensation grants, earning and/or vesting would not have been made, or would have been lower had they been based on the restated financial statements and it is possible to clearly compute the amount of such lesser award. Any decision by the Committee that no recoupment shall occur because of difficulties of computation shall not be reviewable. The amount of the Incentive Compensation to be recouped shall be determined by the Committee in its sole and absolute discretion and calculated on a pre-tax basis, and the form of such recoupment of Incentive Compensation may be made, in the Committee’s sole and absolute discretion, through the forfeiture or cancellation of vested or unvested Awards, cash repayment or both. For purposes of this Section 13(n), the Company is deemed to be required to prepare a Covered Accounting Restatement on the earlier of: (A) the date upon which the Board or an applicable committee thereof, or the officer or officers of the Company authorized to take 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Arial;sans-serif" w:hAnsi="Arial;sans-serif"/>
                <w:b w:val="false"/>
                <w:color w:val="000000"/>
                <w:sz w:val="20"/>
              </w:rPr>
            </w:pPr>
            <w:r>
              <w:rPr>
                <w:rFonts w:ascii="Arial;sans-serif" w:hAnsi="Arial;sans-serif"/>
                <w:b w:val="false"/>
                <w:color w:val="000000"/>
                <w:sz w:val="20"/>
              </w:rPr>
              <w:t>Notwithstanding any other provisions in this Plan, any Award or any other compensation received by a Participant which is subject to recovery under any Applicable Laws, government regulation or stock exchange listing requirement (or any policy adopted by the Company pursuant to any such law,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 on or following the Effective Date).</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12825"/>
                <wp:effectExtent l="0" t="0" r="0" b="0"/>
                <wp:wrapNone/>
                <wp:docPr id="58" name="Frame5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2863"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501"/>
        <w:gridCol w:w="501"/>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Section</w:t>
            </w:r>
          </w:p>
        </w:tc>
        <w:tc>
          <w:tcPr>
            <w:tcW w:w="1710"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color w:val="000000"/>
                <w:sz w:val="20"/>
              </w:rPr>
              <w:t>14.     Execution</w:t>
            </w:r>
          </w:p>
        </w:tc>
      </w:tr>
    </w:tbl>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record the approval of this Plan by the Board, the Company has caused its duly authorized officer to execute this Plan on behalf of the Company.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12825"/>
                <wp:effectExtent l="0" t="0" r="0" b="0"/>
                <wp:wrapNone/>
                <wp:docPr id="59" name="Frame5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Notice of Stock Option Award Granted Under the </w:t>
        <w:br/>
        <w:t>LendingTree, Inc. 2023 Inducement Grant Plan</w:t>
      </w:r>
    </w:p>
    <w:p>
      <w:pPr>
        <w:pStyle w:val="TextBody"/>
        <w:bidi w:val="0"/>
        <w:spacing w:before="0" w:after="240"/>
        <w:jc w:val="center"/>
        <w:rPr/>
      </w:pPr>
      <w:r>
        <w:rPr/>
      </w:r>
    </w:p>
    <w:p>
      <w:pPr>
        <w:pStyle w:val="TextBody"/>
        <w:bidi w:val="0"/>
        <w:spacing w:lineRule="auto" w:line="240" w:before="0" w:after="240"/>
        <w:jc w:val="both"/>
        <w:rPr/>
      </w:pPr>
      <w:r>
        <w:rPr>
          <w:rFonts w:ascii="Times New Roman;sans-serif" w:hAnsi="Times New Roman;sans-serif"/>
          <w:b/>
          <w:color w:val="000000"/>
          <w:sz w:val="20"/>
          <w:u w:val="single"/>
        </w:rPr>
        <w:t>Important Note</w:t>
      </w:r>
      <w:r>
        <w:rPr>
          <w:rFonts w:ascii="Times New Roman;sans-serif" w:hAnsi="Times New Roman;sans-serif"/>
          <w:b/>
          <w:color w:val="000000"/>
          <w:sz w:val="20"/>
        </w:rPr>
        <w:t>: You must login to your account to obtain other important information concerning this Award, such as a copy of the LendingTree, Inc. 2023 Inducement Grant Plan (the “2023 Inducement Plan”) and the Terms and Conditions for Stock Option Awards (the “Terms and Conditions”). You acknowledge that you have received copies of the 2023 Inducement Plan and the 2023 Inducement Plan’s prospectus.</w:t>
      </w:r>
    </w:p>
    <w:tbl>
      <w:tblPr>
        <w:tblW w:w="10205" w:type="dxa"/>
        <w:jc w:val="left"/>
        <w:tblInd w:w="0" w:type="dxa"/>
        <w:tblLayout w:type="fixed"/>
        <w:tblCellMar>
          <w:top w:w="28" w:type="dxa"/>
          <w:left w:w="28" w:type="dxa"/>
          <w:bottom w:w="28" w:type="dxa"/>
          <w:right w:w="28" w:type="dxa"/>
        </w:tblCellMar>
      </w:tblPr>
      <w:tblGrid>
        <w:gridCol w:w="454"/>
        <w:gridCol w:w="398"/>
        <w:gridCol w:w="400"/>
        <w:gridCol w:w="2616"/>
        <w:gridCol w:w="2616"/>
        <w:gridCol w:w="3721"/>
      </w:tblGrid>
      <w:tr>
        <w:trPr/>
        <w:tc>
          <w:tcPr>
            <w:tcW w:w="4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Award Recipient:</w:t>
            </w:r>
          </w:p>
        </w:tc>
        <w:tc>
          <w:tcPr>
            <w:tcW w:w="8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 Award:</w:t>
            </w:r>
          </w:p>
        </w:tc>
        <w:tc>
          <w:tcPr>
            <w:tcW w:w="895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2023 Inducement Plan:</w:t>
            </w:r>
          </w:p>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have been awarded a nonqualified option to acquire Shares of LendingTree common stock at an “Exercise Price” of per Share (“Stock Option”);</w:t>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Award Date:</w:t>
            </w:r>
          </w:p>
        </w:tc>
        <w:tc>
          <w:tcPr>
            <w:tcW w:w="8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Vesting Schedule:</w:t>
            </w:r>
          </w:p>
        </w:tc>
        <w:tc>
          <w:tcPr>
            <w:tcW w:w="89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your continued employment with LendingTree or its Subsidiaries or Affiliates, your Stock Option shall, subject to the provisions of the 2023 Inducement Plan and the Terms and Conditions, vest and no longer be subject to any restriction as of the vesting dates, as set forth below:</w:t>
            </w:r>
          </w:p>
        </w:tc>
      </w:tr>
    </w:tbl>
    <w:tbl>
      <w:tblPr>
        <w:tblW w:w="2308" w:type="dxa"/>
        <w:jc w:val="left"/>
        <w:tblInd w:w="0" w:type="dxa"/>
        <w:tblLayout w:type="fixed"/>
        <w:tblCellMar>
          <w:top w:w="28" w:type="dxa"/>
          <w:left w:w="28" w:type="dxa"/>
          <w:bottom w:w="28" w:type="dxa"/>
          <w:right w:w="28" w:type="dxa"/>
        </w:tblCellMar>
      </w:tblPr>
      <w:tblGrid>
        <w:gridCol w:w="331"/>
        <w:gridCol w:w="290"/>
        <w:gridCol w:w="293"/>
        <w:gridCol w:w="407"/>
        <w:gridCol w:w="407"/>
        <w:gridCol w:w="58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 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Vesting</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25195"/>
                <wp:effectExtent l="0" t="0" r="0" b="0"/>
                <wp:wrapNone/>
                <wp:docPr id="60" name="Frame58"/>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481.35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7"/>
        <w:gridCol w:w="484"/>
        <w:gridCol w:w="487"/>
        <w:gridCol w:w="2566"/>
        <w:gridCol w:w="2468"/>
        <w:gridCol w:w="3513"/>
      </w:tblGrid>
      <w:tr>
        <w:trPr/>
        <w:tc>
          <w:tcPr>
            <w:tcW w:w="6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40"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Expiration Date: </w:t>
            </w:r>
          </w:p>
        </w:tc>
        <w:tc>
          <w:tcPr>
            <w:tcW w:w="854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Once vested, your Stock Option will expire upon the earlier of (i) the expiration of the 12-month period following your Termination of Employment for any reason other than due to death, Disability or Retirement, (ii) the expiration of the one-year period following your Termination of Employment due to death, Disability or Retirement or (iii) 10 years from your Award Date (the “Expiration Date”), except as otherwise provided in the 2023 Inducement Plan or the attached Terms and Conditions.</w:t>
            </w:r>
          </w:p>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exercise your vested Stock Option before the Expiration Date, your unexercised Stock Option will be forfeited and canceled in its entirety.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Impact of a Termination of Employment:</w:t>
            </w:r>
          </w:p>
        </w:tc>
        <w:tc>
          <w:tcPr>
            <w:tcW w:w="85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in the 2023 Inducement Plan, the Terms and Conditions and any Individual Agreement between you and LendingTree, the unvested portion of this Stock Option will be forfeited without consideration and canceled in its entirety upon your Termination of Employment.</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Terms and Conditions:</w:t>
            </w:r>
          </w:p>
        </w:tc>
        <w:tc>
          <w:tcPr>
            <w:tcW w:w="854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in this Award Notice shall have the meanings set forth in the 2023 Inducement Plan.</w:t>
            </w:r>
          </w:p>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 Stock Option is subject to the Terms and Conditions attached hereto and the 2023 Inducement Plan. Copies of these documents are also available upon request from the Human Resources Department. In the event of a conflict between the Terms and Conditions and this Notice, this Notice shall control.</w:t>
            </w:r>
          </w:p>
          <w:p>
            <w:pPr>
              <w:pStyle w:val="TableContents"/>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Without a complete review of these documents, you will not have a full understanding of all the material terms of your Stock Option.</w:t>
            </w:r>
          </w:p>
        </w:tc>
      </w:tr>
    </w:tbl>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25195"/>
                <wp:effectExtent l="0" t="0" r="0" b="0"/>
                <wp:wrapNone/>
                <wp:docPr id="61" name="Frame59"/>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481.35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Terms and Conditions for Stock Option Award</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Terms and Conditions apply to the stock option (the “Award”) awarded to you by LendingTree, Inc. (“LendingTree” or the “Company”) pursuant to Section 5 of the LendingTree, Inc. 2023 Inducement Grant Plan (the “2023 Inducement Plan”). You were notified of your Award by way of an award notice (the “Award Notice”). All capitalized terms used herein, to the extent not defined, shall have the meaning as set forth in the 2023 Inducement Plan. This Award constitutes a grant made to qualify as an inducement award pursuant to NASDAQ Listing Rule 5635(c)(4).</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Continuous Service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the Award to vest, you must be continuously employed by LendingTree or any of its Subsidiaries or Affiliates during the Restriction Period (as defined below) or as otherwise provided in the Vesting section below. Nothing in your Award Notice, these Terms and Conditions, or the 2023 Inducement Plan shall confer upon you any right to continue in the employ or service of LendingTree or any of its Subsidiaries or Affiliates or interfere in any way with their rights to terminate your employment or service at any time and for any or no reason.</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Vesting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Award Notice, these Terms and Conditions and the 2023 Inducement Plan, the Award shall vest and no longer be subject to satisfaction of any restriction as set forth in the Vesting Schedule section of the Award Notice. The period during which such restrictions apply is the “Restriction Period.”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vesting of your Award is conditioned upon your continuous employment with LendingTree or its Subsidiaries or Affiliates through each respective vesting date. </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Notwithstanding the foregoing, 100% of your then-outstanding and unvested portion of your Award shall vest upon the occurrence of a Change in Control which occurs during your employment with LendingTree (or any Subsidiary or Affiliate). The term “Change in Control” is defined in the 2023 Inducement Plan, and includes certain events affecting LendingTree (not events only affecting specific businesses of LendingTree).Termination of Employment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Upon your Termination of Employment with LendingTree or any of its Subsidiaries or Affiliates during the Restriction Period for any reason, any unvested portion of this Award shall be forfeited and canceled in its entirety without consideration effective immediately upon such Termination of Employment. The then vested portion of this Stock Option may remain exercisable after your Termination of Employment to the extent permitted under section 5(i) of the 2023 Inducement Plan.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transfers of employment among the Company and its Subsidiaries and Affiliates, without any break in service, is not a Termination of Employment.</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Exercise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When you wish to exercise this Award, you must notify the Company by filing a “Notice of Exercise” in the form prescribed by LendingTree at the address given on the form. Your notice must specify how many Shares you wish to purchase and is subject to the minimum purchase limitation set forth in section 5(g) of the 2023 Inducement Plan. The notice can only become effective after it is received and approved by the Company. If someone else wants to exercise this Stock Option after your death, that person must prove to the Company’s satisfaction that he or she is entitled to do so.</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sections 5(g)(i), 5(g)(ii), or 5(g)(iii) of the 2023 Inducement Plan. </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Taxes and Withholding</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later than the date as of which an amount in respect of any part of this Award first becomes includable in your gross income for federal, state, local or foreign income or employment or other tax purposes, LendingTree or its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25195"/>
                <wp:effectExtent l="0" t="0" r="0" b="0"/>
                <wp:wrapNone/>
                <wp:docPr id="62" name="Frame60"/>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481.35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Award that gives rise to the withholding requirement. In the event Shares are deducted to cover tax withholdings, the number of Shares withheld shall generally have a Fair Market Value equal to the aggregate amount of LendingTree’s withholding obligation on the date of exercise of the Stock Option. If the event that any such deduction and/or withholding is prohibited by law, you shall, prior to or contemporaneously with the settlement of your Award, be required to pay to LendingTree, or make arrangements satisfactory to LendingTree regarding the payment of, any federal, state, local or foreign taxes of any kind required by law to be withheld with respect to such amount. To the extent approved by the Committee, you may satisfy the applicable tax withholding amounts as permitted under section 13(d) of the 2023 Inducement Plan.</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Non-Transferability of the Award</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 Award shall not be transferable by you by means of sale, assignment, exchange, encumbrance, pledge, hedge or otherwise except as may be permitted under section 5(j) of the 2023 Inducement Plan.</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No Rights as a Stockholder</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Until your Award is exercised and settled with Shares, you shall not be entitled to any rights of a stockholder with respect to the Award (including the right to vote the underlying Shares or receive dividends). Moreover, if LendingTree declares and pays dividends on the Common Stock during the Restriction Period, this Award will not be credited with any dividends.</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Restrictive Covenants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 acceptance of your Stock Option shall be conditioned upon, and subject to, the execution of separate restrictive covenant agreement in a form to be provided by the Company at the time of the Award Date.</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Other Restrictions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Conflicts and Interpretation</w:t>
      </w:r>
    </w:p>
    <w:p>
      <w:pPr>
        <w:pStyle w:val="TextBody"/>
        <w:bidi w:val="0"/>
        <w:spacing w:lineRule="auto" w:line="240" w:before="0" w:after="240"/>
        <w:jc w:val="both"/>
        <w:rPr/>
      </w:pPr>
      <w:r>
        <w:rPr>
          <w:rFonts w:ascii="Times New Roman;sans-serif" w:hAnsi="Times New Roman;sans-serif"/>
          <w:b w:val="false"/>
          <w:color w:val="000000"/>
          <w:sz w:val="20"/>
        </w:rPr>
        <w:t xml:space="preserve">In the event of any conflict between these Terms and Conditions and the 2023 Inducement Plan, the 2023 Inducement Plan shall control; provided, that an action or provision that is permissive under the terms of the 2023 Inducement Plan, and required under these Terms and Conditions, shall not be deemed a conflict and these Terms and Conditions shall control. In the event of any ambiguity in these Terms and Conditions, or any matters as to which these Terms and Conditions are silent, the 2023 Inducement Plan shall govern. In the event of (i) any conflict between the Award Notice (or any information posted on LendingTree’s intranet or given to you directly or indirectly through the Agent (including information posted on </w:t>
      </w:r>
      <w:r>
        <w:rPr>
          <w:rFonts w:ascii="Times New Roman;sans-serif" w:hAnsi="Times New Roman;sans-serif"/>
          <w:b w:val="false"/>
          <w:color w:val="0000FF"/>
          <w:sz w:val="20"/>
          <w:u w:val="single"/>
        </w:rPr>
        <w:t>https://us.etrade.com/stock-plans</w:t>
      </w:r>
      <w:r>
        <w:rPr>
          <w:rFonts w:ascii="Times New Roman;sans-serif" w:hAnsi="Times New Roman;sans-serif"/>
          <w:b w:val="false"/>
          <w:color w:val="000000"/>
          <w:sz w:val="20"/>
        </w:rPr>
        <w:t xml:space="preserve">)) and LendingTree’s books and records, or (ii) ambiguity in the Award Notice (or any information posted on LendingTree’s intranet or given to you directly or indirectly through the Agent (including information posted on </w:t>
      </w:r>
      <w:r>
        <w:rPr>
          <w:rFonts w:ascii="Times New Roman;sans-serif" w:hAnsi="Times New Roman;sans-serif"/>
          <w:b w:val="false"/>
          <w:color w:val="0000FF"/>
          <w:sz w:val="20"/>
          <w:u w:val="single"/>
        </w:rPr>
        <w:t>https://us.etrade.com/stock-plans</w:t>
      </w:r>
      <w:r>
        <w:rPr>
          <w:rFonts w:ascii="Times New Roman;sans-serif" w:hAnsi="Times New Roman;sans-serif"/>
          <w:b w:val="false"/>
          <w:color w:val="000000"/>
          <w:sz w:val="20"/>
        </w:rPr>
        <w:t>), LendingTree’s books and records shall control.</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Amendment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Data Protection</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acceptance of your Award constitutes your authorization of the release from time to time to LendingTree or any of its Subsidiaries or Affiliates and to the agent selected by LendingTree to administer the 2023 Inducement Plan (the “Agent”) (together, the “Relevant Companies”) of any and all personal or professional data that is necessary or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925195"/>
                <wp:effectExtent l="0" t="0" r="0" b="0"/>
                <wp:wrapNone/>
                <wp:docPr id="63" name="Frame61"/>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481.35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desirable for the administration of your Award and/or the 2023 Inducement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2023 Inducement Plan and/or to implement or structure any further grants of equity awards (if any)). The acceptance of your Award also constitutes your authorization of the transfer of the Relevant Information to any jurisdiction in which LendingTree, your employing company or the Agent considers appropriate. You shall have access to, and the right to change, the Relevant Information, which will only be used in accordance with applicable law.</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Sections 409A, 280G and 4999 of the Code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Your Award is not intended to constitute “nonqualified deferred compensation” within the meaning of Section 409A of the Code and related rules and regulations (“Section 409A”). In no event shall LendingTree be required to pay you any “gross-up” or other payment with respect to any taxes or penalties imposed under Section 409A (or Code Section 280G or 4999) with respect to any amounts or benefits paid to you in respect of your Award.</w:t>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Notification of Changes</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925195"/>
                <wp:effectExtent l="0" t="0" r="0" b="0"/>
                <wp:wrapNone/>
                <wp:docPr id="64" name="Frame62"/>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481.35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SMRH:4883-5816-3825.2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Notice of Restricted Stock Unit Award Granted Under the</w:t>
        <w:br/>
        <w:t>LendingTree, Inc. 2023 Inducement Grant Plan</w:t>
      </w:r>
    </w:p>
    <w:p>
      <w:pPr>
        <w:pStyle w:val="TextBody"/>
        <w:bidi w:val="0"/>
        <w:spacing w:lineRule="auto" w:line="240" w:before="0" w:after="240"/>
        <w:jc w:val="both"/>
        <w:rPr/>
      </w:pPr>
      <w:r>
        <w:rPr>
          <w:rFonts w:ascii="Times New Roman;sans-serif" w:hAnsi="Times New Roman;sans-serif"/>
          <w:b/>
          <w:color w:val="000000"/>
          <w:sz w:val="24"/>
          <w:u w:val="single"/>
        </w:rPr>
        <w:t>Important Note</w:t>
      </w:r>
      <w:r>
        <w:rPr>
          <w:rFonts w:ascii="Times New Roman;sans-serif" w:hAnsi="Times New Roman;sans-serif"/>
          <w:b/>
          <w:color w:val="000000"/>
          <w:sz w:val="24"/>
        </w:rPr>
        <w:t>: You must login to your account to obtain other important information concerning this Award, such as a copy of the LendingTree, Inc. 2023 Inducement Grant Plan (the “2023 Inducement Plan”) and the Terms and Conditions for Restricted Stock Unit Awards (the “Terms and Conditions”). You acknowledge that you have received copies of the 2023 Inducement Plan and the 2023 Inducement Plan’s prospectus.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1"/>
        <w:gridCol w:w="563"/>
        <w:gridCol w:w="565"/>
        <w:gridCol w:w="2503"/>
        <w:gridCol w:w="2338"/>
        <w:gridCol w:w="3325"/>
      </w:tblGrid>
      <w:tr>
        <w:trPr/>
        <w:tc>
          <w:tcPr>
            <w:tcW w:w="9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Award Recipient:</w:t>
            </w:r>
          </w:p>
        </w:tc>
        <w:tc>
          <w:tcPr>
            <w:tcW w:w="81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Restricted Stock Unit Award:</w:t>
            </w:r>
          </w:p>
        </w:tc>
        <w:tc>
          <w:tcPr>
            <w:tcW w:w="81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color w:val="000000"/>
              </w:rPr>
            </w:pPr>
            <w:r>
              <w:rPr>
                <w:color w:val="000000"/>
              </w:rPr>
              <w:t>   </w:t>
            </w:r>
            <w:r>
              <w:rPr>
                <w:rFonts w:ascii="Times New Roman;sans-serif" w:hAnsi="Times New Roman;sans-serif"/>
                <w:b w:val="false"/>
                <w:color w:val="000000"/>
                <w:sz w:val="24"/>
              </w:rPr>
              <w:t>Restricted stock units (“RSUs”) granted under the 2023 Inducement Plan.</w:t>
            </w:r>
          </w:p>
        </w:tc>
      </w:tr>
      <w:tr>
        <w:trPr/>
        <w:tc>
          <w:tcPr>
            <w:tcW w:w="203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Award Date:</w:t>
            </w:r>
          </w:p>
        </w:tc>
        <w:tc>
          <w:tcPr>
            <w:tcW w:w="816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81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4"/>
              </w:rPr>
              <w:t>Subject to your continuous employment with LendingTree, Inc. or its Subsidiaries or Affiliates, your RSUs shall, subject to the provisions of the 2023 Inducement Plan and the Terms and Conditions, vest and no longer be subject to any restriction as of the vesting dates and the achievement of any applicable performance goals, as set forth below:</w:t>
              <w:br/>
            </w:r>
            <w:r>
              <w:rPr>
                <w:rFonts w:ascii="Times New Roman;sans-serif" w:hAnsi="Times New Roman;sans-serif"/>
                <w:b w:val="false"/>
                <w:sz w:val="24"/>
              </w:rPr>
              <w:br/>
            </w:r>
            <w:r>
              <w:rPr>
                <w:rFonts w:ascii="Times New Roman;sans-serif" w:hAnsi="Times New Roman;sans-serif"/>
                <w:b w:val="false"/>
                <w:color w:val="000000"/>
                <w:sz w:val="24"/>
              </w:rPr>
              <w:t>Vest Date</w:t>
              <w:br/>
              <w:t>RSUs Vesting</w:t>
              <w:br/>
            </w:r>
            <w:r>
              <w:rPr>
                <w:rFonts w:ascii="Times New Roman;sans-serif" w:hAnsi="Times New Roman;sans-serif"/>
                <w:b w:val="false"/>
                <w:sz w:val="24"/>
              </w:rPr>
              <w:br/>
              <w:br/>
              <w:br/>
            </w:r>
            <w:r>
              <w:rPr>
                <w:rFonts w:ascii="Times New Roman;sans-serif" w:hAnsi="Times New Roman;sans-serif"/>
                <w:b w:val="false"/>
                <w:color w:val="000000"/>
                <w:sz w:val="24"/>
              </w:rPr>
              <w:t>Each tranche of RSUs vesting on an applicable vest date shall be referred to as a “Tranche” and each such vest date shall be referred to as “Vest Date”.</w:t>
            </w:r>
          </w:p>
        </w:tc>
      </w:tr>
      <w:tr>
        <w:trPr/>
        <w:tc>
          <w:tcPr>
            <w:tcW w:w="203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Impact of a Termination of Employment:</w:t>
            </w:r>
          </w:p>
        </w:tc>
        <w:tc>
          <w:tcPr>
            <w:tcW w:w="81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the 2023 Inducement Plan or in the Terms and Conditions, or any Individual Agreement, all of your unvested RSUs will be forfeited and canceled without consideration in their entirety upon a Termination of Employment.</w:t>
            </w:r>
          </w:p>
        </w:tc>
      </w:tr>
      <w:tr>
        <w:trPr/>
        <w:tc>
          <w:tcPr>
            <w:tcW w:w="203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Terms and Conditions:</w:t>
            </w:r>
          </w:p>
        </w:tc>
        <w:tc>
          <w:tcPr>
            <w:tcW w:w="81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in this Award Notice shall have the meanings set forth in the 2023 Inducement Plan.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Your RSUs are subject to the Terms and Conditions and the 2023 Inducement Plan. We strongly encourage you to review the Terms and Conditions and the 2023 Inducement Plan. These documents will help provide you with a full understanding of your RSU award.</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7565"/>
                <wp:effectExtent l="0" t="0" r="0" b="0"/>
                <wp:wrapNone/>
                <wp:docPr id="65" name="Frame6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Terms and Conditions for Restricted Stock Unit Award</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These Terms and Conditions apply to the restricted stock units (the “Award”) awarded to you by LendingTree, Inc. (“LendingTree” or the “Company”) pursuant to Section 7 of the LendingTree, Inc. 2023 Stock Plan (the “2023 Inducement Plan”). You were notified of your Award by way of an award notice (the “Award Notice”). All capitalized terms used herein, to the extent not defined, shall have the meaning as set forth in the 2023 Inducement Plan. This Award constitutes a grant made to qualify as an inducement award pursuant to NASDAQ Listing Rule 5635(c)(4).</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Continuous Service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provided below, in order for RSUs to vest, you must be continuously employed by LendingTree or any of its Subsidiaries or Affiliates during the Restriction Period (as defined below) or as otherwise provided in the Vesting section below. Nothing in your Award Notice, these Terms and Conditions, or the 2023 Inducement Plan shall confer upon you any right to continue in the employ or service of LendingTree or any of its Subsidiaries or Affiliates or interfere in any way with their rights to terminate your employment or service at any time and for any or no reason.</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Vesting</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Award Notice, these Terms and Conditions and the 2023 Inducement Plan, the RSUs in respect to your Award, shall vest and no longer be subject to satisfaction of any restriction, including any applicable performance conditions, as set forth in the Vesting Schedule section of the Award Notice. The period during which restrictions apply is the “Restriction Period.”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vesting of your Award is conditioned upon your continuous employment with LendingTree or its Subsidiaries or Affiliates through each respective Vest Date, except as provided below.</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100% of your then-outstanding and unvested portion of your Award shall vest upon the occurrence of a Change in Control which occurs during your employment with LendingTree (or any Subsidiary or Affiliate). The term “Change in Control” is defined in the 2023 Inducement Plan, and includes certain events affecting LendingTree (not events only affecting specific businesses of LendingTree).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in the event you experience a Termination of Employment due to your death or Disability, then 100% of your then-outstanding and unvested portion of your Award shall vest upon such Termination of Employment.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in the event you experience a Retirement (as defined in the Plan) then you shall vest in the next Tranche of RSUs on the next scheduled Vest Date, that you would have vested in as though your Termination of Employment had occurred on such Vest Date, provided that you, after your Termination of Employment, (i) remain subject to and comply with all restrictive covenants set forth in your Restrictive Covenant Agreement (defined below), and (ii) shall not, directly or indirectly, including through another person, either for you or for any other person, own any interest in, manage, control, participate in, consult with, render services for, permit your name to be used in or in any other manner engage in, any for profit activities (including as an employee, partner, consultant, equityholder or otherwise), in each case of clause (i) and (ii), until such next Vest Date. Notwithstanding the foregoing, section (ii) of the immediately preceding sentence shall not prevent you from (X) serving on the boards of directors of non-profit organizations, (Y) participating in charitable, civic, educational,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7565"/>
                <wp:effectExtent l="0" t="0" r="0" b="0"/>
                <wp:wrapNone/>
                <wp:docPr id="66" name="Frame6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professional, community or industry activities, or (Z) managing your passive personal or family investments.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Termination of Employment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Employment with LendingTree or any of its Subsidiaries or Affiliates during the Restriction Period for any reason, any unvested portion of this RSU Award shall be forfeited and canceled in its entirety without consideration effective immediately upon such Termination of Employment.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transfers of employment among the Company and its Subsidiaries and Affiliates, without any break in service, is not a Termination of Employment.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Settlement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your satisfaction of the tax obligations described immediately below under “Taxes and Withholding,” as soon as practicable after any RSUs in respect of your Award have vested and are no longer subject to the restrictions that apply during the Restriction Period (but in no event later than two and one-half months after the end of the fiscal year in which the RSUs vest), such RSUs shall be settled. For each RSU settled, LendingTree shall issue one Share (or cash equivalent) for each RSU that has vested. Notwithstanding the foregoing, LendingTree shall be entitled to hold the Shares or cash issuable to you upon settlement of all RSUs that have vested until LendingTree or the agent selected by LendingTree to administer the 2023 Inducement Plan (the “Agent”) has received from you (i) a duly executed Form W-9 or W-8 and (ii) payment for any federal, state, local or foreign taxes of any kind required by law to be withheld with respect to such RSUs.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Taxes and Withholding</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later than the date as of which an amount in respect of any RSUs first becomes includable in your gross income for federal, state, local or foreign income or employment or other tax purposes, LendingTree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LendingTree’s withholding obligation on the date of settlement. If the event that any such deduction and/or withholding is prohibited by law, you shall, prior to or contemporaneously with the settlement of your RSUs, be required to pay to LendingTree, or make arrangements satisfactory to LendingTree regarding the payment of, any federal, state, local or foreign taxes of any kind required by law to be withheld with respect to such amount.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Non-Transferability of the RSUs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Until such time as your RSUs are ultimately settled, they shall not be transferable by you by means of sale, assignment, exchange, encumbrance, pledge, hedge or otherwise.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No Rights as a Stockholder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specifically provided in the 2023 Inducement Plan, unless and until your RSUs are settled with Shares, you shall not be entitled to any rights of a stockholder with respect to the RSUs (including the right to vote the underlying Shares or receive dividends). Notwithstanding the foregoing, if LendingTree declares and pays dividends on the Common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7565"/>
                <wp:effectExtent l="0" t="0" r="0" b="0"/>
                <wp:wrapNone/>
                <wp:docPr id="67" name="Frame6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(and shall be settled at the same time as the underlying RSUs and also subject to satisfaction of tax withholding).</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Restrictive Covenants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Your acceptance of your RSUs shall be conditioned upon, and subject to, the execution of a separate restrictive covenant agreement in a form to be provided by the Company at the time of the Award Date (the “Restrictive Covenant Agreement”).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Other Restrictions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Conflicts and Interpretation</w:t>
      </w:r>
    </w:p>
    <w:p>
      <w:pPr>
        <w:pStyle w:val="TextBody"/>
        <w:bidi w:val="0"/>
        <w:spacing w:lineRule="auto" w:line="240" w:before="0" w:after="240"/>
        <w:jc w:val="both"/>
        <w:rPr/>
      </w:pPr>
      <w:r>
        <w:rPr>
          <w:rFonts w:ascii="Times New Roman;sans-serif" w:hAnsi="Times New Roman;sans-serif"/>
          <w:b w:val="false"/>
          <w:color w:val="000000"/>
          <w:sz w:val="24"/>
        </w:rPr>
        <w:t xml:space="preserve">In the event of any conflict between these Terms and Conditions and the 2023 Inducement Plan, the 2023 Inducement Plan shall control; provided, that an action or provision that is permissive under the terms of the 2023 Inducement Plan, and required under these Terms and Conditions, shall not be deemed a conflict and these Terms and Conditions shall control. In the event of any ambiguity in these Terms and Conditions, or any matters as to which these Terms and Conditions are silent, the 2023 Inducement Plan shall govern. In the event of (i) any conflict between the Award Notice (or any information posted on LendingTree’s intranet or given to you directly or indirectly through the Agent (including information posted on </w:t>
      </w:r>
      <w:r>
        <w:rPr>
          <w:rFonts w:ascii="Times New Roman;sans-serif" w:hAnsi="Times New Roman;sans-serif"/>
          <w:b w:val="false"/>
          <w:color w:val="0000FF"/>
          <w:sz w:val="24"/>
          <w:u w:val="single"/>
        </w:rPr>
        <w:t>https://us.etrade.com/stock-plans</w:t>
      </w:r>
      <w:r>
        <w:rPr>
          <w:rFonts w:ascii="Times New Roman;sans-serif" w:hAnsi="Times New Roman;sans-serif"/>
          <w:b w:val="false"/>
          <w:color w:val="000000"/>
          <w:sz w:val="24"/>
        </w:rPr>
        <w:t xml:space="preserve">)) and LendingTree’s books and records, or (ii) ambiguity in the Award Notice (or any information posted on LendingTree’s intranet or given to you directly or indirectly through the Agent (including information posted on </w:t>
      </w:r>
      <w:r>
        <w:rPr>
          <w:rFonts w:ascii="Times New Roman;sans-serif" w:hAnsi="Times New Roman;sans-serif"/>
          <w:b w:val="false"/>
          <w:color w:val="0000FF"/>
          <w:sz w:val="24"/>
          <w:u w:val="single"/>
        </w:rPr>
        <w:t>https://us.etrade.com/stock-plans</w:t>
      </w:r>
      <w:r>
        <w:rPr>
          <w:rFonts w:ascii="Times New Roman;sans-serif" w:hAnsi="Times New Roman;sans-serif"/>
          <w:b w:val="false"/>
          <w:color w:val="000000"/>
          <w:sz w:val="24"/>
        </w:rPr>
        <w:t>)), LendingTree’s books and records shall control.</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Amendment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LendingTree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Data Protection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acceptance of your RSUs constitutes your authorization of the release from time to time to LendingTree or any of its Subsidiaries or Affiliates and to the Agent (together, the “Relevant Companies”) of any and all personal or professional data that is necessary or desirable for the administration of your RSUs and/or the 2023 Inducement Plan (the “Relevant Information”). Without limiting the above, this authorization permits your employing company to collect,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7565"/>
                <wp:effectExtent l="0" t="0" r="0" b="0"/>
                <wp:wrapNone/>
                <wp:docPr id="68" name="Frame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process, register and transfer to the Relevant Companies all Relevant Information (including any professional and personal data that may be useful or necessary for the purposes of the administration of your RSUs and/or the 2023 Inducement Plan and/or to implement or structure any further grants of equity awards (if any)). The acceptance of your RSUs also constitutes your authorization of the transfer of the Relevant Information to any jurisdiction in which LendingTree, your employing company or the Agent considers appropriate. You shall have access to, and the right to change, the Relevant Information, which will only be used in accordance with applicable law.</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Sections 409A, 280G and 4999 of the Code</w:t>
      </w:r>
    </w:p>
    <w:p>
      <w:pPr>
        <w:pStyle w:val="TextBody"/>
        <w:bidi w:val="0"/>
        <w:spacing w:lineRule="auto" w:line="240" w:before="0" w:after="240"/>
        <w:jc w:val="both"/>
        <w:rPr/>
      </w:pPr>
      <w:r>
        <w:rPr>
          <w:rFonts w:ascii="Times New Roman;sans-serif" w:hAnsi="Times New Roman;sans-serif"/>
          <w:b w:val="false"/>
          <w:color w:val="000000"/>
          <w:sz w:val="24"/>
        </w:rPr>
        <w:t xml:space="preserve">Your Award is not intended to constitute “nonqualified deferred compensation” within the meaning of Section 409A of the Code and related rules and regulations (“Section 409A”). In no event shall LendingTree be required </w:t>
      </w:r>
      <w:r>
        <w:rPr>
          <w:rFonts w:ascii="Times New Roman;sans-serif" w:hAnsi="Times New Roman;sans-serif"/>
          <w:b/>
          <w:color w:val="000000"/>
          <w:sz w:val="24"/>
        </w:rPr>
        <w:t>t</w:t>
      </w:r>
      <w:r>
        <w:rPr>
          <w:rFonts w:ascii="Times New Roman;sans-serif" w:hAnsi="Times New Roman;sans-serif"/>
          <w:b w:val="false"/>
          <w:color w:val="000000"/>
          <w:sz w:val="24"/>
        </w:rPr>
        <w:t>o pay you any “gross-up” or other payment with respect to any taxes or penalties imposed under Section 409A (or Code Section 280G or 4999) with respect to any amounts or benefits paid to you in respect of your Award.</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Notification of Changes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9" name="Frame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that: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LendingTree,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27, 2023 </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Trent Ziegler, certify that: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June 30, 2023 of LendingTree,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27, 2023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fiscal quarter ended June 30, 2023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27, 2023 </w:t>
      </w:r>
    </w:p>
    <w:tbl>
      <w:tblPr>
        <w:tblW w:w="3626" w:type="dxa"/>
        <w:jc w:val="left"/>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Trent Ziegler,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fiscal quarter ended June 30, 2023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27, 2023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34621/000110465908054882/a08-22125_1ex3d1.htm" TargetMode="External"/><Relationship Id="rId5" Type="http://schemas.openxmlformats.org/officeDocument/2006/relationships/hyperlink" Target="http://www.sec.gov/Archives/edgar/data/1434621/000143462117000080/fourthamendedandrestatedb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36258</Words>
  <Characters>197430</Characters>
  <CharactersWithSpaces>232056</CharactersWithSpaces>
  <Paragraphs>3192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