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8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75565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7"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3"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55245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158115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2320" w:type="dxa"/>
            <w:vAlign w:val="bottom"/>
            <w:gridSpan w:val="3"/>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89"/>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1415 Vantage Park Dr., Suite 700, Charlotte, North Carolina 28203</w:t>
            </w: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04"/>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130"/>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6"/>
        </w:trPr>
        <w:tc>
          <w:tcPr>
            <w:tcW w:w="7440" w:type="dxa"/>
            <w:vAlign w:val="bottom"/>
            <w:gridSpan w:val="7"/>
          </w:tcPr>
          <w:p>
            <w:pPr>
              <w:jc w:val="center"/>
              <w:ind w:right="35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99"/>
        </w:trPr>
        <w:tc>
          <w:tcPr>
            <w:tcW w:w="1340" w:type="dxa"/>
            <w:vAlign w:val="bottom"/>
          </w:tcPr>
          <w:p>
            <w:pPr>
              <w:spacing w:after="0"/>
              <w:rPr>
                <w:sz w:val="24"/>
                <w:szCs w:val="24"/>
                <w:color w:val="auto"/>
              </w:rPr>
            </w:pPr>
          </w:p>
        </w:tc>
        <w:tc>
          <w:tcPr>
            <w:tcW w:w="2320" w:type="dxa"/>
            <w:vAlign w:val="bottom"/>
            <w:gridSpan w:val="3"/>
          </w:tcPr>
          <w:p>
            <w:pPr>
              <w:jc w:val="center"/>
              <w:ind w:right="1080"/>
              <w:spacing w:after="0"/>
              <w:rPr>
                <w:sz w:val="20"/>
                <w:szCs w:val="20"/>
                <w:color w:val="auto"/>
              </w:rPr>
            </w:pPr>
            <w:r>
              <w:rPr>
                <w:rFonts w:ascii="Times New Roman" w:cs="Times New Roman" w:eastAsia="Times New Roman" w:hAnsi="Times New Roman"/>
                <w:sz w:val="17"/>
                <w:szCs w:val="17"/>
                <w:color w:val="auto"/>
              </w:rPr>
              <w:t>Title of each class</w:t>
            </w:r>
          </w:p>
        </w:tc>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8"/>
        </w:trPr>
        <w:tc>
          <w:tcPr>
            <w:tcW w:w="366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tc>
        <w:tc>
          <w:tcPr>
            <w:tcW w:w="112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169" w:lineRule="exact"/>
        <w:rPr>
          <w:sz w:val="24"/>
          <w:szCs w:val="24"/>
          <w:color w:val="auto"/>
        </w:rPr>
      </w:pPr>
    </w:p>
    <w:p>
      <w:pPr>
        <w:jc w:val="both"/>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jc w:val="both"/>
        <w:ind w:firstLine="162"/>
        <w:spacing w:after="0" w:line="24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9"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7" w:lineRule="exact"/>
        <w:rPr>
          <w:sz w:val="24"/>
          <w:szCs w:val="24"/>
          <w:color w:val="auto"/>
        </w:rPr>
      </w:pPr>
    </w:p>
    <w:p>
      <w:pPr>
        <w:ind w:right="20" w:firstLine="162"/>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October 30, 2026, there were 14,044,187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40" w:type="dxa"/>
            <w:vAlign w:val="bottom"/>
            <w:gridSpan w:val="6"/>
          </w:tcPr>
          <w:p>
            <w:pPr>
              <w:jc w:val="center"/>
              <w:ind w:right="3000"/>
              <w:spacing w:after="0" w:line="176" w:lineRule="exact"/>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1040" w:type="dxa"/>
            <w:vAlign w:val="bottom"/>
          </w:tcPr>
          <w:p>
            <w:pPr>
              <w:spacing w:after="0"/>
              <w:rPr>
                <w:sz w:val="15"/>
                <w:szCs w:val="15"/>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334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54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3140" w:type="dxa"/>
            <w:vAlign w:val="bottom"/>
            <w:gridSpan w:val="3"/>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Unregistered Sales of Equity Securities and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34"/>
        </w:trPr>
        <w:tc>
          <w:tcPr>
            <w:tcW w:w="8720" w:type="dxa"/>
            <w:vAlign w:val="bottom"/>
          </w:tcPr>
          <w:p>
            <w:pPr>
              <w:spacing w:after="0"/>
              <w:rPr>
                <w:sz w:val="11"/>
                <w:szCs w:val="11"/>
                <w:color w:val="auto"/>
              </w:rPr>
            </w:pPr>
          </w:p>
        </w:tc>
        <w:tc>
          <w:tcPr>
            <w:tcW w:w="252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3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82,709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$1,149 and $1,322,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165,004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110,582</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37,662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38,053</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285,375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229,708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$29,510 and $28,387, respectively)</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29,194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29,709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282,716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34,258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38,092</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120,939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22,050</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804,241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855,692</w:t>
            </w:r>
          </w:p>
        </w:tc>
      </w:tr>
      <w:tr>
        <w:trPr>
          <w:trHeight w:val="243"/>
        </w:trPr>
        <w:tc>
          <w:tcPr>
            <w:tcW w:w="8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69,433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108,801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126,803</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182,170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137,464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326,659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387,694</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42,107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551,082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568,895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50,000,000 shares authorized; 17,397,550 and 17,124,837 shares issued, respectively,</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14,042,084 and 13,769,371 shares outstanding, respectively</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1,292,786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1,280,903</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(728,099)</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253,159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286,797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804,241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855,692</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7"/>
                <w:szCs w:val="17"/>
                <w:color w:val="auto"/>
              </w:rPr>
            </w:pP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7"/>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343,588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307,792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984,277</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797,636</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6"/>
        </w:trPr>
        <w:tc>
          <w:tcPr>
            <w:tcW w:w="5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separately below)</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11,670</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34,635</w:t>
            </w:r>
          </w:p>
        </w:tc>
        <w:tc>
          <w:tcPr>
            <w:tcW w:w="6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260,508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735,529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574,555</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26,437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80,137</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81,923</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10,243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31,742</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12,609</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3,834</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98,823</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98,823</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5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1,036</w:t>
            </w: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413,865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279,026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1,001,642</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755,055</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(17,365)</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42,581</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(37,393)</w:t>
            </w:r>
          </w:p>
        </w:tc>
      </w:tr>
      <w:tr>
        <w:trPr>
          <w:trHeight w:val="230"/>
        </w:trPr>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2,210</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(78,397)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(41,333)</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7,556</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10,165</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(45,524)</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6,652</w:t>
            </w:r>
          </w:p>
        </w:tc>
      </w:tr>
      <w:tr>
        <w:trPr>
          <w:trHeight w:val="257"/>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14,040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13,944</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14,040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13,944</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5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286,797</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17,125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1,280,903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(728,099)</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17,266</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17,266</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4,060</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4,060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(3,389)</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183</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3"/>
                <w:szCs w:val="13"/>
                <w:color w:val="auto"/>
              </w:rPr>
            </w:pPr>
          </w:p>
        </w:tc>
        <w:tc>
          <w:tcPr>
            <w:tcW w:w="9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(3,391)</w:t>
            </w:r>
          </w:p>
        </w:tc>
        <w:tc>
          <w:tcPr>
            <w:tcW w:w="200" w:type="dxa"/>
            <w:vAlign w:val="bottom"/>
          </w:tcPr>
          <w:p>
            <w:pPr>
              <w:spacing w:after="0"/>
              <w:rPr>
                <w:sz w:val="13"/>
                <w:szCs w:val="13"/>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2026</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304,734</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17,308</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1,281,572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(710,833)</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9,574</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9,574</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6,216</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6,216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employee stock purchase plan, restricted stock</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awards and restricted stock units, net of</w:t>
            </w:r>
          </w:p>
        </w:tc>
        <w:tc>
          <w:tcPr>
            <w:tcW w:w="240" w:type="dxa"/>
            <w:vAlign w:val="bottom"/>
          </w:tcPr>
          <w:p>
            <w:pPr>
              <w:spacing w:after="0"/>
              <w:rPr>
                <w:sz w:val="12"/>
                <w:szCs w:val="12"/>
                <w:color w:val="auto"/>
              </w:rPr>
            </w:pPr>
          </w:p>
        </w:tc>
        <w:tc>
          <w:tcPr>
            <w:tcW w:w="90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248</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82</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2"/>
                <w:szCs w:val="12"/>
                <w:color w:val="auto"/>
              </w:rPr>
            </w:pP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247</w:t>
            </w:r>
          </w:p>
        </w:tc>
        <w:tc>
          <w:tcPr>
            <w:tcW w:w="200" w:type="dxa"/>
            <w:vAlign w:val="bottom"/>
          </w:tcPr>
          <w:p>
            <w:pPr>
              <w:spacing w:after="0"/>
              <w:rPr>
                <w:sz w:val="12"/>
                <w:szCs w:val="12"/>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2026</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320,772</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17,390</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1,288,035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(701,259)</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(72,364)</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(72,364)</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4,896</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4,896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9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(145)</w:t>
            </w:r>
          </w:p>
        </w:tc>
        <w:tc>
          <w:tcPr>
            <w:tcW w:w="200" w:type="dxa"/>
            <w:vAlign w:val="bottom"/>
          </w:tcPr>
          <w:p>
            <w:pPr>
              <w:spacing w:after="0"/>
              <w:rPr>
                <w:sz w:val="13"/>
                <w:szCs w:val="13"/>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 and cancellations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2026</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253,159</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17,398</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1,292,786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(773,623)</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544"/>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5"/>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108,821</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16,747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1,254,239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(879,407)</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9,927</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9,927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(2,630)</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(2,632)</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103,743</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16,889</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1,261,534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(891,782)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8,862</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8,862</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5,162</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5,162</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345</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344</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118,112</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16,967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1,267,040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(882,920)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10,165</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10,165</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5,002</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5,002</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(881)</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26</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(881)</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132,398</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16,993</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1,271,161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(872,755)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8"/>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 income and comprehensive (loss) income</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(45,524)</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6,652</w:t>
            </w:r>
          </w:p>
        </w:tc>
      </w:tr>
      <w:tr>
        <w:trPr>
          <w:trHeight w:val="231"/>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3,834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3,902</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12,609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12,533</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15,172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20,091</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3,928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of goodwill</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98,823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carrying amount of ROU asset, offset by change in operating lease liabilities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settlement of convertible debt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investments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359</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repayment of term loans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7,861</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(54,937)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(51,921)</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and other assets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45,856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61,733</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w:t>
            </w:r>
          </w:p>
        </w:tc>
      </w:tr>
      <w:tr>
        <w:trPr>
          <w:trHeight w:val="226"/>
        </w:trPr>
        <w:tc>
          <w:tcPr>
            <w:tcW w:w="8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27"/>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76,448</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56,575</w:t>
            </w:r>
          </w:p>
        </w:tc>
      </w:tr>
      <w:tr>
        <w:trPr>
          <w:trHeight w:val="219"/>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(9,423)</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fixed assets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29"/>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(8,825)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(6,926)</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term loan</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term loan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(409,375)</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(2,756)</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and repurchase of 0.50% Convertible Senior Notes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(115,007)</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revolver issuance costs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w:t>
            </w: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Payment of original issue discount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(65,987)</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(87,665)</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restricted cash and restricted cash equivalents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1,636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(38,016)</w:t>
            </w:r>
          </w:p>
        </w:tc>
      </w:tr>
      <w:tr>
        <w:trPr>
          <w:trHeight w:val="228"/>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81,073</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106,594</w:t>
            </w:r>
          </w:p>
        </w:tc>
      </w:tr>
      <w:tr>
        <w:trPr>
          <w:trHeight w:val="234"/>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period</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82,709</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68,578</w:t>
            </w:r>
          </w:p>
        </w:tc>
      </w:tr>
      <w:tr>
        <w:trPr>
          <w:trHeight w:val="149"/>
        </w:trPr>
        <w:tc>
          <w:tcPr>
            <w:tcW w:w="8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24,223</w:t>
            </w:r>
          </w:p>
        </w:tc>
        <w:tc>
          <w:tcPr>
            <w:tcW w:w="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its subsidiaries (collectively, “LendingTree”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insurance carriers, lenders and other providers seeking an efficient, scalable, and flexible source of customer acquisition with directly measurable benefits, by matching the consumer inquiries it generates with these providers.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September 30, 2026 and for the three and nine months ended September 30, 2026 and 2025,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2026 are not necessarily indicative of the results to be expected for the year ending December 31, 2026, or any other period. The accompanying consolidated balance sheet as of December 31, 2025 was derived from audited financial statements included in the Company's Annual Report on Form 10-K for the year ended December 31, 2025 (the “2025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2025 Annual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assets, and the recoverability of long-lived assets, goodwill and intangible assets. These assumptions and estimates may change as new events occur and additional information is obtained. If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conditions worsen, such future changes may have an adverse impact on the Company's results of operations, financial position and liquidity.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September 30, 2026,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 Update ("ASU") 2025-05 which provides a practical expedient permitting an entity to assume that conditions at the balance sheet date do not change for the remaining life of the asset when estimating expected credit losses for current classified accounts receivable and contract assets. This ASU is effective for annual reporting periods beginning after December 15, 2025, including interim periods within those fiscal years. The Company adopted this ASU on January 1, 2026, on a prospective basis and elected the practical expedient. The adoption of this standard did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for targeted improvements to the accounting for internal-use software. The amendments modernize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2025-11 which clarifies interim disclosure requirements in order to improve the consistency, clarity and navigability of interim financial statements. This ASU is effective for interim reporting periods within annual reporting periods beginning after December 15, 2027. Early adoption is permitted. The guidance in this ASU can be applied either on a prospective or a retrospective basis. The Company is currently evaluating the impact this ASU will have on its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and approval fees. Closing fees are derived from lenders on certain auto loans, business loans, and personal loans when the lender funds a loan with the consumer. Approval fees are derived from credit card issuers when the credit card consumer receives card approval from the credit card issuer.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The closing fee on an original loan and approval is estimated using the Company's historical closing rates and historical time between when a consumer request for a loan or credit card is delivered to the lender or card issuer and when the loan is closed by the lender or approved by the card issuer. The closing fee on a renewal loan is estimated using historical renewal and commission rates.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contract asset related to estimated variable consideration was $42.4 million and $33.5 million at September 30, 2026 and December 31, 2025, respectively, of which $25.4 million and $22.5 million, respectively, is included in prepaid and other current assets on the consolidated balance sheet. The non-current contract asset is included in other non-current assets on the consolidated balance sheet.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 decrease for closing and approval fees of $0.5 million in the third quarter of 2026, and an increase of $0.4 million in the third quarter of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4—ALLOWANCE FOR DOUBTFUL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3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1,235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1,322</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30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6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1,149</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1,149</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r>
      <w:tr>
        <w:trPr>
          <w:trHeight w:val="561"/>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balance of goodwill, net and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9"/>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2"/>
                <w:szCs w:val="22"/>
                <w:color w:val="auto"/>
              </w:rPr>
            </w:pPr>
          </w:p>
        </w:tc>
        <w:tc>
          <w:tcPr>
            <w:tcW w:w="12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903,227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(620,511)</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282,716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r>
      <w:tr>
        <w:trPr>
          <w:trHeight w:val="256"/>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24,116</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34,258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goodwill at September 30, 2026 consisted of $36.0 million (net of accumulated impairment losses of $23.3 million) associated with the Home segment, $90.6 million (net of accumulated impairment losses of $75.5 million) associated with the Consumer segment, and $156.1 million (net of accumulated impairment losses of $38.6 million) associated with the Insurance segment. The Company's goodwill at December 31, 2025 consisted of $59.3 million associated with the Home segment, $166.1 million associated with the Consumer segment, and $156.1 million (net of accumulated impairment losses of $38.6 million) associated with the Insurance segment.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2026, the Company’s market capitalization declined significantly compared to the second quarter of 2026. The closing stock price on September 30, 2026 was $24.43, reflecting a market capitalization which approximated the Company's book value. In September 2026 there was a shift in the Federal Reserve stance on interest rates as they increased the federal funds rate by 25 basis points and signaled the potential for additional increases which, with other continuing geopolitical events could continue to pressure demand for new borrowing in the Consumer reporting unit. Additionally, mortgage rates increased in the third quarter of 2026 and remain significantly higher than the low rates seen in 2021. The 10-year treasury rate (benchmark mortgage rates) increased in the third quarter to the highest rate in decades.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these factors, it was concluded that a triggering event had occurred for the Home and Consumer reporting units, and an interim quantitative impairment test was performed as of September 30, 2026. Upon completing the quantitative goodwill impairment test, the Company concluded that the carrying values of the Home and Consumer reporting units exceeded their respective fair values, which resulted in a goodwill impairment charge of $23.3 million on the Home reporting unit and $75.5 million on the Consumer reporting unit. The fair values of each reporting unit were determined using a combination of the income approach and the market approach valuation methodologies.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continue to monitor the recovery of the Home and Consumer reporting units. Changes in the timing of the recovery compared to current expectations could cause further impairment to the Home or Consumer reporting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68,000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68,000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(43,884)</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24,116</w:t>
            </w:r>
          </w:p>
        </w:tc>
        <w:tc>
          <w:tcPr>
            <w:tcW w:w="0" w:type="dxa"/>
            <w:vAlign w:val="bottom"/>
          </w:tcPr>
          <w:p>
            <w:pPr>
              <w:spacing w:after="0"/>
              <w:rPr>
                <w:sz w:val="1"/>
                <w:szCs w:val="1"/>
                <w:color w:val="auto"/>
              </w:rPr>
            </w:pPr>
          </w:p>
        </w:tc>
      </w:tr>
      <w:tr>
        <w:trPr>
          <w:trHeight w:val="340"/>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69,100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69,100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September 30, 2026,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6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30"/>
        </w:trPr>
        <w:tc>
          <w:tcPr>
            <w:tcW w:w="6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4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gridSpan w:val="3"/>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24,116</w:t>
            </w:r>
          </w:p>
        </w:tc>
      </w:tr>
      <w:tr>
        <w:trPr>
          <w:trHeight w:val="905"/>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6—ACCRUED EXPENSES AND OTHER CURRENT LIABILITIES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2"/>
                <w:szCs w:val="2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8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70,883</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69,250</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18,580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8,299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contingencies</w:t>
            </w: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30"/>
        </w:trPr>
        <w:tc>
          <w:tcPr>
            <w:tcW w:w="6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5,423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30"/>
        </w:trPr>
        <w:tc>
          <w:tcPr>
            <w:tcW w:w="6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108,801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126,803</w:t>
            </w:r>
          </w:p>
        </w:tc>
      </w:tr>
      <w:tr>
        <w:trPr>
          <w:trHeight w:val="56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9"/>
        </w:trPr>
        <w:tc>
          <w:tcPr>
            <w:tcW w:w="5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6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8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14,040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13,538</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146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46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4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14,040</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13,988</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13,944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third quarter and the first nine months of 2026, the Company was in a net loss position and, as a result, no potentially dilutive securities were included in the denominator for computing diluted loss per share, because the impact would have been anti-dilutive. Accordingly, the weighted average basic shares was used to compute loss per share. Approximately 0.1 million shares and 0.2 million shares related to potentially dilutive securities were excluded from the calculation of diluted loss per share for the third quarter and the first nine months of 2026, respectively, because their inclusion would have been anti-dilutive. For the third quarter of 2026, the weighted average shares that were anti-dilutive, and therefore excluded from the calculation of diluted income per share, included options to purchase 0.8 million shares of common stock and 0.5 million restricted stock units. For the first nine months of 2026, the weighted average shares that were anti-dilutive, and therefore excluded from the calculation of diluted income per share, included options to purchase 0.8 million shares of common stock and 0.3 million shares of restricted stock units.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2025, the weighted average shares that were anti-dilutive, and therefore excluded from the calculation of diluted income per share, included options to purchase 0.8 million shares of common stock. For the first nine months of 2025, the weighted average shares that were anti-dilutive, and therefore excluded from the calculation of diluted income per share, included options to purchase 0.9 million shares of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and the warrants issued by the Company could have been converted or exercised, respectively, into the Company’s common stock, subject to certain contingencies. The convertible notes were settled in 2025 and the warrants have expired and are no longer outstanding. The if-converted method was used for diluted net income per share of the convertible notes.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0.2 million and 0.3 million shares in the third quarter and first nine months of 2025, respectively, associated with the 0.50% Convertible Senior Notes due July 15, 2025 were excluded from the calculation of diluted income (loss) per share because their inclusion would have been anti-dilutive. Shares of the Company's common stock associated with the warrants issued by the Company in 2020 were excluded from the calculation of diluted income (loss) per share for the first nine months of 2026 and the third quarter and first nine months of 2025, as they were anti-dilutive since the strike price of the warrants was greater than the average market price of the Company's common stock during the relevant periods. The warrants expired on February 11,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an Equity Distribution Agreement in connection with the establishment of an ATM Equity Program under which the Company may sell up to an aggregate of $50.0 million of shares of the Company's common stock. No sales were made under the Equity Distribution Agreement during the nine months ended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During the first nine months of 2026 and 2025, the Company did not repurchase shares of its common stock. At September 30, 2026, approximately $96.7 million of the previous authorizations to repurchase common stock remain available.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6"/>
        </w:trPr>
        <w:tc>
          <w:tcPr>
            <w:tcW w:w="49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415</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1,012</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2,538</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3,098</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9,101</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645</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2,106</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1,012</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4,896</w:t>
            </w: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5,002</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15,172</w:t>
            </w:r>
          </w:p>
        </w:tc>
        <w:tc>
          <w:tcPr>
            <w:tcW w:w="6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20,091</w:t>
            </w:r>
          </w:p>
        </w:tc>
      </w:tr>
      <w:tr>
        <w:trPr>
          <w:trHeight w:val="891"/>
        </w:trPr>
        <w:tc>
          <w:tcPr>
            <w:tcW w:w="4940" w:type="dxa"/>
            <w:vAlign w:val="bottom"/>
          </w:tcPr>
          <w:p>
            <w:pPr>
              <w:spacing w:after="0"/>
              <w:rPr>
                <w:sz w:val="24"/>
                <w:szCs w:val="24"/>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2026</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359,477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228.86</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135.43</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2026</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325,822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238.51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2026</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325,822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238.51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$24.43 on the last trading day of the quarter ended September 30, 2026 and the exercise price, multiplied by the number of shares covered by in-the-money options) that would have been received by the option holder had the option holder exercised these options on September 30, 2026. The intrinsic value changes based on the market value of the Company's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October 2026, certain outstanding stock options totaling 175,529 expired unexercised.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9—Income Taxes for further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jc w:val="center"/>
              <w:ind w:right="3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4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2026</w:t>
            </w: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2026</w:t>
            </w:r>
          </w:p>
        </w:tc>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2026</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1"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$24.43 on the last trading day of the quarter ended September 30, 2026 and the exercise price, multiplied by the number of shares covered by in-the-money options) that would have been received by the option holder had the option holder exercised these options on September 30, 2026. The intrinsic value changes based on the market value of the Company's common stock.</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no additional performance-based nonqualified stock options with a market condition had been earned or remain available to be earned.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October 2026, all of the outstanding stock options with market conditions expired unexercised.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9—Income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2026</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720,460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545,250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(344,907)</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(56,937)</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2026</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863,866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44.07</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market conditions is as follows: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17"/>
                <w:szCs w:val="17"/>
                <w:color w:val="auto"/>
              </w:rPr>
            </w:pPr>
          </w:p>
        </w:tc>
        <w:tc>
          <w:tcPr>
            <w:tcW w:w="3680" w:type="dxa"/>
            <w:vAlign w:val="bottom"/>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RSUs with Market Conditions (a)</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7"/>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2026</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79,000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62,800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2026</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132,800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the Company granted RSUs with market conditions that will vest if the Company's 90 trading day average closing stock price equals or exceeds certain price hurdles ($69.15, $83.85 and $98.55) during the performance period of March 5, 2026 to March 5, 2030. Upon achievement of each price hurdle, one-half of the awards will vest upon the later of the achievement date or the one-year anniversary of the grant date, and the other half of the awards will vest on the first anniversary of the achievement date.</w:t>
      </w:r>
    </w:p>
    <w:p>
      <w:pPr>
        <w:spacing w:after="0" w:line="1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14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7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4.04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years</w:t>
            </w:r>
          </w:p>
        </w:tc>
      </w:tr>
      <w:tr>
        <w:trPr>
          <w:trHeight w:val="230"/>
        </w:trPr>
        <w:tc>
          <w:tcPr>
            <w:tcW w:w="6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76.84%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r>
      <w:tr>
        <w:trPr>
          <w:trHeight w:val="230"/>
        </w:trPr>
        <w:tc>
          <w:tcPr>
            <w:tcW w:w="6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312"/>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56" w:lineRule="exact"/>
        <w:rPr>
          <w:sz w:val="20"/>
          <w:szCs w:val="20"/>
          <w:color w:val="auto"/>
        </w:rPr>
      </w:pPr>
    </w:p>
    <w:p>
      <w:pPr>
        <w:ind w:left="98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the respective performance period plus any time-based vesting requirement.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hanging="324"/>
        <w:spacing w:after="0" w:line="282"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RSUs, resulting in a zero expected dividend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implemented an employee stock purchase plan (“ESPP”), under which a total of 262,731 shares of the Company's common stock were reserved for issuance. As of September 30, 2026, 52,604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nine months ended September 30, 2026, 21,700 shares were issued under the ESPP.</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granted employee stock purchase rights to certain employees with a grant date fair value per share of $16.42 and $14.00,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10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60" w:type="dxa"/>
            <w:vAlign w:val="bottom"/>
            <w:tcBorders>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55 - 80%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71 - 79%</w:t>
            </w:r>
          </w:p>
        </w:tc>
      </w:tr>
      <w:tr>
        <w:trPr>
          <w:trHeight w:val="229"/>
        </w:trPr>
        <w:tc>
          <w:tcPr>
            <w:tcW w:w="7560" w:type="dxa"/>
            <w:vAlign w:val="bottom"/>
            <w:tcBorders>
              <w:bottom w:val="single" w:sz="8" w:color="999999"/>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17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3.58 - 4.00%</w:t>
            </w:r>
          </w:p>
        </w:tc>
        <w:tc>
          <w:tcPr>
            <w:tcW w:w="19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4.24 - 4.29%</w:t>
            </w:r>
          </w:p>
        </w:tc>
      </w:tr>
    </w:tbl>
    <w:p>
      <w:pPr>
        <w:spacing w:after="0" w:line="2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7"/>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2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6,033</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(4,191)</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522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ind w:right="1"/>
              <w:spacing w:after="0"/>
              <w:rPr>
                <w:sz w:val="20"/>
                <w:szCs w:val="20"/>
                <w:color w:val="auto"/>
              </w:rPr>
            </w:pPr>
            <w:r>
              <w:rPr>
                <w:rFonts w:ascii="Times New Roman" w:cs="Times New Roman" w:eastAsia="Times New Roman" w:hAnsi="Times New Roman"/>
                <w:sz w:val="18"/>
                <w:szCs w:val="18"/>
                <w:i w:val="1"/>
                <w:iCs w:val="1"/>
                <w:color w:val="auto"/>
              </w:rPr>
              <w:t>7.7%</w:t>
            </w:r>
          </w:p>
        </w:tc>
        <w:tc>
          <w:tcPr>
            <w:tcW w:w="480" w:type="dxa"/>
            <w:vAlign w:val="bottom"/>
            <w:tcBorders>
              <w:bottom w:val="single" w:sz="8" w:color="999999"/>
            </w:tcBorders>
          </w:tcPr>
          <w:p>
            <w:pPr>
              <w:spacing w:after="0"/>
              <w:rPr>
                <w:sz w:val="19"/>
                <w:szCs w:val="19"/>
                <w:color w:val="auto"/>
              </w:rPr>
            </w:pPr>
          </w:p>
        </w:tc>
        <w:tc>
          <w:tcPr>
            <w:tcW w:w="9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12.3%</w:t>
            </w:r>
          </w:p>
        </w:tc>
        <w:tc>
          <w:tcPr>
            <w:tcW w:w="120" w:type="dxa"/>
            <w:vAlign w:val="bottom"/>
            <w:tcBorders>
              <w:bottom w:val="single" w:sz="8" w:color="999999"/>
            </w:tcBorders>
          </w:tcPr>
          <w:p>
            <w:pPr>
              <w:spacing w:after="0"/>
              <w:rPr>
                <w:sz w:val="19"/>
                <w:szCs w:val="19"/>
                <w:color w:val="auto"/>
              </w:rPr>
            </w:pPr>
          </w:p>
        </w:tc>
        <w:tc>
          <w:tcPr>
            <w:tcW w:w="340" w:type="dxa"/>
            <w:vAlign w:val="bottom"/>
            <w:tcBorders>
              <w:bottom w:val="single" w:sz="8" w:color="999999"/>
            </w:tcBorders>
          </w:tcPr>
          <w:p>
            <w:pPr>
              <w:spacing w:after="0"/>
              <w:rPr>
                <w:sz w:val="19"/>
                <w:szCs w:val="19"/>
                <w:color w:val="auto"/>
              </w:rPr>
            </w:pPr>
          </w:p>
        </w:tc>
        <w:tc>
          <w:tcPr>
            <w:tcW w:w="1180" w:type="dxa"/>
            <w:vAlign w:val="bottom"/>
            <w:tcBorders>
              <w:bottom w:val="single" w:sz="8" w:color="999999"/>
            </w:tcBorders>
          </w:tcPr>
          <w:p>
            <w:pPr>
              <w:ind w:left="520"/>
              <w:spacing w:after="0"/>
              <w:rPr>
                <w:sz w:val="20"/>
                <w:szCs w:val="20"/>
                <w:color w:val="auto"/>
              </w:rPr>
            </w:pPr>
            <w:r>
              <w:rPr>
                <w:rFonts w:ascii="Times New Roman" w:cs="Times New Roman" w:eastAsia="Times New Roman" w:hAnsi="Times New Roman"/>
                <w:sz w:val="18"/>
                <w:szCs w:val="18"/>
                <w:i w:val="1"/>
                <w:iCs w:val="1"/>
                <w:color w:val="auto"/>
              </w:rPr>
              <w:t>(10.1%)</w:t>
            </w:r>
          </w:p>
        </w:tc>
        <w:tc>
          <w:tcPr>
            <w:tcW w:w="600" w:type="dxa"/>
            <w:vAlign w:val="bottom"/>
            <w:tcBorders>
              <w:bottom w:val="single" w:sz="8" w:color="999999"/>
            </w:tcBorders>
          </w:tcPr>
          <w:p>
            <w:pPr>
              <w:spacing w:after="0"/>
              <w:rPr>
                <w:sz w:val="19"/>
                <w:szCs w:val="19"/>
                <w:color w:val="auto"/>
              </w:rPr>
            </w:pPr>
          </w:p>
        </w:tc>
        <w:tc>
          <w:tcPr>
            <w:tcW w:w="86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12.0%</w:t>
            </w: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third quarter of 2026, the effective tax rate varied from the federal statutory rate of 21% primarily due to a non-cash discrete tax benefit resulting from the write-off of a deferred tax liability related to a goodwill impairment. This benefit was partially offset by state taxes and various permanent non-deductible items. For the first nine months of 2026, the effective tax rate varied from the federal statutory rate of 21% primarily due to state taxes and various permanent non-deductible tax adjustments, which exceeded the non-cash benefit realized from the write-off of the goodwill-related deferred tax liability. For the third quarter and first nine months of 2025, the effective tax rate varied from the federal statutory rate of 21% primarily due to the change in the valuation allowance, net of the current period change in tax effected net indefinite-lived intangibles and current tax expense on taxable income.</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out-of-the-money stock options expired unexercised in October 2026, and as a result the Company is required to write-off the related deferred tax asset for share-based compensation in the fourth quarter of 2026, which will increase income tax expense by approximately $16.6 million and increase the effective tax rate.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2025, the Company entered into a credit agreement (the “2025 Credit Agreement”), consisting of a $75.0 million revolving credit facility (the “2025 Revolving Facility”), which matures on August 21, 2030, and a $400.0 million term loan facility (the “2025 Term Loan” and together with the 2025 Revolving Facility, the “2025 Credit Facility”), which matures on August 21, 2030.</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2026, the Company repurchased approximately $20.0 million in principal amount of the 2025 Term Loan for $19.7 million and made a voluntary principal prepayment of $40.0 million on the 2025 Term Loan. As a result of these prepayments, the Company recognized a $0.7 million loss on the extinguishment of debt which is included in interest expense, net in the consolidated statement of operations and income.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gross carrying amount, debt issuance costs, original issue discount, and net carrying value of the 2025 Term Loan in the accompanying consolidated balance sheets,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2,684</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326,659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387,694</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borrowings outstanding under the 2025 Term Loan bear interest based on the Secured Overnight Financing Rate ("SOFR") of 8.15%. The carrying value of the Company's financial instruments are equal to fair value at September 30,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had no borrowings outstanding under the 2025 Revolving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covenants at September 30, 2026.</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2026, the Company recorded interest expense related to its 2025 Credit Agreement of $25.3 million which consisted of $23.8 million associated with borrowings bearing interest based on the SOFR rate, $0.8 million associated with the amortization of debt issuance costs, $0.5 million associated with the accretion of the original issue discount, and $0.2 million in unused commitment fees.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2025, the Company recorded interest expense related to its 2025 Credit Agreement of $4.3 million which consisted of $4.0 million associated with borrowings bearing interest based on the SOFR rate, $0.1 million associated with the amortization of debt issuance costs, $0.1 million associated with the accretion of the original issue discount, and $0.1 million in unused commitment fees.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2025, the Company recorded interest expense on the 2025 Notes of $0.6 million which consisted of $0.3 million associated with the 0.50% coupon rate and $0.3 million associated with the amortization of the debt issuance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Additionally, a gain on the extinguishment of debt of $0.3 million for the repurchase of a portion of the 2025 Notes is included in interest expense, net in the consolidated statement of operations and comprehensive income.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2025, the Company recorded interest expense related to its credit agreement from 2021 of $14.5 million which consisted of $13.2 million associated with borrowings bearing interest at the SOFR option rate, $0.7 million in unused commitment fees and $0.6 million associated with the amortization of debt issuance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2025, the Company recorded interest expense related to the March 27, 2024 first lien term loan facility of $10.3 million which consisted of $9.4 million associated with borrowings bearing interest based on the SOFR option rate, $0.2 million associated with unused commitment fees, $0.4 million associated with the amortization of debt issuance costs, and $0.3 million associated with the accretion of the original issue discount.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11, unless otherwise indicated, the Company is unable to estimate the possible loss or range of losses that could potentially result from the application of such non-monetary remedies.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incurred in such matters may be subject to insurance coverage.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litigation settlement accruals of $1.2 million and $13.0 million, respectively. The litigation settlement accruals relate to litigation matters that were either settled, a firm offer for settlement was extended or an estimated settlement range has been determined, thereby establishing an accrual amount that is both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for $19.0 million. The settlement was approved by the court on September 29, 2025, and the matter was dismissed with prejudice. The settlement was payable in three equal installments. The first payment was made in October 2025, the second payment was made in the first quarter of 2026, and the final payment was made in the second quarter of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Company's Board of Directors approved a $0.4 million contribution to the LendingTree Foundation that the Company paid in the second quarter of 2026. Officers of the Company serve as officers of the LendingTree Foundation.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(the "CODM"), the Company's Chief Executive Officer, for the purpose of assessing performance and allocating resources.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The Consumer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includes the following products: credit cards, personal loans, small business loans, auto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deposit accounts, and other credit products. The Insurance segment consists of insurance quote products and sales of insurance policies in the agency businesses. The insurance agency business was closed in the second quarter of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234,931</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343,588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37,628</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180,709</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247,448</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12,401</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29,575</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54,222</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96,140</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13,060</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(70,277)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(9,129)</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(78,397)</w:t>
            </w:r>
          </w:p>
        </w:tc>
      </w:tr>
      <w:tr>
        <w:trPr>
          <w:trHeight w:val="463"/>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203,512</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307,792</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155,864</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213,229</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11,782</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35,203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47,648</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94,563</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28,766</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666,053</w:t>
            </w:r>
          </w:p>
        </w:tc>
        <w:tc>
          <w:tcPr>
            <w:tcW w:w="8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984,277</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90,787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103,668</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503,902</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698,557</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33,641</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90,128</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162,151</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285,720</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98,823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(17,365)</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(26,178)</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(41,333)</w:t>
            </w:r>
          </w:p>
        </w:tc>
      </w:tr>
      <w:tr>
        <w:trPr>
          <w:trHeight w:val="463"/>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497,321</w:t>
            </w:r>
          </w:p>
        </w:tc>
        <w:tc>
          <w:tcPr>
            <w:tcW w:w="82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797,636</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370,967</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538,982</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37,984</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94,410</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126,354</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258,654</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30,954</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35,573</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42,581</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(37,393)</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on Form 10-Q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Annual Report on Form 10-K for the year ended December 31, 2025 (the "2025 Annual Report").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its subsidiaries.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and other related offerings. In addition, we offer consumers tools and resources, including free credit scores, that facilitate comparison shopping for loans, deposit products, insurance, and other offerings. We seek to match consumers with multiple providers, who can provide them competing quotes for the product(s) they are seeking. We also serve as a valued partner to insurance carriers, lenders and other providers seeking an efficient, scalable and flexible source of customer acquisition with directly measurable benefits, by matching the consumer inquiries we generate with these Network Partners.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including inflationary pressures and interest rates, and any resulting impacts on our financial position and results of operations. Refer to Part I, Item 1A. “Risk Factors”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2026, the interest rate environment and inflationary pressures have continued to present challenges for many of our mortgage lending partners. In our Home segment, mortgage rates increased in the third quarter of 2026 and remain significantly higher than the low rates seen in 2021. A shortage of in-the-money refinance borrowers persists given the current higher level of mortgage rates, and historically low existing home sales are suppressing consumer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purchase loans. The 10-year treasury rate (benchmark mortgage rates) increased in the third quarter to the highest rate in decades. In September</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2026 we saw a shift in the Federal Reserve stance on interest rates as they increased the federal funds rate by 25 basis points and signaled the potential for additional increases which, with other continuing geopolitical events, could continue to pressure demand for new borrowing in the Consumer segment. In our Insurance segment, carriers are broadly experiencing strong automotive underwriting results following multiple quarters of premium increases and stable loss cost trends, and we continue to be optimistic about the remainder of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Freddie Mac, the monthly average 30-year mortgage interest rates increased from a monthly average of 6.2% in December 2025 to a monthly average of 6.9% in September 2026. On a quarterly basis, 30-year mortgage interest rates in the third quarter of 2026 averaged 6.7%, compared to 6.6% in the third quarter of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5863590" cy="4191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27% in the third quarter of 2026. In the third quarter of 2026, total refinance origination dollars decreased 29% from the fourth quarter of 2025 and decreased 6% from the third quarter of 2025. Industry-wide mortgage origination dollars in the third quarter of 2026 decreased 5% from the fourth quarter of 2025 and decreased 4% from the third quarter of 2025.</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MBA projections, the mix of mortgage origination dollars is expected to continue to be weighted towards purchase mortgages with the refinance share representing approximately 33% for 2026 compared to 28%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Fannie Mae data, existing home sales decreased approximately 2% in the third quarter of 2026 compared to the third quarter of 2025. Fannie Mae predicts overall existing-home sales to decrease approximately 1% in 2026 compared to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2026 and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1"/>
                <w:szCs w:val="11"/>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1"/>
                <w:szCs w:val="11"/>
                <w:color w:val="auto"/>
              </w:rPr>
            </w:pPr>
          </w:p>
        </w:tc>
        <w:tc>
          <w:tcPr>
            <w:tcW w:w="920" w:type="dxa"/>
            <w:vAlign w:val="bottom"/>
          </w:tcPr>
          <w:p>
            <w:pPr>
              <w:jc w:val="right"/>
              <w:ind w:right="50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01"/>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1"/>
                <w:szCs w:val="11"/>
                <w:color w:val="auto"/>
              </w:rPr>
            </w:pPr>
          </w:p>
        </w:tc>
        <w:tc>
          <w:tcPr>
            <w:tcW w:w="7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1"/>
                <w:szCs w:val="11"/>
                <w:color w:val="auto"/>
              </w:rPr>
            </w:pPr>
          </w:p>
        </w:tc>
        <w:tc>
          <w:tcPr>
            <w:tcW w:w="1100" w:type="dxa"/>
            <w:vAlign w:val="bottom"/>
          </w:tcPr>
          <w:p>
            <w:pPr>
              <w:jc w:val="right"/>
              <w:ind w:right="68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gridSpan w:val="5"/>
          </w:tcPr>
          <w:p>
            <w:pPr>
              <w:jc w:val="right"/>
              <w:ind w:right="379"/>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124,428</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115,546</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8,882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66,173</w:t>
            </w:r>
          </w:p>
        </w:tc>
        <w:tc>
          <w:tcPr>
            <w:tcW w:w="180" w:type="dxa"/>
            <w:vAlign w:val="bottom"/>
          </w:tcPr>
          <w:p>
            <w:pPr>
              <w:spacing w:after="0"/>
              <w:rPr>
                <w:sz w:val="18"/>
                <w:szCs w:val="18"/>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1,030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184,725</w:t>
            </w:r>
          </w:p>
        </w:tc>
        <w:tc>
          <w:tcPr>
            <w:tcW w:w="16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9,071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666,053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168,732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(44)</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343,588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307,792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35,796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984,277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797,636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186,641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w:t>
            </w: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653</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34,635</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3,681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and amortization shown separately below)</w:t>
            </w: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260,508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225,051</w:t>
            </w:r>
          </w:p>
        </w:tc>
        <w:tc>
          <w:tcPr>
            <w:tcW w:w="180" w:type="dxa"/>
            <w:vAlign w:val="bottom"/>
          </w:tcPr>
          <w:p>
            <w:pPr>
              <w:spacing w:after="0"/>
              <w:rPr>
                <w:sz w:val="18"/>
                <w:szCs w:val="18"/>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35,457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735,529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574,555</w:t>
            </w:r>
          </w:p>
        </w:tc>
        <w:tc>
          <w:tcPr>
            <w:tcW w:w="16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160,974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(1,786)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w:t>
            </w:r>
          </w:p>
        </w:tc>
        <w:tc>
          <w:tcPr>
            <w:tcW w:w="18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34,674</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(2,932)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8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60" w:type="dxa"/>
            <w:vAlign w:val="bottom"/>
          </w:tcPr>
          <w:p>
            <w:pPr>
              <w:spacing w:after="0"/>
              <w:rPr>
                <w:sz w:val="18"/>
                <w:szCs w:val="18"/>
                <w:color w:val="auto"/>
              </w:rPr>
            </w:pPr>
          </w:p>
        </w:tc>
        <w:tc>
          <w:tcPr>
            <w:tcW w:w="11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(68)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98,823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98,823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98,823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8"/>
                <w:szCs w:val="18"/>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439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60" w:type="dxa"/>
            <w:vAlign w:val="bottom"/>
          </w:tcPr>
          <w:p>
            <w:pPr>
              <w:spacing w:after="0"/>
              <w:rPr>
                <w:sz w:val="18"/>
                <w:szCs w:val="18"/>
                <w:color w:val="auto"/>
              </w:rPr>
            </w:pP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2,062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(14,243)</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413,865</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279,026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134,839</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48 %</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1,001,642</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755,055</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246,587</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33 %</w:t>
            </w: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(70,277)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28,766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(99,043)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(17,365)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42,581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(59,946)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(8,778)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(11,215)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277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(158)</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(78,397)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(89,988)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(41,333)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(48,889)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(7,459)</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3,287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(loss) income and comprehensive (loss)</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(72,364)</w:t>
            </w: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10,165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(82,529)</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(45,524)</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6,652</w:t>
            </w:r>
          </w:p>
        </w:tc>
        <w:tc>
          <w:tcPr>
            <w:tcW w:w="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(52,176)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(784)%</w:t>
            </w:r>
          </w:p>
        </w:tc>
        <w:tc>
          <w:tcPr>
            <w:tcW w:w="0" w:type="dxa"/>
            <w:vAlign w:val="bottom"/>
          </w:tcPr>
          <w:p>
            <w:pPr>
              <w:spacing w:after="0"/>
              <w:rPr>
                <w:sz w:val="1"/>
                <w:szCs w:val="1"/>
                <w:color w:val="auto"/>
              </w:rPr>
            </w:pPr>
          </w:p>
        </w:tc>
      </w:tr>
      <w:tr>
        <w:trPr>
          <w:trHeight w:val="214"/>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increased in the third quarter and first nine months of 2026 compared to the third quarter and first nine months of 2025 primarily due to increases in our Insurance, Home and Consumer segments.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Insurance segment increased $31.4 million, or 15%, to $234.9 million in the third quarter of 2026 from $203.5 million in the third quarter of 2025. The increase in revenue was due to a 36% increase in revenue earned per consumer, representing $73.9 million of the increase, offset by a 15% decrease in volume, representing $42.5 million of a decrease. Revenue from our Insurance segment increased $168.7 million, or 34%, to $666.1 million in the first nine months of 2026 from $497.3 million in the first nine months of 2025. The increase in revenue was due to a 22% increase in revenue earned per consumer, representing $110.2 million of the increase, and a 10% increase in volume, representing $58.5 million of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 We measure volume for our insurance product as the number of consumer request forms and, in certain cases re-engagement with a consumer, the number of such subsequent consumer engagements through our platform.</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auto loans, deposit accounts, and other credit products. Many of our Consumer segment products are not individually significant to revenue. Revenue from our Consumer segment increased $1.0 million, or 2%, in the third quarter of 2026 from the third quarter of 2025 primarily due to an increase in personal loans partially offset by a decrease in credit cards. Revenue from our Consumer segment increased $9.1 million, or 5%, in the first nine months of 2026 from the first nine months of 2025 primarily due to increases in our small business loans and personal loans, partially offset by a decrease in credit cards.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periods, no products in our Consumer segment represented more than 10% of revenue; however, certain Consumer products experienced notable changes. Revenue from small business increased $9.6 million, or 16%, in the first nine months of 2026 compared to the first nine months of 2025 due to increases in revenue earned per consumer, partially offset by a decrease in volume.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increased $3.3 million, or 9%, in the third quarter of 2026 from the third quarter of 2025 and increased $8.9 million, or 8%, in the first nine months of 2026 from the first nine months of 2025 primarily due to increases in revenue from our home equity loans, partially offset by decreases in mortgage products. As more homeowners choose to stay in their homes and home equity levels remain near record highs, consumers are increasingly utilizing the value in their homes to fund renovations and other large ticket expenses, which we expect will continue in the current interest rate environment.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periods, no products in our Home segment represented more than 10% of revenue; however, certain Home products experienced notable changes. Revenue from home equity loans increased $5.7 million, or 20%, in the third quarter of 2026 compared to the third quarter of 2025 due to increases in revenue earned per consumer.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increased $0.7 million in the third quarter of 2026 from the third quarter of 2025 primarily due to an increase in compensation and benefits. Cost of revenue increased $3.7 million in the first nine months of 2026 from the first nine months of 2025 primarily due to an increase in compensation and benefits of $3.2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as a percentage of revenue decreased to 3% in the third quarter of 2026 compared to 4% in the third quarter of 2025. Cost of revenue as a percentage of revenue was 4% in first nine months of 2026 which is consistent with the first nine months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 increased $35.5 million in the third quarter of 2026 compared to the third quarter 2025, and increased $161.0 million in the first nine months of 2026 compared to the first nine months of 2025 primarily due to the changes in advertising and promotional expense discussed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1"/>
                <w:szCs w:val="11"/>
                <w:color w:val="auto"/>
              </w:rPr>
            </w:pPr>
          </w:p>
        </w:tc>
        <w:tc>
          <w:tcPr>
            <w:tcW w:w="1100" w:type="dxa"/>
            <w:vAlign w:val="bottom"/>
          </w:tcPr>
          <w:p>
            <w:pPr>
              <w:jc w:val="right"/>
              <w:ind w:right="65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1"/>
                <w:szCs w:val="11"/>
                <w:color w:val="auto"/>
              </w:rPr>
            </w:pPr>
          </w:p>
        </w:tc>
        <w:tc>
          <w:tcPr>
            <w:tcW w:w="1080" w:type="dxa"/>
            <w:vAlign w:val="bottom"/>
          </w:tcPr>
          <w:p>
            <w:pPr>
              <w:jc w:val="right"/>
              <w:ind w:right="63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4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247,515</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213,661</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33,854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699,270</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159,125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186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248,640</w:t>
            </w:r>
          </w:p>
        </w:tc>
        <w:tc>
          <w:tcPr>
            <w:tcW w:w="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214,568</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34,072</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702,443</w:t>
            </w:r>
          </w:p>
        </w:tc>
        <w:tc>
          <w:tcPr>
            <w:tcW w:w="2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543,037</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159,406</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adjusted our advertising expenditures in the third quarter and first nine months of 2026 compared to the third quarter and first nine months of 2025 in response to changes in Network Partner demand on our marketplace. We will continue to adjust selling and marketing expenditures dynamically in response to anticipated revenue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generally consistent in the third quarter of 2026 and the third quarter of 2025. General and administrative expense decreased $1.8 million in the first nine months of 2026 from the first nine months of 2025 primarily due to a decrease in compensation and benefits of $3.6 million, partially offset by an increase in professional fees of $1.3 million and technology costs of $0.8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8% in the third quarter of 2026 compared to 9% in the third quarter of 2025, and decreased to 8% in the first nine months of 2026 compared to 10% in the first nine months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expense decreased $1.1 million in the third quarter of 2026 compared to the third quarter of 2025 and decreased $2.9 million in the first nine months of 2026 from the first nine months of 2025. We continued to invest in internal development of new and enhanced features, functionality and business opportunities that we believe will enable us to better and more fully serve consumers and Network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the third quarter of 2026, we incurred goodwill impairment charges of $75.5 million in our Consumer reporting unit and $23.3 million in our Home reporting unit.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5—Goodwill and Intangible Assets for additional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the first quarter of 2025, we incurred $15.2 million of expenses for litigation contingencies due to the Mantha litigation.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11—Contingencies in the notes to the consolidated financial statements for additional information on litigation matters.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2026, we repurchased approximately $20.0 million in principal amount of our 2025 Term Loan (as defined herein) for $19.7 million, plus accrued and unpaid interest, and made a voluntary principal prepayment of $40.0 million on the 2025 Term Loan. As a result, we recognized a loss on the extinguishment of $0.7 million primarily due to the write-off of unamortized debt issuance costs and original issue discount costs, which is included in interest expense, net in the consolidated statement of operations and comprehensive income.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2025, we refinanced our September 15, 2021 credit agreement and our March 27, 2024 first lien term loan facility, which collectively had $402.8 million outstanding, with proceeds from the $400.0 million 2025 Term Loan and cash on hand at par plus accrued and unpaid interest. As a result of the refinancing, we recognized a loss on the extinguishment of $7.9 million due to the write-off of unamortized debt issuance costs and original issue discount costs which are included in interest expense, net in the consolidated statement of operations and comprehensive income.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in the first nine months of 2025, which is included in interest expense, net in the consolidated statement of operations and comprehensive income.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2026, the effective tax rate varied from the federal statutory rate of 21% primarily due to a non-cash discrete tax benefit resulting from the write-off of a deferred tax liability related to a goodwill impairment. This benefit is partially offset by state taxes and permanent non-deductible items. For the first nine months of 2026, these offsetting factors exceeded the discrete goodwill benefit.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Certain out-of-the-money stock options expired unexercised in October 2026, and as a result we are required to write-off the related deferred tax asset for share-based compensation, which will increase income tax expense by approximately $16.6 million in the fourth quarter of 2026, and increase the effective tax rate.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9—Income Taxes for further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third quarter and first nine months of 2025, the effective tax rate varied from the federal statutory rate of 21% primarily due the change in the valuation allowance, net of the current period change in tax effected net indefinite-lived intangibles and current tax expense on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4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1"/>
                <w:szCs w:val="11"/>
                <w:color w:val="auto"/>
              </w:rPr>
            </w:pPr>
          </w:p>
        </w:tc>
        <w:tc>
          <w:tcPr>
            <w:tcW w:w="8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1"/>
                <w:szCs w:val="11"/>
                <w:color w:val="auto"/>
              </w:rPr>
            </w:pPr>
          </w:p>
        </w:tc>
        <w:tc>
          <w:tcPr>
            <w:tcW w:w="1120" w:type="dxa"/>
            <w:vAlign w:val="bottom"/>
          </w:tcPr>
          <w:p>
            <w:pPr>
              <w:jc w:val="right"/>
              <w:ind w:right="65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1"/>
                <w:szCs w:val="11"/>
                <w:color w:val="auto"/>
              </w:rPr>
            </w:pPr>
          </w:p>
        </w:tc>
        <w:tc>
          <w:tcPr>
            <w:tcW w:w="9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1"/>
                <w:szCs w:val="11"/>
                <w:color w:val="auto"/>
              </w:rPr>
            </w:pPr>
          </w:p>
        </w:tc>
        <w:tc>
          <w:tcPr>
            <w:tcW w:w="1060" w:type="dxa"/>
            <w:vAlign w:val="bottom"/>
          </w:tcPr>
          <w:p>
            <w:pPr>
              <w:jc w:val="right"/>
              <w:ind w:right="59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124,428</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8,882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marketing</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2,726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90,787</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13,225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30%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31%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27%</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33%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9,071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marketing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6,658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90,315</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13,353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(5,628)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(4,282)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tcPr>
          <w:p>
            <w:pPr>
              <w:spacing w:after="0"/>
              <w:rPr>
                <w:sz w:val="19"/>
                <w:szCs w:val="19"/>
                <w:color w:val="auto"/>
              </w:rPr>
            </w:pPr>
          </w:p>
        </w:tc>
        <w:tc>
          <w:tcPr>
            <w:tcW w:w="820" w:type="dxa"/>
            <w:vAlign w:val="bottom"/>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44%</w:t>
            </w:r>
          </w:p>
        </w:tc>
        <w:tc>
          <w:tcPr>
            <w:tcW w:w="240" w:type="dxa"/>
            <w:vAlign w:val="bottom"/>
          </w:tcPr>
          <w:p>
            <w:pPr>
              <w:spacing w:after="0"/>
              <w:rPr>
                <w:sz w:val="19"/>
                <w:szCs w:val="19"/>
                <w:color w:val="auto"/>
              </w:rPr>
            </w:pPr>
          </w:p>
        </w:tc>
        <w:tc>
          <w:tcPr>
            <w:tcW w:w="820" w:type="dxa"/>
            <w:vAlign w:val="bottom"/>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53%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47%</w:t>
            </w:r>
          </w:p>
        </w:tc>
        <w:tc>
          <w:tcPr>
            <w:tcW w:w="260" w:type="dxa"/>
            <w:vAlign w:val="bottom"/>
          </w:tcPr>
          <w:p>
            <w:pPr>
              <w:spacing w:after="0"/>
              <w:rPr>
                <w:sz w:val="19"/>
                <w:szCs w:val="19"/>
                <w:color w:val="auto"/>
              </w:rPr>
            </w:pPr>
          </w:p>
        </w:tc>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51%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203,512</w:t>
            </w:r>
          </w:p>
        </w:tc>
        <w:tc>
          <w:tcPr>
            <w:tcW w:w="20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31,419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666,053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497,321</w:t>
            </w:r>
          </w:p>
        </w:tc>
        <w:tc>
          <w:tcPr>
            <w:tcW w:w="2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168,732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marketing</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180,709</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155,864</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24,845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503,902</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370,967</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132,935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47,648</w:t>
            </w:r>
          </w:p>
        </w:tc>
        <w:tc>
          <w:tcPr>
            <w:tcW w:w="200" w:type="dxa"/>
            <w:vAlign w:val="bottom"/>
          </w:tcPr>
          <w:p>
            <w:pPr>
              <w:spacing w:after="0"/>
              <w:rPr>
                <w:sz w:val="19"/>
                <w:szCs w:val="19"/>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6,574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126,354</w:t>
            </w:r>
          </w:p>
        </w:tc>
        <w:tc>
          <w:tcPr>
            <w:tcW w:w="2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35,797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23%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23%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marketing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307,792</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35,796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984,277</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797,636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186,641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marketing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expense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247,448</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213,229</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34,219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698,557</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538,982</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159,575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1,577</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285,720</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258,654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27,066</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27"/>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40" w:type="dxa"/>
            <w:vAlign w:val="bottom"/>
          </w:tcPr>
          <w:p>
            <w:pPr>
              <w:spacing w:after="0"/>
              <w:rPr>
                <w:sz w:val="19"/>
                <w:szCs w:val="19"/>
                <w:color w:val="auto"/>
              </w:rPr>
            </w:pPr>
          </w:p>
        </w:tc>
        <w:tc>
          <w:tcPr>
            <w:tcW w:w="820" w:type="dxa"/>
            <w:vAlign w:val="bottom"/>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28%</w:t>
            </w:r>
          </w:p>
        </w:tc>
        <w:tc>
          <w:tcPr>
            <w:tcW w:w="240" w:type="dxa"/>
            <w:vAlign w:val="bottom"/>
          </w:tcPr>
          <w:p>
            <w:pPr>
              <w:spacing w:after="0"/>
              <w:rPr>
                <w:sz w:val="19"/>
                <w:szCs w:val="19"/>
                <w:color w:val="auto"/>
              </w:rPr>
            </w:pPr>
          </w:p>
        </w:tc>
        <w:tc>
          <w:tcPr>
            <w:tcW w:w="820" w:type="dxa"/>
            <w:vAlign w:val="bottom"/>
          </w:tcPr>
          <w:p>
            <w:pPr>
              <w:jc w:val="center"/>
              <w:ind w:right="151"/>
              <w:spacing w:after="0"/>
              <w:rPr>
                <w:sz w:val="20"/>
                <w:szCs w:val="20"/>
                <w:color w:val="auto"/>
              </w:rPr>
            </w:pPr>
            <w:r>
              <w:rPr>
                <w:rFonts w:ascii="Times New Roman" w:cs="Times New Roman" w:eastAsia="Times New Roman" w:hAnsi="Times New Roman"/>
                <w:sz w:val="18"/>
                <w:szCs w:val="18"/>
                <w:i w:val="1"/>
                <w:iCs w:val="1"/>
                <w:color w:val="auto"/>
              </w:rPr>
              <w:t>31%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29%</w:t>
            </w:r>
          </w:p>
        </w:tc>
        <w:tc>
          <w:tcPr>
            <w:tcW w:w="260" w:type="dxa"/>
            <w:vAlign w:val="bottom"/>
          </w:tcPr>
          <w:p>
            <w:pPr>
              <w:spacing w:after="0"/>
              <w:rPr>
                <w:sz w:val="19"/>
                <w:szCs w:val="19"/>
                <w:color w:val="auto"/>
              </w:rPr>
            </w:pPr>
          </w:p>
        </w:tc>
        <w:tc>
          <w:tcPr>
            <w:tcW w:w="92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rPr>
              <w:t>32%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both"/>
        <w:ind w:left="240" w:right="20"/>
        <w:spacing w:after="0" w:line="203"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 Segment Information in the notes to the consolidated financial statements for additional information on segments and a reconciliation of segment profit to pre-tax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Home segment revenue increased 9% to $41.5 million in the third quarter of 2026 from the third quarter of 2025 and segment profit increased 5% to $12.4 million in the third quarter of 2026 from the third quarter of 2025. Segment margin decreased slightly to 30% in the third quarter of 2026 compared to 31% in the third quarter of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we participate and continues to see headwinds from a lack of in-the-money refinance borrowers given the current higher level of mortgage rates, and subdued home sales have pressured the volume of consumers searching for purchase loans. Existing home sales have been around the four million annual level in the United States, which has been steady for the last three years and is similar to the level of transactions recorded during the financial crisis in 2008 and 2009. We expect this environment to continue in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Consumer segment revenue increased 2% to $67.2 million in the third quarter of 2026 from the third quarter of 2025, and segment profit decreased 16% to $29.6 million in the third quarter of 2026 from the third quarter of 2025. Segment margin decreased to 44% in the third quarter of 2026 compared to 53% in the third quarter of 2025 primarily due to lower close rates and an increase in marketing costs in our small business product. After the initial reactions to the Middle East hostilities and spiking oil prices, demand from small business owners improved in the third quarter of 2026 compared to the second quarter of 2026 and lender approval rates have stabilized.</w:t>
      </w:r>
    </w:p>
    <w:p>
      <w:pPr>
        <w:spacing w:after="0" w:line="127" w:lineRule="exact"/>
        <w:rPr>
          <w:sz w:val="20"/>
          <w:szCs w:val="20"/>
          <w:color w:val="auto"/>
        </w:rPr>
      </w:pPr>
    </w:p>
    <w:p>
      <w:pPr>
        <w:ind w:right="2100"/>
        <w:spacing w:after="0" w:line="408"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declines in product revenues within the Consumer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Insurance</w:t>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Insurance revenue increased 15% to $234.9 million in the third quarter of 2026 from the third quarter of 2025 and segment profit increased 14% to $54.2 million in the third quarter of 2026 from the third quarter of 2025. Segment margin was consistent at 23% in the third quarter of 2026 compared to the third quarter of 2025.</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Insurance carriers continue to broadly generate strong underwriting results. Auto rate decreases in numerous states has led to increased competition for market share. The increased demand has created a competitive market to acquire customers seeking an auto policy, which has led to strong growth in both revenue as well as associated media costs. We expect advertising costs to remain elevated for the remainder of 2026. Our strategy is to capture the maximum level of carrier advertising budgets when we have an opportunity to drive incremental segment profit and take share from competitors. These incremental dollars have pressured overall segment margin while simultaneously contributing to robust segment profit.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343,588</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307,792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984,277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797,636</w:t>
            </w:r>
          </w:p>
        </w:tc>
      </w:tr>
      <w:tr>
        <w:trPr>
          <w:trHeight w:val="22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248,640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214,568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702,443</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543,037</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94,948</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93,224</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281,834</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254,599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260,508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225,051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735,529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574,555</w:t>
            </w:r>
          </w:p>
        </w:tc>
      </w:tr>
      <w:tr>
        <w:trPr>
          <w:trHeight w:val="229"/>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(33,086)</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(31,518)</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248,640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214,568</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702,443</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543,037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income, the most directly comparable GAAP measure, to variable marketing margin: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(72,364)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(45,524)</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6,652</w:t>
            </w:r>
          </w:p>
        </w:tc>
      </w:tr>
      <w:tr>
        <w:trPr>
          <w:trHeight w:val="257"/>
        </w:trPr>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11,670</w:t>
            </w:r>
          </w:p>
        </w:tc>
        <w:tc>
          <w:tcPr>
            <w:tcW w:w="5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34,635</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30,954</w:t>
            </w:r>
          </w:p>
        </w:tc>
      </w:tr>
      <w:tr>
        <w:trPr>
          <w:trHeight w:val="230"/>
        </w:trPr>
        <w:tc>
          <w:tcPr>
            <w:tcW w:w="6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11,868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33,086</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31,518</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26,437</w:t>
            </w:r>
          </w:p>
        </w:tc>
        <w:tc>
          <w:tcPr>
            <w:tcW w:w="5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80,137</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81,923</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10,243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31,742</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34,674</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4,147</w:t>
            </w:r>
          </w:p>
        </w:tc>
        <w:tc>
          <w:tcPr>
            <w:tcW w:w="5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12,609</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12,533</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3,834</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3,902</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98,823</w:t>
            </w:r>
          </w:p>
        </w:tc>
        <w:tc>
          <w:tcPr>
            <w:tcW w:w="5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98,823</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519</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3,297</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260</w:t>
            </w:r>
          </w:p>
        </w:tc>
        <w:tc>
          <w:tcPr>
            <w:tcW w:w="5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1,036</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9,129</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26,178</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37,393</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(1,009)</w:t>
            </w:r>
          </w:p>
        </w:tc>
        <w:tc>
          <w:tcPr>
            <w:tcW w:w="5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(2,210)</w:t>
            </w:r>
          </w:p>
        </w:tc>
        <w:tc>
          <w:tcPr>
            <w:tcW w:w="5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(2,368)</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(6,033)</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4,191</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94,948</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93,224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281,834</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254,599</w:t>
            </w:r>
          </w:p>
        </w:tc>
      </w:tr>
    </w:tbl>
    <w:p>
      <w:pPr>
        <w:spacing w:after="0" w:line="265" w:lineRule="exact"/>
        <w:rPr>
          <w:sz w:val="20"/>
          <w:szCs w:val="20"/>
          <w:color w:val="auto"/>
        </w:rPr>
      </w:pPr>
    </w:p>
    <w:p>
      <w:pPr>
        <w:ind w:left="400" w:right="100" w:hanging="251"/>
        <w:spacing w:after="0" w:line="237"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w:t>
      </w:r>
    </w:p>
    <w:p>
      <w:pPr>
        <w:spacing w:after="0" w:line="27" w:lineRule="exact"/>
        <w:rPr>
          <w:sz w:val="20"/>
          <w:szCs w:val="20"/>
          <w:color w:val="auto"/>
        </w:rPr>
      </w:pPr>
    </w:p>
    <w:p>
      <w:pPr>
        <w:jc w:val="both"/>
        <w:ind w:firstLine="8"/>
        <w:spacing w:after="0" w:line="25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(loss) income, the most directly comparable GAAP measure, to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5"/>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(72,364)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(45,524)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6,652</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1,258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3,834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3,902</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4,147</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12,609</w:t>
            </w:r>
          </w:p>
        </w:tc>
        <w:tc>
          <w:tcPr>
            <w:tcW w:w="48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12,533</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519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3,297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98,823</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98,823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4,896</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14,160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to LendingTree Foundation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1,036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15,279</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9,129</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26,178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37,393</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30"/>
        </w:trPr>
        <w:tc>
          <w:tcPr>
            <w:tcW w:w="6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4,191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39,630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39,795</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116,801</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96,214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had $82.7 million of cash and cash equivalents, compared to $81.1 million of cash and cash equivalents as of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cash and cash equivalents, cash flows from operations to be sufficient to fund our operating needs for the next twelve months and beyond.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monitor the impact of the current economic conditions, including interest rates and inflation on our liquidity and capital resources.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2026, we repurchased $20.0 million in outstanding principal of the 2025 Term Loan and made a voluntary principal prepayment of $40.0 million on the 2025 Term Loan.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in the note to the consolidated financial statements included elsewhere in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we entered into an Equity Distribution Agreement in connection with the establishment of an ATM Equity Program under which we may sell up to an aggregate of $50.0 million of shares of our common stock. No sales have been made under the Equity Distribution Agreement since its inception.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2025, we entered into a credit agreement (the "2025 Credit Agreement"), consisting of a $75.0 million revolving credit facility (the "2025 Revolving Facility") and a $400.0 million term loan facility (the "2025 Term Loan" and together with the 2025 Revolving Facility, the "2025 Credit Facility"), which matures on August 21, 2030. Proceeds from the 2025 Term Loan were used to refinance two previously outstanding term loans and for working capital and general corporate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6, 2026, we had $336.0 million borrowings outstanding under the 2025 Term Loan and we have $75.0 million available for borrowing under the 2025 Revolving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10—Debt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13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76,448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(65,987)</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in the first nine months of 2026 from the first nine months of 2025 primarily due to increases in revenue, partially offset by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nine months of 2026 and 2025 of $8.8 million and $6.9 million, respectively, consisted of capital expenditures primarily related to internally developed software, partially offset by proceeds from the sale of fixed assets in the first nine months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the first nine months of 2026 of $66.0 million consisted primarily of $62.7 million of payments on the 2025 Term Loan and $3.3 million in withholding taxes paid upon surrender of shares to satisfy obligations on equity awards, net of proceeds from the exercise of stock options.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the first nine months of 2025 of $87.7 million consisted primarily of the repurchase of the 2025 Notes for $115.0 million, term loan repayments of $409.4 million, and $2.8 million in withholding taxes paid upon surrender of shares to satisfy obligations on equity awards, net of proceeds from the exercise of stock options, partially offset by net proceeds from term loans of $439.5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Critical Accounting Estimates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and critical accounting estimates,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as a result of changes to interest rates.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our 2025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equivalents securities, or our earnings on such cash equivalents, but would have a $3.4 million annual effect on the interest paid on borrowings under the 2025 Credit Facility. As of November 6, 2026, the Company had $336.0 million outstanding on its 2025 Term Loan, and there were no outstanding borrowings under its 2025 Revolving Facility.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September 30, 2026,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2026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data privacy and security, and a variety of other claims. The amounts that may be incurred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2025 Annual Report and updated that information in Note 11— Contingencies to the consolidated financial statements included elsewhere in this Quarterly Report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2025 Annual Report. There have been no material changes to the risk factors included in our 2025 Annual Report.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in our 2025 Annual Report, which could materially affect our business, financial condition or future results. The risks described in our 2025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Furthermore, our 2025 Credit Facility limits stock repurchases. During the quarter ended September 30, 2026, no shares of common stock were repurchased under the stock repurchase program. As of November 6, 2026, approximately $96.7 million remains authorized for share repurchase.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2026, 3,972 shares were withheld related to these obligations under the LendingTree 2023 Stock Plan. The withholding of those shares does not affect the dollar amount or number of shares that may be purchased under the stock repurchase program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September 30,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7"/>
        </w:trPr>
        <w:tc>
          <w:tcPr>
            <w:tcW w:w="3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7/1/2026 - 7/31/2026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8/1/2026 - 8/31/2026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9/1/2026 - 9/30/2026</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36.72</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96,655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July 2026, August 2026 and September 2026, 2,345 shares, 36 shares and 1,591 shares, respectively (totaling 3,972 shares), were purchased to satisfy federal and state withholding obligations of our employees upon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settlement of restricted stock units and the exercise of stock options, all in accordance with our 2023 Stock Plan, as described above.</w:t>
      </w:r>
    </w:p>
    <w:p>
      <w:pPr>
        <w:spacing w:after="0" w:line="171" w:lineRule="exact"/>
        <w:rPr>
          <w:sz w:val="20"/>
          <w:szCs w:val="20"/>
          <w:color w:val="auto"/>
        </w:rPr>
      </w:pPr>
    </w:p>
    <w:p>
      <w:pPr>
        <w:ind w:right="1960" w:firstLine="324"/>
        <w:spacing w:after="0" w:line="500" w:lineRule="auto"/>
        <w:rPr>
          <w:sz w:val="20"/>
          <w:szCs w:val="20"/>
          <w:color w:val="auto"/>
        </w:rPr>
      </w:pPr>
      <w:r>
        <w:rPr>
          <w:rFonts w:ascii="Times New Roman" w:cs="Times New Roman" w:eastAsia="Times New Roman" w:hAnsi="Times New Roman"/>
          <w:sz w:val="18"/>
          <w:szCs w:val="18"/>
          <w:color w:val="auto"/>
        </w:rPr>
        <w:t xml:space="preserve">(2) See the narrative disclosure above the table for further description of our publicly announced stock repurchase program. </w:t>
      </w: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September 30, 2026, the Company did not adopt or terminate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6"/>
                <w:szCs w:val="16"/>
                <w:color w:val="auto"/>
              </w:rPr>
            </w:pPr>
          </w:p>
        </w:tc>
        <w:tc>
          <w:tcPr>
            <w:tcW w:w="6540" w:type="dxa"/>
            <w:vAlign w:val="bottom"/>
            <w:gridSpan w:val="8"/>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4"/>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1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6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August 25,</w:t>
            </w:r>
          </w:p>
        </w:tc>
      </w:tr>
      <w:tr>
        <w:trPr>
          <w:trHeight w:val="243"/>
        </w:trPr>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140" w:type="dxa"/>
            <w:vAlign w:val="bottom"/>
            <w:gridSpan w:val="9"/>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Sixth Amended and Restated By-laws of LendingTree, Inc.</w:t>
              </w:r>
            </w:hyperlink>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October 30,</w:t>
            </w:r>
          </w:p>
        </w:tc>
      </w:tr>
      <w:tr>
        <w:trPr>
          <w:trHeight w:val="239"/>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r>
      <w:tr>
        <w:trPr>
          <w:trHeight w:val="193"/>
        </w:trPr>
        <w:tc>
          <w:tcPr>
            <w:tcW w:w="1160" w:type="dxa"/>
            <w:vAlign w:val="bottom"/>
            <w:shd w:val="clear" w:color="auto" w:fill="CCEEFF"/>
          </w:tcPr>
          <w:p>
            <w:pPr>
              <w:jc w:val="right"/>
              <w:ind w:right="111"/>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714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 or Rule 15d-14(a) of the</w:t>
            </w:r>
          </w:p>
        </w:tc>
        <w:tc>
          <w:tcPr>
            <w:tcW w:w="294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6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16"/>
                <w:szCs w:val="16"/>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140" w:type="dxa"/>
            <w:vAlign w:val="bottom"/>
            <w:tcBorders>
              <w:bottom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13a-14(a) or Rule 15d-14(a) of the</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Pr>
          <w:p>
            <w:pPr>
              <w:spacing w:after="0"/>
              <w:rPr>
                <w:sz w:val="13"/>
                <w:szCs w:val="13"/>
                <w:color w:val="auto"/>
              </w:rPr>
            </w:pPr>
          </w:p>
        </w:tc>
        <w:tc>
          <w:tcPr>
            <w:tcW w:w="7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6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1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w:t>
            </w:r>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6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1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6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XBRL Instance Document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instance document does not appear in the Interactive Data File</w:t>
            </w:r>
          </w:p>
        </w:tc>
        <w:tc>
          <w:tcPr>
            <w:tcW w:w="29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101.SCH</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101.CAL</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60" w:hanging="414"/>
        <w:spacing w:after="0" w:line="21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8" w:lineRule="exact"/>
        <w:rPr>
          <w:sz w:val="20"/>
          <w:szCs w:val="20"/>
          <w:color w:val="auto"/>
        </w:rPr>
      </w:pPr>
    </w:p>
    <w:p>
      <w:pPr>
        <w:jc w:val="both"/>
        <w:ind w:firstLine="8"/>
        <w:spacing w:after="0" w:line="266" w:lineRule="auto"/>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3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73" w:lineRule="exact"/>
        <w:rPr>
          <w:sz w:val="20"/>
          <w:szCs w:val="20"/>
          <w:color w:val="auto"/>
        </w:rPr>
      </w:pPr>
    </w:p>
    <w:p>
      <w:pPr>
        <w:ind w:left="46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19685</wp:posOffset>
            </wp:positionV>
            <wp:extent cx="37630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1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Scott Peyree</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1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pursuant to 18 U.S.C. Section 1350, as adopted pursuant to Section 906 of the Sarbanes-Oxley Act of 2002, that to my knowledge:</w:t>
      </w:r>
    </w:p>
    <w:p>
      <w:pPr>
        <w:spacing w:after="0" w:line="104" w:lineRule="exact"/>
        <w:rPr>
          <w:sz w:val="20"/>
          <w:szCs w:val="20"/>
          <w:color w:val="auto"/>
        </w:rPr>
      </w:pPr>
    </w:p>
    <w:p>
      <w:pPr>
        <w:ind w:left="340" w:right="260" w:hanging="332"/>
        <w:spacing w:after="0" w:line="312" w:lineRule="auto"/>
        <w:tabs>
          <w:tab w:leader="none" w:pos="3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September 30, 2026 of LendingTree, Inc. (the “Report”) which this statement accompanies fully complies with the requirements of Section 13(a) or 15(d) of the Securities Exchange Act of 1934 (15 U.S.C. 78m or 78o(d)); and</w:t>
      </w:r>
    </w:p>
    <w:p>
      <w:pPr>
        <w:spacing w:after="0" w:line="18" w:lineRule="exact"/>
        <w:rPr>
          <w:rFonts w:ascii="Times New Roman" w:cs="Times New Roman" w:eastAsia="Times New Roman" w:hAnsi="Times New Roman"/>
          <w:sz w:val="17"/>
          <w:szCs w:val="17"/>
          <w:color w:val="auto"/>
        </w:rPr>
      </w:pPr>
    </w:p>
    <w:p>
      <w:pPr>
        <w:ind w:right="240" w:firstLine="8"/>
        <w:spacing w:after="0" w:line="373"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November 6, 2026</w:t>
      </w:r>
    </w:p>
    <w:p>
      <w:pPr>
        <w:spacing w:after="0" w:line="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19685</wp:posOffset>
            </wp:positionV>
            <wp:extent cx="3865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Scott Peyree</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pursuant to 18 U.S.C. Section 1350, as adopted pursuant to Section 906 of the Sarbanes-Oxley Act of 2002, that to my knowledge:</w:t>
      </w:r>
    </w:p>
    <w:p>
      <w:pPr>
        <w:spacing w:after="0" w:line="104" w:lineRule="exact"/>
        <w:rPr>
          <w:sz w:val="20"/>
          <w:szCs w:val="20"/>
          <w:color w:val="auto"/>
        </w:rPr>
      </w:pPr>
    </w:p>
    <w:p>
      <w:pPr>
        <w:ind w:left="340" w:right="260" w:hanging="332"/>
        <w:spacing w:after="0" w:line="312" w:lineRule="auto"/>
        <w:tabs>
          <w:tab w:leader="none" w:pos="3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September 30, 2026 of LendingTree, Inc. (the “Report”) which this statement accompanies fully complies with the requirements of Section 13(a) or 15(d) of the Securities Exchange Act of 1934 (15 U.S.C. 78m or 78o(d)); and</w:t>
      </w:r>
    </w:p>
    <w:p>
      <w:pPr>
        <w:spacing w:after="0" w:line="18" w:lineRule="exact"/>
        <w:rPr>
          <w:rFonts w:ascii="Times New Roman" w:cs="Times New Roman" w:eastAsia="Times New Roman" w:hAnsi="Times New Roman"/>
          <w:sz w:val="17"/>
          <w:szCs w:val="17"/>
          <w:color w:val="auto"/>
        </w:rPr>
      </w:pPr>
    </w:p>
    <w:p>
      <w:pPr>
        <w:ind w:right="240" w:firstLine="8"/>
        <w:spacing w:after="0" w:line="373" w:lineRule="auto"/>
        <w:tabs>
          <w:tab w:leader="none" w:pos="3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November 6, 2026</w:t>
      </w:r>
    </w:p>
    <w:p>
      <w:pPr>
        <w:spacing w:after="0" w:line="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4" Type="http://schemas.openxmlformats.org/officeDocument/2006/relationships/hyperlink" Target="https://www.sec.gov/Archives/edgar/data/1434621/000110465908054882/a08-22125_1ex3d1.htm" TargetMode="External"/><Relationship Id="rId55" Type="http://schemas.openxmlformats.org/officeDocument/2006/relationships/hyperlink" Target="https://www.sec.gov/Archives/edgar/data/1434621/000168316826008194/lending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2026-11-06T15:30:04Z</dcterms:created>
  <dcterms:modified xsi:type="dcterms:W3CDTF">2026-11-06T15:30:04Z</dcterms:modified>
</cp:coreProperties>
</file>