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920" w:right="320" w:hanging="635"/>
        <w:spacing w:after="0" w:line="256"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920" w:right="300" w:hanging="595"/>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80" w:type="dxa"/>
        <w:tblCellMar>
          <w:top w:w="0" w:type="dxa"/>
          <w:left w:w="0" w:type="dxa"/>
          <w:bottom w:w="0" w:type="dxa"/>
          <w:right w:w="0" w:type="dxa"/>
        </w:tblCellMar>
      </w:tblPr>
      <w:tr>
        <w:trPr>
          <w:trHeight w:val="222"/>
        </w:trPr>
        <w:tc>
          <w:tcPr>
            <w:tcW w:w="2840" w:type="dxa"/>
            <w:vAlign w:val="bottom"/>
          </w:tcPr>
          <w:p>
            <w:pPr>
              <w:jc w:val="center"/>
              <w:ind w:right="652"/>
              <w:spacing w:after="0"/>
              <w:rPr>
                <w:sz w:val="20"/>
                <w:szCs w:val="20"/>
                <w:color w:val="auto"/>
              </w:rPr>
            </w:pPr>
            <w:r>
              <w:rPr>
                <w:rFonts w:ascii="Arial" w:cs="Arial" w:eastAsia="Arial" w:hAnsi="Arial"/>
                <w:sz w:val="18"/>
                <w:szCs w:val="18"/>
                <w:b w:val="1"/>
                <w:bCs w:val="1"/>
                <w:color w:val="auto"/>
                <w:w w:val="88"/>
              </w:rPr>
              <w:t>Delaware</w:t>
            </w:r>
          </w:p>
        </w:tc>
        <w:tc>
          <w:tcPr>
            <w:tcW w:w="2040" w:type="dxa"/>
            <w:vAlign w:val="bottom"/>
          </w:tcPr>
          <w:p>
            <w:pPr>
              <w:jc w:val="center"/>
              <w:ind w:left="632"/>
              <w:spacing w:after="0"/>
              <w:rPr>
                <w:sz w:val="20"/>
                <w:szCs w:val="20"/>
                <w:color w:val="auto"/>
              </w:rPr>
            </w:pPr>
            <w:r>
              <w:rPr>
                <w:rFonts w:ascii="Arial" w:cs="Arial" w:eastAsia="Arial" w:hAnsi="Arial"/>
                <w:sz w:val="18"/>
                <w:szCs w:val="18"/>
                <w:b w:val="1"/>
                <w:bCs w:val="1"/>
                <w:color w:val="auto"/>
                <w:w w:val="87"/>
              </w:rPr>
              <w:t>26-2414818</w:t>
            </w:r>
          </w:p>
        </w:tc>
      </w:tr>
      <w:tr>
        <w:trPr>
          <w:trHeight w:val="216"/>
        </w:trPr>
        <w:tc>
          <w:tcPr>
            <w:tcW w:w="2840" w:type="dxa"/>
            <w:vAlign w:val="bottom"/>
          </w:tcPr>
          <w:p>
            <w:pPr>
              <w:jc w:val="center"/>
              <w:ind w:right="672"/>
              <w:spacing w:after="0"/>
              <w:rPr>
                <w:sz w:val="20"/>
                <w:szCs w:val="20"/>
                <w:color w:val="auto"/>
              </w:rPr>
            </w:pPr>
            <w:r>
              <w:rPr>
                <w:rFonts w:ascii="Arial" w:cs="Arial" w:eastAsia="Arial" w:hAnsi="Arial"/>
                <w:sz w:val="18"/>
                <w:szCs w:val="18"/>
                <w:color w:val="auto"/>
                <w:w w:val="90"/>
              </w:rPr>
              <w:t>(State or other jurisdiction of</w:t>
            </w:r>
          </w:p>
        </w:tc>
        <w:tc>
          <w:tcPr>
            <w:tcW w:w="2040" w:type="dxa"/>
            <w:vAlign w:val="bottom"/>
          </w:tcPr>
          <w:p>
            <w:pPr>
              <w:jc w:val="center"/>
              <w:ind w:left="632"/>
              <w:spacing w:after="0"/>
              <w:rPr>
                <w:sz w:val="20"/>
                <w:szCs w:val="20"/>
                <w:color w:val="auto"/>
              </w:rPr>
            </w:pPr>
            <w:r>
              <w:rPr>
                <w:rFonts w:ascii="Arial" w:cs="Arial" w:eastAsia="Arial" w:hAnsi="Arial"/>
                <w:sz w:val="18"/>
                <w:szCs w:val="18"/>
                <w:color w:val="auto"/>
                <w:w w:val="90"/>
              </w:rPr>
              <w:t>(I.R.S. Employer</w:t>
            </w:r>
          </w:p>
        </w:tc>
      </w:tr>
      <w:tr>
        <w:trPr>
          <w:trHeight w:val="222"/>
        </w:trPr>
        <w:tc>
          <w:tcPr>
            <w:tcW w:w="2840" w:type="dxa"/>
            <w:vAlign w:val="bottom"/>
          </w:tcPr>
          <w:p>
            <w:pPr>
              <w:jc w:val="center"/>
              <w:ind w:right="652"/>
              <w:spacing w:after="0"/>
              <w:rPr>
                <w:sz w:val="20"/>
                <w:szCs w:val="20"/>
                <w:color w:val="auto"/>
              </w:rPr>
            </w:pPr>
            <w:r>
              <w:rPr>
                <w:rFonts w:ascii="Arial" w:cs="Arial" w:eastAsia="Arial" w:hAnsi="Arial"/>
                <w:sz w:val="18"/>
                <w:szCs w:val="18"/>
                <w:color w:val="auto"/>
                <w:w w:val="89"/>
              </w:rPr>
              <w:t>incorporation or organization)</w:t>
            </w:r>
          </w:p>
        </w:tc>
        <w:tc>
          <w:tcPr>
            <w:tcW w:w="2040" w:type="dxa"/>
            <w:vAlign w:val="bottom"/>
          </w:tcPr>
          <w:p>
            <w:pPr>
              <w:jc w:val="center"/>
              <w:ind w:left="632"/>
              <w:spacing w:after="0"/>
              <w:rPr>
                <w:sz w:val="20"/>
                <w:szCs w:val="20"/>
                <w:color w:val="auto"/>
              </w:rPr>
            </w:pPr>
            <w:r>
              <w:rPr>
                <w:rFonts w:ascii="Arial" w:cs="Arial" w:eastAsia="Arial" w:hAnsi="Arial"/>
                <w:sz w:val="18"/>
                <w:szCs w:val="18"/>
                <w:color w:val="auto"/>
                <w:w w:val="94"/>
              </w:rPr>
              <w:t>Identification No.)</w:t>
            </w:r>
          </w:p>
        </w:tc>
      </w:tr>
    </w:tbl>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than the Registrant was required to submit and post such files). Yes o No o</w:t>
      </w:r>
    </w:p>
    <w:p>
      <w:pPr>
        <w:spacing w:after="0" w:line="194" w:lineRule="exact"/>
        <w:rPr>
          <w:sz w:val="24"/>
          <w:szCs w:val="24"/>
          <w:color w:val="auto"/>
        </w:rPr>
      </w:pPr>
    </w:p>
    <w:p>
      <w:pPr>
        <w:ind w:right="2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107" w:lineRule="exact"/>
        <w:rPr>
          <w:sz w:val="24"/>
          <w:szCs w:val="24"/>
          <w:color w:val="auto"/>
        </w:rPr>
      </w:pPr>
    </w:p>
    <w:p>
      <w:pPr>
        <w:jc w:val="center"/>
        <w:ind w:right="-39"/>
        <w:spacing w:after="0" w:line="207" w:lineRule="exact"/>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Large accelerated filer o</w:t>
        <w:tab/>
        <w:t>Accelerated filer o</w:t>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Smaller reporting company o</w:t>
      </w:r>
    </w:p>
    <w:p>
      <w:pPr>
        <w:spacing w:after="0" w:line="39" w:lineRule="exact"/>
        <w:rPr>
          <w:sz w:val="24"/>
          <w:szCs w:val="24"/>
          <w:color w:val="auto"/>
        </w:rPr>
      </w:pPr>
    </w:p>
    <w:p>
      <w:pPr>
        <w:jc w:val="center"/>
        <w:ind w:left="1140"/>
        <w:spacing w:after="0"/>
        <w:rPr>
          <w:sz w:val="20"/>
          <w:szCs w:val="20"/>
          <w:color w:val="auto"/>
        </w:rPr>
      </w:pPr>
      <w:r>
        <w:rPr>
          <w:rFonts w:ascii="Arial" w:cs="Arial" w:eastAsia="Arial" w:hAnsi="Arial"/>
          <w:sz w:val="14"/>
          <w:szCs w:val="14"/>
          <w:color w:val="auto"/>
        </w:rPr>
        <w:t>(Do not check if a smaller</w:t>
      </w:r>
    </w:p>
    <w:p>
      <w:pPr>
        <w:jc w:val="center"/>
        <w:ind w:left="1140"/>
        <w:spacing w:after="0"/>
        <w:rPr>
          <w:sz w:val="20"/>
          <w:szCs w:val="20"/>
          <w:color w:val="auto"/>
        </w:rPr>
      </w:pPr>
      <w:r>
        <w:rPr>
          <w:rFonts w:ascii="Arial" w:cs="Arial" w:eastAsia="Arial" w:hAnsi="Arial"/>
          <w:sz w:val="14"/>
          <w:szCs w:val="14"/>
          <w:color w:val="auto"/>
        </w:rPr>
        <w:t>reporting company)</w:t>
      </w:r>
    </w:p>
    <w:p>
      <w:pPr>
        <w:spacing w:after="0" w:line="162" w:lineRule="exact"/>
        <w:rPr>
          <w:sz w:val="24"/>
          <w:szCs w:val="24"/>
          <w:color w:val="auto"/>
        </w:rPr>
      </w:pPr>
    </w:p>
    <w:p>
      <w:pPr>
        <w:ind w:left="36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5, 2009 there were 10,796,426 shares of the Registrant's common stock, par value $.01 per share, outstanding.</w:t>
      </w:r>
    </w:p>
    <w:p>
      <w:pPr>
        <w:spacing w:after="0" w:line="20" w:lineRule="exact"/>
        <w:rPr>
          <w:sz w:val="24"/>
          <w:szCs w:val="24"/>
          <w:color w:val="auto"/>
        </w:rPr>
      </w:pPr>
    </w:p>
    <w:p>
      <w:pPr>
        <w:sectPr>
          <w:pgSz w:w="11900" w:h="16838" w:orient="portrait"/>
          <w:cols w:equalWidth="0" w:num="1">
            <w:col w:w="11380"/>
          </w:cols>
          <w:pgMar w:left="240" w:top="685" w:right="2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7"/>
            <w:vMerge w:val="restart"/>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I—FINANCIAL INFORMATION</w:t>
              </w:r>
            </w:hyperlink>
          </w:p>
        </w:tc>
        <w:tc>
          <w:tcPr>
            <w:tcW w:w="3520" w:type="dxa"/>
            <w:vAlign w:val="bottom"/>
            <w:gridSpan w:val="3"/>
            <w:vMerge w:val="restart"/>
          </w:tcPr>
          <w:p>
            <w:pPr>
              <w:spacing w:after="0"/>
              <w:rPr>
                <w:sz w:val="14"/>
                <w:szCs w:val="14"/>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820" w:type="dxa"/>
            <w:vAlign w:val="bottom"/>
            <w:gridSpan w:val="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3080" w:type="dxa"/>
            <w:vAlign w:val="bottom"/>
            <w:tcBorders>
              <w:bottom w:val="single" w:sz="8" w:color="0000EE"/>
            </w:tcBorders>
            <w:gridSpan w:val="7"/>
            <w:vMerge w:val="continue"/>
          </w:tcPr>
          <w:p>
            <w:pPr>
              <w:spacing w:after="0"/>
              <w:rPr>
                <w:sz w:val="14"/>
                <w:szCs w:val="14"/>
                <w:color w:val="auto"/>
              </w:rPr>
            </w:pPr>
          </w:p>
        </w:tc>
        <w:tc>
          <w:tcPr>
            <w:tcW w:w="35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20" w:type="dxa"/>
            <w:vAlign w:val="bottom"/>
            <w:gridSpan w:val="4"/>
            <w:vMerge w:val="continue"/>
          </w:tcPr>
          <w:p>
            <w:pPr>
              <w:spacing w:after="0"/>
              <w:rPr>
                <w:sz w:val="24"/>
                <w:szCs w:val="24"/>
                <w:color w:val="auto"/>
              </w:rPr>
            </w:pPr>
          </w:p>
        </w:tc>
        <w:tc>
          <w:tcPr>
            <w:tcW w:w="6600" w:type="dxa"/>
            <w:vAlign w:val="bottom"/>
            <w:gridSpan w:val="10"/>
          </w:tcPr>
          <w:p>
            <w:pPr>
              <w:spacing w:after="0"/>
              <w:rPr>
                <w:rFonts w:ascii="Arial" w:cs="Arial" w:eastAsia="Arial" w:hAnsi="Arial"/>
                <w:sz w:val="18"/>
                <w:szCs w:val="18"/>
                <w:b w:val="1"/>
                <w:bCs w:val="1"/>
                <w:i w:val="1"/>
                <w:iCs w:val="1"/>
                <w:color w:val="0000EE"/>
              </w:rPr>
            </w:pPr>
            <w:hyperlink w:anchor="page4">
              <w:r>
                <w:rPr>
                  <w:rFonts w:ascii="Arial" w:cs="Arial" w:eastAsia="Arial" w:hAnsi="Arial"/>
                  <w:sz w:val="18"/>
                  <w:szCs w:val="18"/>
                  <w:b w:val="1"/>
                  <w:bCs w:val="1"/>
                  <w:i w:val="1"/>
                  <w:iCs w:val="1"/>
                  <w:color w:val="0000EE"/>
                </w:rPr>
                <w:t>Financial Statements</w:t>
              </w:r>
            </w:hyperlink>
          </w:p>
        </w:tc>
        <w:tc>
          <w:tcPr>
            <w:tcW w:w="5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2.</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w w:val="86"/>
              </w:rPr>
            </w:pPr>
            <w:hyperlink w:anchor="page31">
              <w:r>
                <w:rPr>
                  <w:rFonts w:ascii="Arial" w:cs="Arial" w:eastAsia="Arial" w:hAnsi="Arial"/>
                  <w:sz w:val="18"/>
                  <w:szCs w:val="18"/>
                  <w:b w:val="1"/>
                  <w:bCs w:val="1"/>
                  <w:i w:val="1"/>
                  <w:iCs w:val="1"/>
                  <w:color w:val="0000EE"/>
                  <w:w w:val="86"/>
                </w:rPr>
                <w:t>Management's Discussion and Analysis of Financial Condition and Results of Operations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3.</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45">
              <w:r>
                <w:rPr>
                  <w:rFonts w:ascii="Arial" w:cs="Arial" w:eastAsia="Arial" w:hAnsi="Arial"/>
                  <w:sz w:val="18"/>
                  <w:szCs w:val="18"/>
                  <w:b w:val="1"/>
                  <w:bCs w:val="1"/>
                  <w:i w:val="1"/>
                  <w:iCs w:val="1"/>
                  <w:color w:val="0000EE"/>
                </w:rPr>
                <w:t>Quantitative and Qualitative Disclosures About Market Risk</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2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4T.</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46">
              <w:r>
                <w:rPr>
                  <w:rFonts w:ascii="Arial" w:cs="Arial" w:eastAsia="Arial" w:hAnsi="Arial"/>
                  <w:sz w:val="18"/>
                  <w:szCs w:val="18"/>
                  <w:b w:val="1"/>
                  <w:bCs w:val="1"/>
                  <w:i w:val="1"/>
                  <w:iCs w:val="1"/>
                  <w:color w:val="0000EE"/>
                </w:rPr>
                <w:t>Controls and Procedures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10"/>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II—OTHER INFORMATION</w:t>
              </w:r>
            </w:hyperlink>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gridSpan w:val="4"/>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1.</w:t>
              </w:r>
            </w:hyperlink>
          </w:p>
        </w:tc>
        <w:tc>
          <w:tcPr>
            <w:tcW w:w="2780" w:type="dxa"/>
            <w:vAlign w:val="bottom"/>
            <w:tcBorders>
              <w:top w:val="single" w:sz="8" w:color="0000EE"/>
            </w:tcBorders>
            <w:gridSpan w:val="6"/>
          </w:tcPr>
          <w:p>
            <w:pPr>
              <w:spacing w:after="0"/>
              <w:rPr>
                <w:rFonts w:ascii="Arial" w:cs="Arial" w:eastAsia="Arial" w:hAnsi="Arial"/>
                <w:sz w:val="18"/>
                <w:szCs w:val="18"/>
                <w:b w:val="1"/>
                <w:bCs w:val="1"/>
                <w:i w:val="1"/>
                <w:iCs w:val="1"/>
                <w:color w:val="0000EE"/>
              </w:rPr>
            </w:pPr>
            <w:hyperlink w:anchor="page47">
              <w:r>
                <w:rPr>
                  <w:rFonts w:ascii="Arial" w:cs="Arial" w:eastAsia="Arial" w:hAnsi="Arial"/>
                  <w:sz w:val="18"/>
                  <w:szCs w:val="18"/>
                  <w:b w:val="1"/>
                  <w:bCs w:val="1"/>
                  <w:i w:val="1"/>
                  <w:iCs w:val="1"/>
                  <w:color w:val="0000EE"/>
                </w:rPr>
                <w:t>Legal Proceedings</w:t>
              </w:r>
            </w:hyperlink>
          </w:p>
        </w:tc>
        <w:tc>
          <w:tcPr>
            <w:tcW w:w="3820" w:type="dxa"/>
            <w:vAlign w:val="bottom"/>
            <w:gridSpan w:val="4"/>
          </w:tcPr>
          <w:p>
            <w:pPr>
              <w:spacing w:after="0"/>
              <w:rPr>
                <w:sz w:val="24"/>
                <w:szCs w:val="24"/>
                <w:color w:val="auto"/>
              </w:rPr>
            </w:pPr>
          </w:p>
        </w:tc>
        <w:tc>
          <w:tcPr>
            <w:tcW w:w="58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Item 1A.</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48">
              <w:r>
                <w:rPr>
                  <w:rFonts w:ascii="Arial" w:cs="Arial" w:eastAsia="Arial" w:hAnsi="Arial"/>
                  <w:sz w:val="18"/>
                  <w:szCs w:val="18"/>
                  <w:b w:val="1"/>
                  <w:bCs w:val="1"/>
                  <w:i w:val="1"/>
                  <w:iCs w:val="1"/>
                  <w:color w:val="0000EE"/>
                </w:rPr>
                <w:t>Risk Factors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2.</w:t>
              </w:r>
            </w:hyperlink>
          </w:p>
        </w:tc>
        <w:tc>
          <w:tcPr>
            <w:tcW w:w="180" w:type="dxa"/>
            <w:vAlign w:val="bottom"/>
          </w:tcPr>
          <w:p>
            <w:pPr>
              <w:spacing w:after="0"/>
              <w:rPr>
                <w:sz w:val="17"/>
                <w:szCs w:val="17"/>
                <w:color w:val="auto"/>
              </w:rPr>
            </w:pPr>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49">
              <w:r>
                <w:rPr>
                  <w:rFonts w:ascii="Arial" w:cs="Arial" w:eastAsia="Arial" w:hAnsi="Arial"/>
                  <w:sz w:val="18"/>
                  <w:szCs w:val="18"/>
                  <w:b w:val="1"/>
                  <w:bCs w:val="1"/>
                  <w:i w:val="1"/>
                  <w:iCs w:val="1"/>
                  <w:color w:val="0000EE"/>
                </w:rPr>
                <w:t>Unregistered Sales of Equity Securities and Use of Proceeds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7"/>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6.</w:t>
              </w:r>
            </w:hyperlink>
          </w:p>
        </w:tc>
        <w:tc>
          <w:tcPr>
            <w:tcW w:w="6600" w:type="dxa"/>
            <w:vAlign w:val="bottom"/>
            <w:gridSpan w:val="10"/>
          </w:tcPr>
          <w:p>
            <w:pPr>
              <w:spacing w:after="0" w:line="196" w:lineRule="exact"/>
              <w:rPr>
                <w:rFonts w:ascii="Arial" w:cs="Arial" w:eastAsia="Arial" w:hAnsi="Arial"/>
                <w:sz w:val="18"/>
                <w:szCs w:val="18"/>
                <w:b w:val="1"/>
                <w:bCs w:val="1"/>
                <w:i w:val="1"/>
                <w:iCs w:val="1"/>
                <w:color w:val="0000EE"/>
              </w:rPr>
            </w:pPr>
            <w:hyperlink w:anchor="page50">
              <w:r>
                <w:rPr>
                  <w:rFonts w:ascii="Arial" w:cs="Arial" w:eastAsia="Arial" w:hAnsi="Arial"/>
                  <w:sz w:val="18"/>
                  <w:szCs w:val="18"/>
                  <w:b w:val="1"/>
                  <w:bCs w:val="1"/>
                  <w:i w:val="1"/>
                  <w:iCs w:val="1"/>
                  <w:color w:val="0000EE"/>
                </w:rPr>
                <w:t>Exhibits</w:t>
              </w:r>
            </w:hyperlink>
          </w:p>
        </w:tc>
        <w:tc>
          <w:tcPr>
            <w:tcW w:w="580" w:type="dxa"/>
            <w:vAlign w:val="bottom"/>
            <w:gridSpan w:val="4"/>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760" w:type="dxa"/>
            <w:vAlign w:val="bottom"/>
            <w:gridSpan w:val="6"/>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8"/>
                <w:szCs w:val="18"/>
                <w:color w:val="auto"/>
              </w:rPr>
              <w:t>LendingTree Loans</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34,372</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Exchanges and other</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5,759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57,260</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LendingTree Loans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8"/>
                <w:szCs w:val="18"/>
                <w:color w:val="auto"/>
              </w:rPr>
              <w:t>Exchanges and other</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2,467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 Estate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ind w:left="140"/>
              <w:spacing w:after="0"/>
              <w:rPr>
                <w:sz w:val="20"/>
                <w:szCs w:val="20"/>
                <w:color w:val="auto"/>
              </w:rPr>
            </w:pPr>
            <w:r>
              <w:rPr>
                <w:rFonts w:ascii="Arial" w:cs="Arial" w:eastAsia="Arial" w:hAnsi="Arial"/>
                <w:sz w:val="18"/>
                <w:szCs w:val="18"/>
                <w:color w:val="auto"/>
                <w:w w:val="95"/>
              </w:rPr>
              <w:t>Total cost of revenue (exclusive of depreciation shown separately</w:t>
            </w: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12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18,187</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21,141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320"/>
              <w:spacing w:after="0"/>
              <w:rPr>
                <w:sz w:val="20"/>
                <w:szCs w:val="20"/>
                <w:color w:val="auto"/>
              </w:rPr>
            </w:pPr>
            <w:r>
              <w:rPr>
                <w:rFonts w:ascii="Arial" w:cs="Arial" w:eastAsia="Arial" w:hAnsi="Arial"/>
                <w:sz w:val="18"/>
                <w:szCs w:val="18"/>
                <w:color w:val="auto"/>
              </w:rPr>
              <w:t>below)</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39,073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16,694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842</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1,664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35,893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ind w:left="26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20" w:type="dxa"/>
            <w:vAlign w:val="bottom"/>
            <w:vMerge w:val="continue"/>
          </w:tcPr>
          <w:p>
            <w:pPr>
              <w:spacing w:after="0"/>
              <w:rPr>
                <w:sz w:val="18"/>
                <w:szCs w:val="18"/>
                <w:color w:val="auto"/>
              </w:rPr>
            </w:pPr>
          </w:p>
        </w:tc>
        <w:tc>
          <w:tcPr>
            <w:tcW w:w="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9,676</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9,739</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available to common shareholders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0.32</w:t>
            </w:r>
          </w:p>
        </w:tc>
        <w:tc>
          <w:tcPr>
            <w:tcW w:w="34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60" w:type="dxa"/>
            <w:vAlign w:val="bottom"/>
            <w:tcBorders>
              <w:bottom w:val="single" w:sz="8" w:color="auto"/>
            </w:tcBorders>
          </w:tcPr>
          <w:p>
            <w:pPr>
              <w:jc w:val="center"/>
              <w:ind w:left="772"/>
              <w:spacing w:after="0"/>
              <w:rPr>
                <w:sz w:val="20"/>
                <w:szCs w:val="20"/>
                <w:color w:val="auto"/>
              </w:rPr>
            </w:pPr>
            <w:r>
              <w:rPr>
                <w:rFonts w:ascii="Arial" w:cs="Arial" w:eastAsia="Arial" w:hAnsi="Arial"/>
                <w:sz w:val="14"/>
                <w:szCs w:val="14"/>
                <w:b w:val="1"/>
                <w:bCs w:val="1"/>
                <w:color w:val="auto"/>
                <w:w w:val="90"/>
              </w:rPr>
              <w:t>March 31, 2009</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December 31, 2008</w:t>
            </w:r>
          </w:p>
        </w:tc>
        <w:tc>
          <w:tcPr>
            <w:tcW w:w="74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1860" w:type="dxa"/>
            <w:vAlign w:val="bottom"/>
          </w:tcPr>
          <w:p>
            <w:pPr>
              <w:jc w:val="center"/>
              <w:ind w:left="772"/>
              <w:spacing w:after="0"/>
              <w:rPr>
                <w:sz w:val="20"/>
                <w:szCs w:val="20"/>
                <w:color w:val="auto"/>
              </w:rPr>
            </w:pPr>
            <w:r>
              <w:rPr>
                <w:rFonts w:ascii="Arial" w:cs="Arial" w:eastAsia="Arial" w:hAnsi="Arial"/>
                <w:sz w:val="14"/>
                <w:szCs w:val="14"/>
                <w:b w:val="1"/>
                <w:bCs w:val="1"/>
                <w:color w:val="auto"/>
                <w:w w:val="86"/>
              </w:rPr>
              <w:t>(unaudited)</w:t>
            </w:r>
          </w:p>
        </w:tc>
        <w:tc>
          <w:tcPr>
            <w:tcW w:w="180" w:type="dxa"/>
            <w:vAlign w:val="bottom"/>
          </w:tcPr>
          <w:p>
            <w:pPr>
              <w:spacing w:after="0"/>
              <w:rPr>
                <w:sz w:val="14"/>
                <w:szCs w:val="14"/>
                <w:color w:val="auto"/>
              </w:rPr>
            </w:pPr>
          </w:p>
        </w:tc>
        <w:tc>
          <w:tcPr>
            <w:tcW w:w="15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81,436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73,643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of $315 and $367,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6,470</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($83,109 and $85,638 measured at fair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value, respectively)</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85,149</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87,835</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12,106</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8,960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200,107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192,876</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15,184</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17,057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64,401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64,663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289,188</w:t>
            </w: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284,083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72,158</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76,186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36,183</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37,146</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119,017</w:t>
            </w: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120,394</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15,683</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15,683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144,814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145,955</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260" w:type="dxa"/>
            <w:vAlign w:val="bottom"/>
            <w:gridSpan w:val="2"/>
          </w:tcPr>
          <w:p>
            <w:pPr>
              <w:spacing w:after="0"/>
              <w:rPr>
                <w:sz w:val="20"/>
                <w:szCs w:val="20"/>
                <w:color w:val="auto"/>
              </w:rPr>
            </w:pPr>
            <w:r>
              <w:rPr>
                <w:rFonts w:ascii="Arial" w:cs="Arial" w:eastAsia="Arial" w:hAnsi="Arial"/>
                <w:sz w:val="18"/>
                <w:szCs w:val="18"/>
                <w:color w:val="auto"/>
              </w:rPr>
              <w:t>Preferred stock $.01 par value; authorized 5,000,000 shares;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none issued or outstanding</w:t>
            </w:r>
          </w:p>
        </w:tc>
        <w:tc>
          <w:tcPr>
            <w:tcW w:w="180" w:type="dxa"/>
            <w:vAlign w:val="bottom"/>
          </w:tcPr>
          <w:p>
            <w:pPr>
              <w:spacing w:after="0"/>
              <w:rPr>
                <w:sz w:val="19"/>
                <w:szCs w:val="19"/>
                <w:color w:val="auto"/>
              </w:rPr>
            </w:pPr>
          </w:p>
        </w:tc>
        <w:tc>
          <w:tcPr>
            <w:tcW w:w="150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$.01 par value; authorized 50,000,000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9,978,933 and 9,369,381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respectively</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897,657</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894,577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(753,383)</w:t>
            </w: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8"/>
              </w:rPr>
              <w:t>(756,543)</w:t>
            </w:r>
          </w:p>
        </w:tc>
        <w:tc>
          <w:tcPr>
            <w:tcW w:w="0" w:type="dxa"/>
            <w:vAlign w:val="bottom"/>
          </w:tcPr>
          <w:p>
            <w:pPr>
              <w:spacing w:after="0"/>
              <w:rPr>
                <w:sz w:val="1"/>
                <w:szCs w:val="1"/>
                <w:color w:val="auto"/>
              </w:rPr>
            </w:pPr>
          </w:p>
        </w:tc>
      </w:tr>
      <w:tr>
        <w:trPr>
          <w:trHeight w:val="27"/>
        </w:trPr>
        <w:tc>
          <w:tcPr>
            <w:tcW w:w="6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144,374</w:t>
            </w: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289,188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284,083</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20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5"/>
          </w:tcPr>
          <w:p>
            <w:pPr>
              <w:jc w:val="right"/>
              <w:ind w:right="504"/>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$138,128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$894,577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(756,543)</w:t>
            </w:r>
          </w:p>
        </w:tc>
        <w:tc>
          <w:tcPr>
            <w:tcW w:w="0" w:type="dxa"/>
            <w:vAlign w:val="bottom"/>
          </w:tcPr>
          <w:p>
            <w:pPr>
              <w:spacing w:after="0"/>
              <w:rPr>
                <w:sz w:val="1"/>
                <w:szCs w:val="1"/>
                <w:color w:val="auto"/>
              </w:rPr>
            </w:pPr>
          </w:p>
        </w:tc>
      </w:tr>
      <w:tr>
        <w:trPr>
          <w:trHeight w:val="431"/>
        </w:trPr>
        <w:tc>
          <w:tcPr>
            <w:tcW w:w="740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for the three months ended March 31,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740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3,160</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7400" w:type="dxa"/>
            <w:vAlign w:val="bottom"/>
          </w:tcPr>
          <w:p>
            <w:pPr>
              <w:spacing w:after="0"/>
              <w:rPr>
                <w:sz w:val="20"/>
                <w:szCs w:val="20"/>
                <w:color w:val="auto"/>
              </w:rPr>
            </w:pPr>
            <w:r>
              <w:rPr>
                <w:rFonts w:ascii="Arial" w:cs="Arial" w:eastAsia="Arial" w:hAnsi="Arial"/>
                <w:sz w:val="18"/>
                <w:szCs w:val="18"/>
                <w:color w:val="auto"/>
              </w:rPr>
              <w:t>Sale of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1,828</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1,823</w:t>
            </w: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2"/>
              </w:rPr>
              <w:t>Issuance of common stock upon exercise of stock options and vesting of restricted stock units, net of</w:t>
            </w: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withholding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March 31, 2009</w:t>
            </w: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7400" w:type="dxa"/>
            <w:vAlign w:val="bottom"/>
            <w:vMerge w:val="continue"/>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$144,374</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9,979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$897,657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(753,383)</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500" w:type="dxa"/>
            <w:vAlign w:val="bottom"/>
            <w:gridSpan w:val="7"/>
          </w:tcPr>
          <w:p>
            <w:pPr>
              <w:jc w:val="right"/>
              <w:ind w:right="72"/>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tcPr>
          <w:p>
            <w:pPr>
              <w:ind w:left="568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3"/>
          </w:tcPr>
          <w:p>
            <w:pPr>
              <w:jc w:val="center"/>
              <w:ind w:right="413"/>
              <w:spacing w:after="0"/>
              <w:rPr>
                <w:sz w:val="20"/>
                <w:szCs w:val="20"/>
                <w:color w:val="auto"/>
              </w:rPr>
            </w:pPr>
            <w:r>
              <w:rPr>
                <w:rFonts w:ascii="Arial" w:cs="Arial" w:eastAsia="Arial" w:hAnsi="Arial"/>
                <w:sz w:val="12"/>
                <w:szCs w:val="12"/>
                <w:b w:val="1"/>
                <w:bCs w:val="1"/>
                <w:color w:val="auto"/>
                <w:w w:val="80"/>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3,160</w:t>
            </w:r>
          </w:p>
        </w:tc>
        <w:tc>
          <w:tcPr>
            <w:tcW w:w="1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(9,799)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income (loss) to net cash provided by (used in) operating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Loss on disposal of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Non-cash restructuring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Gain on origination and sale of loans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(32,764)</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(28,007)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impaired loans not sold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Loss on sale of real estate acquired in satisfaction of loans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Bad debt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Non-cash interest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Changes in current assets and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Origination of loans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0"/>
              </w:rPr>
              <w:t>(714,441)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(609,307)</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Proceeds from sales of loans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747,332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631,480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Principal payments received on loans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Payments to investors for loan repurchases and early payoff obligations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(876)</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Accounts payable and other current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Contingent acquisition consideration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(15,953)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Borrowing under warehouse lines of credit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592,347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553,141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warehouse lines of credit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0"/>
              </w:rPr>
              <w:t>(596,374)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(553,828)</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Principal payments on long-term obligations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(20,031)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to IAC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Capital contributions from IAC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Arial" w:cs="Arial" w:eastAsia="Arial" w:hAnsi="Arial"/>
                <w:sz w:val="18"/>
                <w:szCs w:val="18"/>
                <w:color w:val="auto"/>
              </w:rPr>
              <w:t>Excess tax benefits from stock-based awards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restricted cash</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73,643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0219"/>
          </w:cols>
          <w:pgMar w:left="240" w:top="131" w:right="1440" w:bottom="1440" w:gutter="0" w:footer="0" w:header="0"/>
        </w:sect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 Tree.com consists of the brands and businesses that formerly comprised IAC's Lending and Real Estate segments. We refer herein to these brands and businesses as the "Tree.com Businesses," which include LendingTree.com, RealEstate.com, GetSmart.com, Home Loan Center, Inc. (d/b/a LendingTree Loans) and iNest.com.</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conjunction with the spin-off, Tree.com completed the following transactions: (1) extinguished all intercompany payable balances with IAC,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totaled $56.2 million, by recording a non-cash contribution from IAC, (2) recapitalized the invested capital balances with common stock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whereby holders of IAC stock received one-thirtieth of a share of common stock of Tree.com, and (3) received $55.2 million of cash from IAC.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historical consolidated financial statements of Tree.com and its subsidiaries reflect the contribution or other transfer to Tree.com of all of the subsidiaries and assets and the assumption by Tree.com of all of the liabilities relating to the Tree.com Businesses in connection with the spin-off and the allocation to Tree.com of certain IAC corporate expenses relating to the Tree.com Businesses. Accordingly, the historical consolidated financial statements of Tree.com reflect the historical financial position, results of operations and cash flows of the Tree.com Businesses since their respective dates of acquisition by IAC, based on the historical consolidated financial statements and accounting records of IAC and using the historical results of operations and historical bases of the assets and liabilities of the Tree.com Businesses with the exception of accounting for income taxes. For purposes of these financial statements, income taxes have been computed for Tree.com on an as if stand-alone, separate tax return basis. Intercompany transactions and accounts have been eliminated.</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opinion of Tree.com's management, the assumptions underlying the historical consolidated financial statements of Tree.com are reasonable. However, this financial information does not necessarily reflect what the historical financial position, results of operations and cash flows of Tree.com would have been had Tree.com been a stand-alone company during the periods presented.</w:t>
      </w:r>
    </w:p>
    <w:p>
      <w:pPr>
        <w:spacing w:after="0" w:line="19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March 31, 2009 and 2008 and for the three months then ended have been prepared in accordance with accounting principles generally accepted in the United States of America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months ended March 31, 2009 are not necessarily indicative of the results to be expected for the year ending December 31, 2009, or any other period. These financial statements and notes should be read in conjunction with the audited financial statements and notes thereto included in the Company's annual report on Form 10-K for the year ended December 31, 2008.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(principally LendingTree.com and GetSmart.com) that connect consumers and service providers principally in the lending industry.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 xml:space="preserve">The Real Estate segment consists of a proprietary full service real estate brokerage (RealEstate.com, REALTORS®) that operates in 20 U.S. markets, as well as an online lead generation network accessed at </w:t>
      </w: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real estate brokerages around the country, and iNest.com, an online network that matches buyers and builders of new homes.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reserve for obligations on loans that have been previously sold; the fair value of loans held for sale and related derivatives; the recoverability of long-lived assets; the recovery of goodwill and intangible assets; the determination of income taxes payable and deferred income taxes, including related valuation allowances; various other allowances, reserves and accruals; and assumptions related to the determination of stock-based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connection with the change in reportable segments (see footnote 7), certain prior period amounts have been reclassified to conform with the current year presentation with no effect on net income (loss) or accumulated deficit. Specifically, compensation and other employee- related costs for loan officers within the LendingTree Loans segment totaling $3.4 million were reclassified from selling and marketing expense to cost of revenue, and certain other expenses totaling $0.1 million were reclassified from general and administrative expense to selling and marketing expense.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75"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March 31, 2009</w:t>
            </w:r>
          </w:p>
        </w:tc>
        <w:tc>
          <w:tcPr>
            <w:tcW w:w="200" w:type="dxa"/>
            <w:vAlign w:val="bottom"/>
          </w:tcPr>
          <w:p>
            <w:pPr>
              <w:spacing w:after="0"/>
              <w:rPr>
                <w:sz w:val="14"/>
                <w:szCs w:val="14"/>
                <w:color w:val="auto"/>
              </w:rPr>
            </w:pPr>
          </w:p>
        </w:tc>
        <w:tc>
          <w:tcPr>
            <w:tcW w:w="168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Cash in escrow for future operating lease</w:t>
            </w: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Cash in escrow for surety bonds</w:t>
            </w:r>
          </w:p>
        </w:tc>
        <w:tc>
          <w:tcPr>
            <w:tcW w:w="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corporate purchasing</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card program</w:t>
            </w: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6"/>
              </w:rPr>
              <w:t>Minimum required balances for warehouse</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lines of credit</w:t>
            </w: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vMerge w:val="restart"/>
          </w:tcPr>
          <w:p>
            <w:pPr>
              <w:ind w:left="120"/>
              <w:spacing w:after="0"/>
              <w:rPr>
                <w:sz w:val="20"/>
                <w:szCs w:val="20"/>
                <w:color w:val="auto"/>
              </w:rPr>
            </w:pPr>
            <w:r>
              <w:rPr>
                <w:rFonts w:ascii="Arial" w:cs="Arial" w:eastAsia="Arial" w:hAnsi="Arial"/>
                <w:sz w:val="18"/>
                <w:szCs w:val="18"/>
                <w:color w:val="auto"/>
                <w:w w:val="93"/>
              </w:rPr>
              <w:t>Total restricted cash and cash equivalents</w:t>
            </w: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14,946</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Changes in restricted cash balances are shown within investing and financing activities in the accompanying consolidated statements of cash 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2007, the FASB issued Statement of Financial Accounting Standards ("SFAS") No. 141 (revised 2007), "Business Combinations" ("SFAS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 141R"), which replaces FASB Statement No. 141. SFAS No. 141R establishes principles and requirements for how an acquirer recognizes and measures in 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the identifiable assets acquired, the liabilities assumed, any noncontrolling interest in the acquiree and the goodwill acquired. The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establishes disclosure requirements that will enable users to evaluate the nature and financial effects of the business combination. SFAS No. 141R applies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prospectively to business combinations in fiscal years beginning after December 15, 2008. The adoption of SFAS No. 141R did not have a material impact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Tree.com's consolidated financial position, results of operations or cash flows.</w:t>
      </w:r>
    </w:p>
    <w:p>
      <w:pPr>
        <w:spacing w:after="0" w:line="219"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Tree.com adopted SFAS No. 161, "Disclosures about Derivative Instruments and Hedging Activities, an amendment of FASB Statement No. 133" ("SFAS No. 161") on January 1, 2009. SFAS No. 161 amends and expands the disclosure requirements of SFAS No. 133, "Accounting for Derivative Instruments and Hedging Activities" ("SFAS No. 133") with the intent to provide users of financial statements with an enhanced understanding of: (i) How and why an entity uses derivative instruments; (ii) How derivative instruments and related hedged items are accounted for under SFAS No. 133 and its related interpretations; and</w:t>
      </w:r>
    </w:p>
    <w:p>
      <w:pPr>
        <w:spacing w:after="0" w:line="3" w:lineRule="exact"/>
        <w:rPr>
          <w:sz w:val="20"/>
          <w:szCs w:val="20"/>
          <w:color w:val="auto"/>
        </w:rPr>
      </w:pPr>
    </w:p>
    <w:p>
      <w:pPr>
        <w:ind w:right="500" w:firstLine="8"/>
        <w:spacing w:after="0" w:line="323" w:lineRule="auto"/>
        <w:tabs>
          <w:tab w:leader="none" w:pos="307" w:val="left"/>
        </w:tabs>
        <w:numPr>
          <w:ilvl w:val="0"/>
          <w:numId w:val="3"/>
        </w:numPr>
        <w:rPr>
          <w:rFonts w:ascii="Arial" w:cs="Arial" w:eastAsia="Arial" w:hAnsi="Arial"/>
          <w:sz w:val="16"/>
          <w:szCs w:val="16"/>
          <w:color w:val="auto"/>
        </w:rPr>
      </w:pPr>
      <w:r>
        <w:rPr>
          <w:rFonts w:ascii="Arial" w:cs="Arial" w:eastAsia="Arial" w:hAnsi="Arial"/>
          <w:sz w:val="16"/>
          <w:szCs w:val="16"/>
          <w:color w:val="auto"/>
        </w:rPr>
        <w:t>How derivative instruments and related hedged items affect an entity's financial position, financial performance and cash flows. The adoption of SFAS No. 161 did not have a material impact on the Company's Consolidated Financial Statements. See footnote 9 for further information.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March 31, 2009</w:t>
            </w:r>
          </w:p>
        </w:tc>
        <w:tc>
          <w:tcPr>
            <w:tcW w:w="20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December 31, 2008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Goodwill—Real Estate</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with indefinite lives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55,229</w:t>
            </w:r>
          </w:p>
        </w:tc>
        <w:tc>
          <w:tcPr>
            <w:tcW w:w="0" w:type="dxa"/>
            <w:vAlign w:val="bottom"/>
          </w:tcPr>
          <w:p>
            <w:pPr>
              <w:spacing w:after="0"/>
              <w:rPr>
                <w:sz w:val="1"/>
                <w:szCs w:val="1"/>
                <w:color w:val="auto"/>
              </w:rPr>
            </w:pPr>
          </w:p>
        </w:tc>
      </w:tr>
      <w:tr>
        <w:trPr>
          <w:trHeight w:val="222"/>
        </w:trPr>
        <w:tc>
          <w:tcPr>
            <w:tcW w:w="3400" w:type="dxa"/>
            <w:vAlign w:val="bottom"/>
          </w:tcPr>
          <w:p>
            <w:pPr>
              <w:ind w:left="140"/>
              <w:spacing w:after="0"/>
              <w:rPr>
                <w:sz w:val="20"/>
                <w:szCs w:val="20"/>
                <w:color w:val="auto"/>
              </w:rPr>
            </w:pPr>
            <w:r>
              <w:rPr>
                <w:rFonts w:ascii="Arial" w:cs="Arial" w:eastAsia="Arial" w:hAnsi="Arial"/>
                <w:sz w:val="18"/>
                <w:szCs w:val="18"/>
                <w:color w:val="auto"/>
              </w:rPr>
              <w:t>Intangible assets with definite lives, net</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intangible assets, net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64,663</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400"/>
              <w:spacing w:after="0"/>
              <w:rPr>
                <w:sz w:val="20"/>
                <w:szCs w:val="20"/>
                <w:color w:val="auto"/>
              </w:rPr>
            </w:pPr>
            <w:r>
              <w:rPr>
                <w:rFonts w:ascii="Arial" w:cs="Arial" w:eastAsia="Arial" w:hAnsi="Arial"/>
                <w:sz w:val="18"/>
                <w:szCs w:val="18"/>
                <w:color w:val="auto"/>
                <w:w w:val="93"/>
              </w:rPr>
              <w:t>Total goodwill and intangible assets, net</w:t>
            </w: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73,686</w:t>
            </w:r>
          </w:p>
        </w:tc>
        <w:tc>
          <w:tcPr>
            <w:tcW w:w="200" w:type="dxa"/>
            <w:vAlign w:val="bottom"/>
          </w:tcPr>
          <w:p>
            <w:pPr>
              <w:spacing w:after="0"/>
              <w:rPr>
                <w:sz w:val="18"/>
                <w:szCs w:val="18"/>
                <w:color w:val="auto"/>
              </w:rPr>
            </w:pPr>
          </w:p>
        </w:tc>
        <w:tc>
          <w:tcPr>
            <w:tcW w:w="42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trade names and trademarks.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2009, intangible assets with definite lives relate to the following (in thousands):</w:t>
      </w:r>
    </w:p>
    <w:p>
      <w:pPr>
        <w:spacing w:after="0" w:line="208"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4"/>
                <w:szCs w:val="14"/>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(69,750)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$6,367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29,997</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(29,125)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872</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9,614</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(7,681)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1,933</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122,335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(113,163)</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$9,172</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
        </w:trPr>
        <w:tc>
          <w:tcPr>
            <w:tcW w:w="3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2008, intangible assets with definite lives relate to the following (in thousands):</w:t>
      </w:r>
    </w:p>
    <w:p>
      <w:pPr>
        <w:spacing w:after="0" w:line="208"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4"/>
                <w:szCs w:val="14"/>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(68,898)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$7,219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29,100</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(29,100)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(6,607)</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9,512</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(7,297)</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2,215</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121,336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(111,902)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$9,434</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7"/>
        </w:trPr>
        <w:tc>
          <w:tcPr>
            <w:tcW w:w="3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March 31, 2009 balances, such amortization for the next five years is estimated to be as follows (in thousands):</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3080"/>
        <w:spacing w:after="0"/>
        <w:rPr>
          <w:sz w:val="20"/>
          <w:szCs w:val="20"/>
          <w:color w:val="auto"/>
        </w:rPr>
      </w:pPr>
      <w:r>
        <w:rPr>
          <w:rFonts w:ascii="Arial" w:cs="Arial" w:eastAsia="Arial" w:hAnsi="Arial"/>
          <w:sz w:val="15"/>
          <w:szCs w:val="15"/>
          <w:color w:val="auto"/>
        </w:rPr>
        <w:t>Nine months ending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-103505</wp:posOffset>
            </wp:positionV>
            <wp:extent cx="335343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spacing w:after="0" w:line="3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Year ending December 31, 2010</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Year ending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-129540</wp:posOffset>
            </wp:positionV>
            <wp:extent cx="335343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33020</wp:posOffset>
            </wp:positionV>
            <wp:extent cx="335343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343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Amount</w:t>
      </w:r>
    </w:p>
    <w:p>
      <w:pPr>
        <w:spacing w:after="0" w:line="36" w:lineRule="exact"/>
        <w:rPr>
          <w:sz w:val="20"/>
          <w:szCs w:val="20"/>
          <w:color w:val="auto"/>
        </w:rPr>
      </w:pPr>
    </w:p>
    <w:p>
      <w:pPr>
        <w:jc w:val="right"/>
        <w:ind w:left="100" w:right="2880" w:hanging="98"/>
        <w:spacing w:after="0" w:line="312" w:lineRule="auto"/>
        <w:rPr>
          <w:sz w:val="20"/>
          <w:szCs w:val="20"/>
          <w:color w:val="auto"/>
        </w:rPr>
      </w:pPr>
      <w:r>
        <w:rPr>
          <w:rFonts w:ascii="Arial" w:cs="Arial" w:eastAsia="Arial" w:hAnsi="Arial"/>
          <w:sz w:val="15"/>
          <w:szCs w:val="15"/>
          <w:color w:val="auto"/>
        </w:rPr>
        <w:t>$3,575 3,151 1,564 882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317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$9,172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317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59690</wp:posOffset>
            </wp:positionV>
            <wp:extent cx="317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380"/>
          </w:cols>
          <w:pgMar w:left="240" w:top="131" w:right="479" w:bottom="1440" w:gutter="0" w:footer="0" w:header="0"/>
          <w:type w:val="continuous"/>
        </w:sectPr>
      </w:pP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March 31, 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December 31, 2008</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Computer equipment and capitalized</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87"/>
              </w:rPr>
              <w:t>35,246</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34,416</w:t>
            </w:r>
          </w:p>
        </w:tc>
        <w:tc>
          <w:tcPr>
            <w:tcW w:w="22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3,184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2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Projects in progress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2,253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45,632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45,857</w:t>
            </w:r>
          </w:p>
        </w:tc>
        <w:tc>
          <w:tcPr>
            <w:tcW w:w="2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Less: accumulated depreciation and</w:t>
            </w:r>
          </w:p>
        </w:tc>
        <w:tc>
          <w:tcPr>
            <w:tcW w:w="380" w:type="dxa"/>
            <w:vAlign w:val="bottom"/>
          </w:tcPr>
          <w:p>
            <w:pPr>
              <w:spacing w:after="0"/>
              <w:rPr>
                <w:sz w:val="18"/>
                <w:szCs w:val="18"/>
                <w:color w:val="auto"/>
              </w:rPr>
            </w:pPr>
          </w:p>
        </w:tc>
        <w:tc>
          <w:tcPr>
            <w:tcW w:w="820" w:type="dxa"/>
            <w:vAlign w:val="bottom"/>
            <w:gridSpan w:val="5"/>
          </w:tcPr>
          <w:p>
            <w:pPr>
              <w:jc w:val="right"/>
              <w:ind w:right="52"/>
              <w:spacing w:after="0"/>
              <w:rPr>
                <w:sz w:val="20"/>
                <w:szCs w:val="20"/>
                <w:color w:val="auto"/>
              </w:rPr>
            </w:pPr>
            <w:r>
              <w:rPr>
                <w:rFonts w:ascii="Arial" w:cs="Arial" w:eastAsia="Arial" w:hAnsi="Arial"/>
                <w:sz w:val="18"/>
                <w:szCs w:val="18"/>
                <w:color w:val="auto"/>
                <w:w w:val="98"/>
              </w:rPr>
              <w:t>(30,448)</w:t>
            </w:r>
          </w:p>
        </w:tc>
        <w:tc>
          <w:tcPr>
            <w:tcW w:w="34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(28,800)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and equipment,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15,184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2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4"/>
          </w:tcPr>
          <w:p>
            <w:pPr>
              <w:jc w:val="right"/>
              <w:ind w:right="19"/>
              <w:spacing w:after="0"/>
              <w:rPr>
                <w:sz w:val="20"/>
                <w:szCs w:val="20"/>
                <w:color w:val="auto"/>
              </w:rPr>
            </w:pPr>
            <w:r>
              <w:rPr>
                <w:rFonts w:ascii="Arial" w:cs="Arial" w:eastAsia="Arial" w:hAnsi="Arial"/>
                <w:sz w:val="18"/>
                <w:szCs w:val="18"/>
                <w:color w:val="auto"/>
                <w:w w:val="94"/>
              </w:rPr>
              <w:t>Accrued expenses and other current liabilities consist of the following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rPr>
              <w:t>March 31, 2009</w:t>
            </w:r>
          </w:p>
        </w:tc>
        <w:tc>
          <w:tcPr>
            <w:tcW w:w="1360" w:type="dxa"/>
            <w:vAlign w:val="bottom"/>
            <w:gridSpan w:val="6"/>
          </w:tcPr>
          <w:p>
            <w:pPr>
              <w:ind w:left="200"/>
              <w:spacing w:after="0"/>
              <w:rPr>
                <w:sz w:val="20"/>
                <w:szCs w:val="20"/>
                <w:color w:val="auto"/>
              </w:rPr>
            </w:pPr>
            <w:r>
              <w:rPr>
                <w:rFonts w:ascii="Arial" w:cs="Arial" w:eastAsia="Arial" w:hAnsi="Arial"/>
                <w:sz w:val="14"/>
                <w:szCs w:val="14"/>
                <w:b w:val="1"/>
                <w:bCs w:val="1"/>
                <w:color w:val="auto"/>
                <w:w w:val="90"/>
              </w:rPr>
              <w:t>December 31, 2008</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Accrued loan loss liability related to loans previously sold</w:t>
            </w:r>
          </w:p>
        </w:tc>
        <w:tc>
          <w:tcPr>
            <w:tcW w:w="1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Litigation accruals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2,381</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advertising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5,930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2,588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14,399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000" w:type="dxa"/>
            <w:vAlign w:val="bottom"/>
            <w:gridSpan w:val="3"/>
            <w:vMerge w:val="restart"/>
          </w:tcPr>
          <w:p>
            <w:pPr>
              <w:ind w:left="140"/>
              <w:spacing w:after="0"/>
              <w:rPr>
                <w:sz w:val="20"/>
                <w:szCs w:val="20"/>
                <w:color w:val="auto"/>
              </w:rPr>
            </w:pPr>
            <w:r>
              <w:rPr>
                <w:rFonts w:ascii="Arial" w:cs="Arial" w:eastAsia="Arial" w:hAnsi="Arial"/>
                <w:sz w:val="18"/>
                <w:szCs w:val="18"/>
                <w:color w:val="auto"/>
                <w:w w:val="94"/>
              </w:rPr>
              <w:t>Total accrued expenses and other current liabilities</w:t>
            </w: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0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36,183</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37,146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the HLC acquisition, deferred rent liabilities, customer security deposits, accrued professional fees and other miscellaneous accrued expenses.</w:t>
      </w:r>
    </w:p>
    <w:p>
      <w:pPr>
        <w:spacing w:after="0" w:line="186" w:lineRule="exact"/>
        <w:rPr>
          <w:sz w:val="20"/>
          <w:szCs w:val="20"/>
          <w:color w:val="auto"/>
        </w:rPr>
      </w:pPr>
    </w:p>
    <w:p>
      <w:pPr>
        <w:ind w:right="700" w:firstLine="341"/>
        <w:spacing w:after="0" w:line="268" w:lineRule="auto"/>
        <w:rPr>
          <w:sz w:val="20"/>
          <w:szCs w:val="20"/>
          <w:color w:val="auto"/>
        </w:rPr>
      </w:pPr>
      <w:r>
        <w:rPr>
          <w:rFonts w:ascii="Arial" w:cs="Arial" w:eastAsia="Arial" w:hAnsi="Arial"/>
          <w:sz w:val="18"/>
          <w:szCs w:val="18"/>
          <w:color w:val="auto"/>
        </w:rPr>
        <w:t>An additional $6.4 million and $6.5 million of accrued loan loss liability related to loans previously sold is classified in other long term liabilities at March 31, 2009 and December 31,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$72.2 million and $76.2 million at March 31, 2009 and December 31, 2008, respectively.</w:t>
      </w:r>
    </w:p>
    <w:p>
      <w:pPr>
        <w:spacing w:after="0" w:line="225"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As of March 31, 2009, LendingTree Loans had two $50 million committed lines of credit ("warehouse lines"). Borrowings under these lines are limited for funding, and are secured by, consumer residential loans that are held for sale. Loans under these warehouse lines are repaid directly from proceeds from the sales of loans by LendingTree Loans.</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One of these lines expired on April 30, 2009 and has been replaced by a new $50 million committed line of credit ("the first line"). The first line is scheduled to expire on April 30, 2010, but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can be cancelled at the option of the lender without default upon sixty days notice. The second line is scheduled to expire on December 30, 2009; however, that lender has indicated it is exiting the warehouse lending business and will honor the existing contract only through the stated term. The first line includes an additional uncommitted credit facility of $75 million. The first line is also guaranteed by Tree.com, Inc., LendingTree, LLC and LendingTree Holdings, Inc.</w:t>
      </w:r>
    </w:p>
    <w:p>
      <w:pPr>
        <w:spacing w:after="0" w:line="161" w:lineRule="exact"/>
        <w:rPr>
          <w:sz w:val="20"/>
          <w:szCs w:val="20"/>
          <w:color w:val="auto"/>
        </w:rPr>
      </w:pPr>
    </w:p>
    <w:p>
      <w:pPr>
        <w:ind w:right="800" w:firstLine="348"/>
        <w:spacing w:after="0" w:line="370" w:lineRule="auto"/>
        <w:rPr>
          <w:sz w:val="20"/>
          <w:szCs w:val="20"/>
          <w:color w:val="auto"/>
        </w:rPr>
      </w:pPr>
      <w:r>
        <w:rPr>
          <w:rFonts w:ascii="Arial" w:cs="Arial" w:eastAsia="Arial" w:hAnsi="Arial"/>
          <w:sz w:val="15"/>
          <w:szCs w:val="15"/>
          <w:color w:val="auto"/>
        </w:rPr>
        <w:t>The interest rate under the first line is 225 basis points plus the greater of (a) the 30-day LIBOR or (b) 200 basis points. The interest rate under the $75 million uncommitted line is 30-day LIBOR plus 150 basis points. The interest rate under the second line is 30-day LIBOR plus 125 basis points.</w:t>
      </w:r>
    </w:p>
    <w:p>
      <w:pPr>
        <w:spacing w:after="0" w:line="11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levels of tangible net worth, cash on hand with a certain lender and liquid assets, (ii) a maximum ratio of total liabilities to net worth and (iii) pre-tax net income requirements on a quarterly basis. During the quarter ended March 31, 2009, LendingTree Loans was in compliance with the covenants under the lines in existence at that time.</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Management has been and continues to be in discussions with several financial institutions that could serve as potential sources of credit that could be a replacement of or increase to the current credit facilities. However, these financial institutions, like all financial institutions, are subject to the same adverse market conditions and may be affected by recent market disruptions, which may affect the decision to provide a credit line, or the pricing for such lines.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Following the spin-off from IAC, the new chief operating decision maker began to realign the Tree.com Businesses into new operating segments. During the first quarter of 2009, management completed its realignment of staffing and direct revenue and costs for each new segment and created reporting structures to enable the chief operating decision maker and management to evaluate the results of operations for each of these new segments on a comparative basis with prior periods. In prior periods, the segments "Lending" and "Real Estate" were presented, which have been changed to "LendingTree Loans", "Exchanges" and "Real Estate" segments. Additionally, certain shared indirect costs that are described below are reported as "Unallocated—Corporate". All items of segment information for prior periods have been restated to conform to the new reportable segment presentation.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Tree.com's primary performance metric is Earnings Before Interest, Taxes, Depreciation and Amortization ("EBITDA"), which is defined as operating income excluding, if applicable: (1) depreciation expense, (2) gain/loss on disposal of assets, (3) non-cash compensation expense, (4) amortization and impairment of intangibles, (5) goodwill impairment, (6) pro forma adjustments for significant acquisitions, and (7) one-time items. Tree.com believes this measure is useful to investors because it represents the operating results from Tree.com's segments, but excludes the effects of any other non-cash expenses.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information by segment and a reconciliation to EBITDA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54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rPr>
              <w:t>For the Three Months Ended March 31, 2009:</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LendingTree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rPr>
              <w:t>Loans</w:t>
            </w:r>
          </w:p>
        </w:tc>
        <w:tc>
          <w:tcPr>
            <w:tcW w:w="2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1"/>
              </w:rPr>
              <w:t>Exchanges</w:t>
            </w:r>
          </w:p>
        </w:tc>
        <w:tc>
          <w:tcPr>
            <w:tcW w:w="20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4"/>
              </w:rPr>
              <w:t>Real Estate</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$ 34,372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57,260</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4"/>
              </w:rPr>
              <w:t>Cost of revenue (exclusive of depreciation shown separately below)</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11,856</w:t>
            </w: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1,891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17,176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39,073</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11,968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13,822</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2,791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16,694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15,698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35,893</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ind w:left="1080"/>
              <w:spacing w:after="0"/>
              <w:rPr>
                <w:sz w:val="20"/>
                <w:szCs w:val="20"/>
                <w:color w:val="auto"/>
              </w:rPr>
            </w:pPr>
            <w:r>
              <w:rPr>
                <w:rFonts w:ascii="Arial" w:cs="Arial" w:eastAsia="Arial" w:hAnsi="Arial"/>
                <w:sz w:val="18"/>
                <w:szCs w:val="18"/>
                <w:color w:val="auto"/>
              </w:rPr>
              <w:t>Operating income (loss)</w:t>
            </w: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14,166</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(5,177)</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(7,287)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Loss on disposal of assets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ind w:left="1080"/>
              <w:spacing w:after="0"/>
              <w:rPr>
                <w:sz w:val="20"/>
                <w:szCs w:val="20"/>
                <w:color w:val="auto"/>
              </w:rPr>
            </w:pPr>
            <w:r>
              <w:rPr>
                <w:rFonts w:ascii="Arial" w:cs="Arial" w:eastAsia="Arial" w:hAnsi="Arial"/>
                <w:sz w:val="18"/>
                <w:szCs w:val="18"/>
                <w:color w:val="auto"/>
              </w:rPr>
              <w:t>EBITDA</w:t>
            </w: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60" w:type="dxa"/>
            <w:vAlign w:val="bottom"/>
            <w:gridSpan w:val="2"/>
            <w:vMerge w:val="continue"/>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$ 15,092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(3,676)</w:t>
            </w:r>
          </w:p>
        </w:tc>
        <w:tc>
          <w:tcPr>
            <w:tcW w:w="20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(5,972)</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60" w:type="dxa"/>
            <w:vAlign w:val="bottom"/>
            <w:gridSpan w:val="2"/>
            <w:vMerge w:val="restart"/>
          </w:tcPr>
          <w:p>
            <w:pPr>
              <w:jc w:val="right"/>
              <w:ind w:right="272"/>
              <w:spacing w:after="0"/>
              <w:rPr>
                <w:sz w:val="20"/>
                <w:szCs w:val="20"/>
                <w:color w:val="auto"/>
              </w:rPr>
            </w:pPr>
            <w:r>
              <w:rPr>
                <w:rFonts w:ascii="Arial" w:cs="Arial" w:eastAsia="Arial" w:hAnsi="Arial"/>
                <w:sz w:val="18"/>
                <w:szCs w:val="18"/>
                <w:color w:val="auto"/>
              </w:rPr>
              <w:t>11</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1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3"/>
          </w:tcPr>
          <w:p>
            <w:pPr>
              <w:jc w:val="right"/>
              <w:ind w:right="160"/>
              <w:spacing w:after="0"/>
              <w:rPr>
                <w:sz w:val="20"/>
                <w:szCs w:val="20"/>
                <w:color w:val="auto"/>
              </w:rPr>
            </w:pPr>
            <w:r>
              <w:rPr>
                <w:rFonts w:ascii="Arial" w:cs="Arial" w:eastAsia="Arial" w:hAnsi="Arial"/>
                <w:sz w:val="14"/>
                <w:szCs w:val="14"/>
                <w:b w:val="1"/>
                <w:bCs w:val="1"/>
                <w:color w:val="auto"/>
              </w:rPr>
              <w:t>For the Three Months Ended March 31, 2008:</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Unallocated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LendingTree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Loans</w:t>
            </w:r>
          </w:p>
        </w:tc>
        <w:tc>
          <w:tcPr>
            <w:tcW w:w="940" w:type="dxa"/>
            <w:vAlign w:val="bottom"/>
            <w:gridSpan w:val="4"/>
          </w:tcPr>
          <w:p>
            <w:pPr>
              <w:ind w:left="200"/>
              <w:spacing w:after="0"/>
              <w:rPr>
                <w:sz w:val="20"/>
                <w:szCs w:val="20"/>
                <w:color w:val="auto"/>
              </w:rPr>
            </w:pPr>
            <w:r>
              <w:rPr>
                <w:rFonts w:ascii="Arial" w:cs="Arial" w:eastAsia="Arial" w:hAnsi="Arial"/>
                <w:sz w:val="14"/>
                <w:szCs w:val="14"/>
                <w:b w:val="1"/>
                <w:bCs w:val="1"/>
                <w:color w:val="auto"/>
                <w:w w:val="97"/>
              </w:rPr>
              <w:t>Exchanges</w:t>
            </w: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5"/>
              </w:rPr>
              <w:t>Real Estate</w:t>
            </w:r>
          </w:p>
        </w:tc>
        <w:tc>
          <w:tcPr>
            <w:tcW w:w="6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Corporate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30,802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37,060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$70,193</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1"/>
              </w:rPr>
              <w:t>Cost of revenue (exclusive of depreciation shown separately below)</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11,800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21,141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49,052</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27,436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29,927</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6,565</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20,659</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34,931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0" w:type="dxa"/>
            <w:vAlign w:val="bottom"/>
            <w:gridSpan w:val="2"/>
            <w:vMerge w:val="restart"/>
          </w:tcPr>
          <w:p>
            <w:pPr>
              <w:ind w:left="108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(3,928)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(8,051)</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(9,488)</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EBITDA:</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3,668</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(2,453)</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(3,489)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three months ended March 31, 2009 and 2008 are as follows (in thousands):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Origination and sale of loans</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$32,764</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$28,007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0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LendingTree Loans revenue</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34,372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Match fees</w:t>
            </w:r>
          </w:p>
        </w:tc>
        <w:tc>
          <w:tcPr>
            <w:tcW w:w="580" w:type="dxa"/>
            <w:vAlign w:val="bottom"/>
          </w:tcPr>
          <w:p>
            <w:pPr>
              <w:jc w:val="right"/>
              <w:spacing w:after="0"/>
              <w:rPr>
                <w:sz w:val="20"/>
                <w:szCs w:val="20"/>
                <w:color w:val="auto"/>
              </w:rPr>
            </w:pPr>
            <w:r>
              <w:rPr>
                <w:rFonts w:ascii="Arial" w:cs="Arial" w:eastAsia="Arial" w:hAnsi="Arial"/>
                <w:sz w:val="18"/>
                <w:szCs w:val="18"/>
                <w:color w:val="auto"/>
              </w:rPr>
              <w:t>9,966</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Inter-segment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4060" w:type="dxa"/>
            <w:vAlign w:val="bottom"/>
            <w:gridSpan w:val="2"/>
            <w:vMerge w:val="restart"/>
          </w:tcPr>
          <w:p>
            <w:pPr>
              <w:ind w:left="260"/>
              <w:spacing w:after="0"/>
              <w:rPr>
                <w:sz w:val="20"/>
                <w:szCs w:val="20"/>
                <w:color w:val="auto"/>
              </w:rPr>
            </w:pPr>
            <w:r>
              <w:rPr>
                <w:rFonts w:ascii="Arial" w:cs="Arial" w:eastAsia="Arial" w:hAnsi="Arial"/>
                <w:sz w:val="18"/>
                <w:szCs w:val="18"/>
                <w:color w:val="auto"/>
              </w:rPr>
              <w:t>Total Exchanges</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(1,938)</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$57,260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$70,193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20" w:right="560" w:hanging="532"/>
        <w:spacing w:after="0" w:line="268"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revenue within the LendingTree Loans segment includes $0.3 million of inter-segment revenue for the three months ended March 31, 2008, which is also included in the inter-segment elimination.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at March 31, 2009 and December 31, 2008 are as follows (in thousands):</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6"/>
              </w:rPr>
              <w:t>March 31, 2009</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Exchanges and Unallocated—Corporate(a)</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gridSpan w:val="3"/>
            <w:vMerge w:val="restart"/>
          </w:tcPr>
          <w:p>
            <w:pPr>
              <w:ind w:left="16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20" w:type="dxa"/>
            <w:vAlign w:val="bottom"/>
            <w:gridSpan w:val="3"/>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289,188</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$ 284,083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2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are jointly used by the Exchanges and Unallocated—Corporate segments, and it is not practicable to allocate assets between these segments.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11"/>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1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6"/>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0"/>
              </w:rPr>
              <w:t>Basic</w:t>
            </w:r>
          </w:p>
        </w:tc>
        <w:tc>
          <w:tcPr>
            <w:tcW w:w="20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Diluted</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0"/>
              </w:rPr>
              <w:t>Basic</w:t>
            </w:r>
          </w:p>
        </w:tc>
        <w:tc>
          <w:tcPr>
            <w:tcW w:w="20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Diluted</w:t>
            </w:r>
          </w:p>
        </w:tc>
        <w:tc>
          <w:tcPr>
            <w:tcW w:w="60" w:type="dxa"/>
            <w:vAlign w:val="bottom"/>
          </w:tcPr>
          <w:p>
            <w:pPr>
              <w:spacing w:after="0"/>
              <w:rPr>
                <w:sz w:val="12"/>
                <w:szCs w:val="12"/>
                <w:color w:val="auto"/>
              </w:rPr>
            </w:pPr>
          </w:p>
        </w:tc>
      </w:tr>
      <w:tr>
        <w:trPr>
          <w:trHeight w:val="142"/>
        </w:trPr>
        <w:tc>
          <w:tcPr>
            <w:tcW w:w="1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w w:val="77"/>
              </w:rPr>
              <w:t>thousands,</w:t>
            </w:r>
          </w:p>
        </w:tc>
        <w:tc>
          <w:tcPr>
            <w:tcW w:w="1580" w:type="dxa"/>
            <w:vAlign w:val="bottom"/>
            <w:gridSpan w:val="7"/>
          </w:tcPr>
          <w:p>
            <w:pPr>
              <w:jc w:val="right"/>
              <w:ind w:right="360"/>
              <w:spacing w:after="0" w:line="142" w:lineRule="exact"/>
              <w:rPr>
                <w:sz w:val="20"/>
                <w:szCs w:val="20"/>
                <w:color w:val="auto"/>
              </w:rPr>
            </w:pPr>
            <w:r>
              <w:rPr>
                <w:rFonts w:ascii="Arial" w:cs="Arial" w:eastAsia="Arial" w:hAnsi="Arial"/>
                <w:sz w:val="14"/>
                <w:szCs w:val="14"/>
                <w:b w:val="1"/>
                <w:bCs w:val="1"/>
                <w:color w:val="auto"/>
                <w:w w:val="80"/>
              </w:rPr>
              <w:t>except per share data)</w:t>
            </w: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1"/>
              </w:rPr>
              <w:t>Net income (loss) available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(9,799)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(9,799)</w:t>
            </w:r>
          </w:p>
        </w:tc>
      </w:tr>
      <w:tr>
        <w:trPr>
          <w:trHeight w:val="432"/>
        </w:trPr>
        <w:tc>
          <w:tcPr>
            <w:tcW w:w="1320" w:type="dxa"/>
            <w:vAlign w:val="bottom"/>
          </w:tcPr>
          <w:p>
            <w:pPr>
              <w:spacing w:after="0"/>
              <w:rPr>
                <w:sz w:val="24"/>
                <w:szCs w:val="24"/>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2"/>
        </w:trPr>
        <w:tc>
          <w:tcPr>
            <w:tcW w:w="13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Weighted average common shares(a)</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9,676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9,739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9,328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9,328</w:t>
            </w:r>
          </w:p>
        </w:tc>
        <w:tc>
          <w:tcPr>
            <w:tcW w:w="60" w:type="dxa"/>
            <w:vAlign w:val="bottom"/>
          </w:tcPr>
          <w:p>
            <w:pPr>
              <w:spacing w:after="0"/>
              <w:rPr>
                <w:sz w:val="19"/>
                <w:szCs w:val="19"/>
                <w:color w:val="auto"/>
              </w:rPr>
            </w:pPr>
          </w:p>
        </w:tc>
      </w:tr>
      <w:tr>
        <w:trPr>
          <w:trHeight w:val="21"/>
        </w:trPr>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7"/>
        </w:trPr>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21" w:lineRule="exact"/>
        <w:rPr>
          <w:sz w:val="20"/>
          <w:szCs w:val="20"/>
          <w:color w:val="auto"/>
        </w:rPr>
      </w:pPr>
    </w:p>
    <w:p>
      <w:pPr>
        <w:ind w:left="1620" w:right="86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common shares for the three months ended March 31, 2008 is equal to the number of shares outstanding immediately following the spin-off from IAC.</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months ended March 31, 2009 and 2008 (in thousands):</w:t>
      </w:r>
    </w:p>
    <w:p>
      <w:pPr>
        <w:spacing w:after="0" w:line="169"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3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2008</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w:t>
      </w:r>
    </w:p>
    <w:p>
      <w:pPr>
        <w:spacing w:after="0" w:line="17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three months ended March 31, 2009 is as follows: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6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w:t>
            </w: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44"/>
              <w:spacing w:after="0" w:line="129" w:lineRule="exact"/>
              <w:rPr>
                <w:sz w:val="20"/>
                <w:szCs w:val="20"/>
                <w:color w:val="auto"/>
              </w:rPr>
            </w:pPr>
            <w:r>
              <w:rPr>
                <w:rFonts w:ascii="Arial" w:cs="Arial" w:eastAsia="Arial" w:hAnsi="Arial"/>
                <w:sz w:val="14"/>
                <w:szCs w:val="14"/>
                <w:b w:val="1"/>
                <w:bCs w:val="1"/>
                <w:color w:val="auto"/>
                <w:w w:val="93"/>
              </w:rPr>
              <w:t>(In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1,870,707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(22,280)</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Outstanding at March 31, 2009</w:t>
            </w: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8.3</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1,837,470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14.54</w:t>
            </w:r>
          </w:p>
        </w:tc>
        <w:tc>
          <w:tcPr>
            <w:tcW w:w="1100" w:type="dxa"/>
            <w:vAlign w:val="bottom"/>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w:t>
            </w:r>
          </w:p>
        </w:tc>
        <w:tc>
          <w:tcPr>
            <w:tcW w:w="10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292,353</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9.56</w:t>
            </w:r>
          </w:p>
        </w:tc>
        <w:tc>
          <w:tcPr>
            <w:tcW w:w="110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March 31,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4"/>
          </w:tcPr>
          <w:p>
            <w:pPr>
              <w:ind w:left="820"/>
              <w:spacing w:after="0"/>
              <w:rPr>
                <w:sz w:val="20"/>
                <w:szCs w:val="20"/>
                <w:color w:val="auto"/>
              </w:rPr>
            </w:pPr>
            <w:r>
              <w:rPr>
                <w:rFonts w:ascii="Arial" w:cs="Arial" w:eastAsia="Arial" w:hAnsi="Arial"/>
                <w:sz w:val="14"/>
                <w:szCs w:val="14"/>
                <w:b w:val="1"/>
                <w:bCs w:val="1"/>
                <w:color w:val="auto"/>
                <w:w w:val="86"/>
              </w:rPr>
              <w:t>Options Outstanding</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Options Exercisable</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20" w:type="dxa"/>
            <w:vAlign w:val="bottom"/>
            <w:gridSpan w:val="2"/>
          </w:tcPr>
          <w:p>
            <w:pPr>
              <w:ind w:left="2140"/>
              <w:spacing w:after="0"/>
              <w:rPr>
                <w:sz w:val="20"/>
                <w:szCs w:val="20"/>
                <w:color w:val="auto"/>
              </w:rPr>
            </w:pPr>
            <w:r>
              <w:rPr>
                <w:rFonts w:ascii="Arial" w:cs="Arial" w:eastAsia="Arial" w:hAnsi="Arial"/>
                <w:sz w:val="14"/>
                <w:szCs w:val="14"/>
                <w:b w:val="1"/>
                <w:bCs w:val="1"/>
                <w:color w:val="auto"/>
                <w:w w:val="93"/>
              </w:rPr>
              <w:t>Range of Exercise Prices</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2009</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Life in Years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2009</w:t>
            </w:r>
          </w:p>
        </w:tc>
        <w:tc>
          <w:tcPr>
            <w:tcW w:w="1080" w:type="dxa"/>
            <w:vAlign w:val="bottom"/>
            <w:gridSpan w:val="3"/>
          </w:tcPr>
          <w:p>
            <w:pPr>
              <w:jc w:val="center"/>
              <w:ind w:left="62"/>
              <w:spacing w:after="0"/>
              <w:rPr>
                <w:sz w:val="20"/>
                <w:szCs w:val="20"/>
                <w:color w:val="auto"/>
              </w:rPr>
            </w:pPr>
            <w:r>
              <w:rPr>
                <w:rFonts w:ascii="Arial" w:cs="Arial" w:eastAsia="Arial" w:hAnsi="Arial"/>
                <w:sz w:val="14"/>
                <w:szCs w:val="14"/>
                <w:b w:val="1"/>
                <w:bCs w:val="1"/>
                <w:color w:val="auto"/>
                <w:w w:val="85"/>
              </w:rPr>
              <w:t>Exercise Price</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 to $4.99</w:t>
            </w:r>
          </w:p>
        </w:tc>
        <w:tc>
          <w:tcPr>
            <w:tcW w:w="5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23,265</w:t>
            </w: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23,265</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$5.00 to $7.45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21,415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21,414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6.66</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$7.46 to $9.99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937,988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$10.00 to $14.99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128,362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127,422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11.86</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$15.00 to $19.99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$20.00 to $24.99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48,465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6"/>
              </w:rPr>
              <w:t>Greater than $25.00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590,945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2"/>
                <w:szCs w:val="2"/>
                <w:color w:val="auto"/>
              </w:rPr>
            </w:pPr>
          </w:p>
        </w:tc>
        <w:tc>
          <w:tcPr>
            <w:tcW w:w="320" w:type="dxa"/>
            <w:vAlign w:val="bottom"/>
            <w:vMerge w:val="restart"/>
          </w:tcPr>
          <w:p>
            <w:pPr>
              <w:jc w:val="right"/>
              <w:ind w:right="44"/>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14.43</w:t>
            </w:r>
          </w:p>
        </w:tc>
        <w:tc>
          <w:tcPr>
            <w:tcW w:w="1100" w:type="dxa"/>
            <w:vAlign w:val="bottom"/>
            <w:gridSpan w:val="2"/>
          </w:tcPr>
          <w:p>
            <w:pPr>
              <w:spacing w:after="0"/>
              <w:rPr>
                <w:sz w:val="2"/>
                <w:szCs w:val="2"/>
                <w:color w:val="auto"/>
              </w:rPr>
            </w:pPr>
          </w:p>
        </w:tc>
        <w:tc>
          <w:tcPr>
            <w:tcW w:w="520" w:type="dxa"/>
            <w:vAlign w:val="bottom"/>
            <w:gridSpan w:val="2"/>
            <w:vMerge w:val="restart"/>
          </w:tcPr>
          <w:p>
            <w:pPr>
              <w:jc w:val="right"/>
              <w:ind w:right="46"/>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10.37</w:t>
            </w:r>
          </w:p>
        </w:tc>
        <w:tc>
          <w:tcPr>
            <w:tcW w:w="2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1,837,470</w:t>
            </w: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292,353</w:t>
            </w:r>
          </w:p>
        </w:tc>
        <w:tc>
          <w:tcPr>
            <w:tcW w:w="5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gridSpan w:val="2"/>
            <w:vMerge w:val="restart"/>
          </w:tcPr>
          <w:p>
            <w:pPr>
              <w:jc w:val="center"/>
              <w:ind w:left="114"/>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March 31, 2009 and changes during the three months ended March 31, 2009 were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RSUs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5"/>
          </w:tcPr>
          <w:p>
            <w:pPr>
              <w:ind w:left="22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37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center"/>
              <w:ind w:left="122"/>
              <w:spacing w:after="0" w:line="129" w:lineRule="exact"/>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1"/>
                <w:szCs w:val="11"/>
                <w:color w:val="auto"/>
              </w:rPr>
            </w:pPr>
          </w:p>
        </w:tc>
      </w:tr>
      <w:tr>
        <w:trPr>
          <w:trHeight w:val="149"/>
        </w:trPr>
        <w:tc>
          <w:tcPr>
            <w:tcW w:w="3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3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Grant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37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Number of</w:t>
            </w: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Date Fair</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820" w:type="dxa"/>
            <w:vAlign w:val="bottom"/>
            <w:gridSpan w:val="4"/>
          </w:tcPr>
          <w:p>
            <w:pPr>
              <w:jc w:val="center"/>
              <w:ind w:left="62"/>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61"/>
        </w:trPr>
        <w:tc>
          <w:tcPr>
            <w:tcW w:w="3780" w:type="dxa"/>
            <w:vAlign w:val="bottom"/>
          </w:tcPr>
          <w:p>
            <w:pPr>
              <w:spacing w:after="0"/>
              <w:rPr>
                <w:sz w:val="14"/>
                <w:szCs w:val="14"/>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380,205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7.46</w:t>
            </w:r>
          </w:p>
        </w:tc>
        <w:tc>
          <w:tcPr>
            <w:tcW w:w="6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210,589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5.00</w:t>
            </w:r>
          </w:p>
        </w:tc>
        <w:tc>
          <w:tcPr>
            <w:tcW w:w="6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(32,728)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11.53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3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549,077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5.99</w:t>
            </w:r>
          </w:p>
        </w:tc>
        <w:tc>
          <w:tcPr>
            <w:tcW w:w="60" w:type="dxa"/>
            <w:vAlign w:val="bottom"/>
            <w:shd w:val="clear" w:color="auto" w:fill="CCEEFF"/>
          </w:tcPr>
          <w:p>
            <w:pPr>
              <w:spacing w:after="0"/>
              <w:rPr>
                <w:sz w:val="18"/>
                <w:szCs w:val="18"/>
                <w:color w:val="auto"/>
              </w:rPr>
            </w:pPr>
          </w:p>
        </w:tc>
      </w:tr>
      <w:tr>
        <w:trPr>
          <w:trHeight w:val="27"/>
        </w:trPr>
        <w:tc>
          <w:tcPr>
            <w:tcW w:w="37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April 28, 2009 the shareholders of the Company approved the Second Amended and Restated 2008 Stock and Annual Incentive Plan. The Stock Plan effects the following amendments to our Amended and Restated 2008 Stock and Annual Incentive Plan:</w:t>
      </w:r>
    </w:p>
    <w:p>
      <w:pPr>
        <w:spacing w:after="0" w:line="199" w:lineRule="exact"/>
        <w:rPr>
          <w:sz w:val="20"/>
          <w:szCs w:val="20"/>
          <w:color w:val="auto"/>
        </w:rPr>
      </w:pPr>
    </w:p>
    <w:p>
      <w:pPr>
        <w:ind w:left="1080" w:right="14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by 550,000 the maximum number of shares that may be delivered pursuant to awards under the Stock Plan to 2,750,000 (plus those shares issuable upon the exercise or vesting of awards under IAC incentive plans that were converted into awards denominated in shares of our common stock in connection with the spin-off);</w:t>
      </w:r>
    </w:p>
    <w:p>
      <w:pPr>
        <w:spacing w:after="0" w:line="2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by 366,667 the maximum number of shares that may be granted pursuant to options intended to be "incentive stock options" to 1,833,333;</w:t>
      </w:r>
    </w:p>
    <w:p>
      <w:pPr>
        <w:spacing w:after="0" w:line="199"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Increases by 366,667 the maximum number of shares that may be subject to awards granted to any individual participant to 1,833,333 (and clarifies that shares subject to awards that are forfeited, are terminated, expire or lapse are not counted against such individual limit);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Adds a new provision to the effect that notwithstanding anything in the Stock Plan to the contrary,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Chief Executive Officer may surrender for cancellation an outstanding stock option to purchase 589,850 shares with an exercise price of $25.43 per share, and</w:t>
      </w:r>
    </w:p>
    <w:p>
      <w:pPr>
        <w:spacing w:after="0" w:line="199"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shares subject to such surrendered stock option will be available for future awards under the plan (including to our Chief Executive Officer) immediately following such surrender.</w:t>
      </w:r>
    </w:p>
    <w:p>
      <w:pPr>
        <w:spacing w:after="0" w:line="186" w:lineRule="exact"/>
        <w:rPr>
          <w:sz w:val="20"/>
          <w:szCs w:val="20"/>
          <w:color w:val="auto"/>
        </w:rPr>
      </w:pPr>
    </w:p>
    <w:p>
      <w:pPr>
        <w:jc w:val="both"/>
        <w:ind w:right="560" w:firstLine="351"/>
        <w:spacing w:after="0" w:line="370" w:lineRule="auto"/>
        <w:rPr>
          <w:sz w:val="20"/>
          <w:szCs w:val="20"/>
          <w:color w:val="auto"/>
        </w:rPr>
      </w:pPr>
      <w:r>
        <w:rPr>
          <w:rFonts w:ascii="Arial" w:cs="Arial" w:eastAsia="Arial" w:hAnsi="Arial"/>
          <w:sz w:val="15"/>
          <w:szCs w:val="15"/>
          <w:color w:val="auto"/>
        </w:rPr>
        <w:t>On April 28, 2009, the Company also entered into an Option Cancellation Agreement with the Chief Executive Officer, in which he surrendered for cancellation in its entirety such stock option award to purchase 589,850 shares of the Company's common stock at an exercise price of $25.43 per share.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Tree.com adopted SFAS No. 157, "Fair Value Measurements" ("SFAS No. 157") effective January 1, 2008. In accordance with SFAS No. 157, Tree.com categorizes its assets and liabilities measured at fair value into a fair value hierarchy that prioritizes the assumptions used in pricing the asset or liability into the following three levels:</w:t>
      </w:r>
    </w:p>
    <w:p>
      <w:pPr>
        <w:spacing w:after="0" w:line="20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presents Tree.com's assets and liabilities that are measured at fair value on a recurring basis at March 31, 2009 and December 31, 2008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5"/>
              </w:rPr>
              <w:t>As of March 31, 2009</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9"/>
          </w:tcPr>
          <w:p>
            <w:pPr>
              <w:jc w:val="right"/>
              <w:ind w:right="42"/>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Quoted Market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2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2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91"/>
              </w:rPr>
              <w:t>Identical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20" w:type="dxa"/>
            <w:vAlign w:val="bottom"/>
          </w:tcPr>
          <w:p>
            <w:pPr>
              <w:jc w:val="center"/>
              <w:ind w:left="126"/>
              <w:spacing w:after="0" w:line="149" w:lineRule="exact"/>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Inputs</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Total Fair Value</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2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Measurements</w:t>
            </w: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720" w:type="dxa"/>
            <w:vAlign w:val="bottom"/>
            <w:shd w:val="clear" w:color="auto" w:fill="CCEEFF"/>
          </w:tcPr>
          <w:p>
            <w:pPr>
              <w:jc w:val="right"/>
              <w:ind w:right="42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82,838</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83,109</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5"/>
              </w:rPr>
              <w:t>Interest rate lock commitments ("IRLCs")</w:t>
            </w:r>
          </w:p>
        </w:tc>
        <w:tc>
          <w:tcPr>
            <w:tcW w:w="7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8,781</w:t>
            </w:r>
          </w:p>
        </w:tc>
        <w:tc>
          <w:tcPr>
            <w:tcW w:w="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8,781</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restart"/>
          </w:tcPr>
          <w:p>
            <w:pPr>
              <w:ind w:left="21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2"/>
            <w:vMerge w:val="continue"/>
          </w:tcPr>
          <w:p>
            <w:pPr>
              <w:spacing w:after="0"/>
              <w:rPr>
                <w:sz w:val="18"/>
                <w:szCs w:val="18"/>
                <w:color w:val="auto"/>
              </w:rPr>
            </w:pPr>
          </w:p>
        </w:tc>
        <w:tc>
          <w:tcPr>
            <w:tcW w:w="720" w:type="dxa"/>
            <w:vAlign w:val="bottom"/>
            <w:tcBorders>
              <w:top w:val="single" w:sz="8" w:color="auto"/>
            </w:tcBorders>
          </w:tcPr>
          <w:p>
            <w:pPr>
              <w:jc w:val="right"/>
              <w:ind w:right="426"/>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80,358</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89,385</w:t>
            </w: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20" w:type="dxa"/>
            <w:vAlign w:val="bottom"/>
          </w:tcPr>
          <w:p>
            <w:pPr>
              <w:jc w:val="right"/>
              <w:ind w:right="126"/>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81"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84"/>
              </w:rPr>
              <w:t>As of December 31, 2008</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9"/>
          </w:tcPr>
          <w:p>
            <w:pPr>
              <w:jc w:val="right"/>
              <w:ind w:right="42"/>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Quoted Market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2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72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91"/>
              </w:rPr>
              <w:t>Identical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72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Inputs</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Total Fair Value</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720" w:type="dxa"/>
            <w:vAlign w:val="bottom"/>
            <w:tcBorders>
              <w:bottom w:val="single" w:sz="8" w:color="auto"/>
            </w:tcBorders>
          </w:tcPr>
          <w:p>
            <w:pPr>
              <w:jc w:val="center"/>
              <w:ind w:left="127"/>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2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Measurements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720" w:type="dxa"/>
            <w:vAlign w:val="bottom"/>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84,824</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w:t>
            </w:r>
          </w:p>
        </w:tc>
        <w:tc>
          <w:tcPr>
            <w:tcW w:w="3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85,638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5"/>
              </w:rPr>
              <w:t>Interest rate lock commitments ("IRLCs")</w:t>
            </w:r>
          </w:p>
        </w:tc>
        <w:tc>
          <w:tcPr>
            <w:tcW w:w="7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5,904</w:t>
            </w:r>
          </w:p>
        </w:tc>
        <w:tc>
          <w:tcPr>
            <w:tcW w:w="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720" w:type="dxa"/>
            <w:vAlign w:val="bottom"/>
            <w:tcBorders>
              <w:top w:val="single" w:sz="8" w:color="auto"/>
            </w:tcBorders>
          </w:tcPr>
          <w:p>
            <w:pPr>
              <w:jc w:val="right"/>
              <w:ind w:right="427"/>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82,940</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three months ended March 31, 2009 and 2008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5"/>
              </w:rPr>
              <w:t>Ended March 31, 2009</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Lock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Loans</w:t>
            </w: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Delivery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Held</w:t>
            </w: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for Sale</w:t>
            </w: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4800" w:type="dxa"/>
            <w:vAlign w:val="bottom"/>
            <w:shd w:val="clear" w:color="auto" w:fill="CCEEFF"/>
          </w:tcPr>
          <w:p>
            <w:pPr>
              <w:jc w:val="right"/>
              <w:ind w:right="2832"/>
              <w:spacing w:after="0"/>
              <w:rPr>
                <w:sz w:val="20"/>
                <w:szCs w:val="20"/>
                <w:color w:val="auto"/>
              </w:rPr>
            </w:pPr>
            <w:r>
              <w:rPr>
                <w:rFonts w:ascii="Arial" w:cs="Arial" w:eastAsia="Arial" w:hAnsi="Arial"/>
                <w:sz w:val="18"/>
                <w:szCs w:val="18"/>
                <w:color w:val="auto"/>
                <w:w w:val="84"/>
              </w:rPr>
              <w:t>Balance at January 1, 2009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814</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w w:val="95"/>
              </w:rPr>
              <w:t>Total net gains (realized and unrealized) included in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Purchase, sales, issuances and settlements,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(11,238)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in/out of Level 3,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gridSpan w:val="2"/>
            <w:vMerge w:val="restart"/>
          </w:tcPr>
          <w:p>
            <w:pPr>
              <w:jc w:val="right"/>
              <w:ind w:right="2832"/>
              <w:spacing w:after="0"/>
              <w:rPr>
                <w:sz w:val="20"/>
                <w:szCs w:val="20"/>
                <w:color w:val="auto"/>
              </w:rPr>
            </w:pPr>
            <w:r>
              <w:rPr>
                <w:rFonts w:ascii="Arial" w:cs="Arial" w:eastAsia="Arial" w:hAnsi="Arial"/>
                <w:sz w:val="18"/>
                <w:szCs w:val="18"/>
                <w:color w:val="auto"/>
              </w:rPr>
              <w:t>Balance at March 31, 2009</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80" w:type="dxa"/>
            <w:vAlign w:val="bottom"/>
            <w:gridSpan w:val="2"/>
            <w:vMerge w:val="continue"/>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3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7"/>
              </w:rPr>
              <w:t>Ended March 31, 2008</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Commitments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Loans</w:t>
            </w: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Delivery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Held</w:t>
            </w: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Contracts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5"/>
              </w:rPr>
              <w:t>for Sale</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480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w w:val="85"/>
              </w:rPr>
              <w:t>Balance at January 1, 2008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w w:val="95"/>
              </w:rPr>
              <w:t>Total net gains (realized and unrealized) included in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16,733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of IRLCs to closed loans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Purchase, sales, issuances and settlements,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(6,074)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in/out of Level 3,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4800" w:type="dxa"/>
            <w:vAlign w:val="bottom"/>
            <w:vMerge w:val="restart"/>
          </w:tcPr>
          <w:p>
            <w:pPr>
              <w:jc w:val="right"/>
              <w:ind w:right="2812"/>
              <w:spacing w:after="0"/>
              <w:rPr>
                <w:sz w:val="20"/>
                <w:szCs w:val="20"/>
                <w:color w:val="auto"/>
              </w:rPr>
            </w:pPr>
            <w:r>
              <w:rPr>
                <w:rFonts w:ascii="Arial" w:cs="Arial" w:eastAsia="Arial" w:hAnsi="Arial"/>
                <w:sz w:val="18"/>
                <w:szCs w:val="18"/>
                <w:color w:val="auto"/>
                <w:w w:val="87"/>
              </w:rPr>
              <w:t>Balance at March 31, 2008</w:t>
            </w:r>
          </w:p>
        </w:tc>
        <w:tc>
          <w:tcPr>
            <w:tcW w:w="12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80" w:type="dxa"/>
            <w:vAlign w:val="bottom"/>
            <w:gridSpan w:val="2"/>
            <w:vMerge w:val="restart"/>
          </w:tcPr>
          <w:p>
            <w:pPr>
              <w:jc w:val="right"/>
              <w:ind w:right="129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8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presents the gains included in earnings for the three months ended March 31, 2009 and 2008 relating to Tree.com's assets and liabilities that are measured at fair value on a recurring basis using significant unobservable inputs (Level 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Ended March 31, 2009</w:t>
            </w:r>
          </w:p>
        </w:tc>
        <w:tc>
          <w:tcPr>
            <w:tcW w:w="0" w:type="dxa"/>
            <w:vAlign w:val="bottom"/>
          </w:tcPr>
          <w:p>
            <w:pPr>
              <w:spacing w:after="0"/>
              <w:rPr>
                <w:sz w:val="1"/>
                <w:szCs w:val="1"/>
                <w:color w:val="auto"/>
              </w:rPr>
            </w:pPr>
          </w:p>
        </w:tc>
      </w:tr>
      <w:tr>
        <w:trPr>
          <w:trHeight w:val="129"/>
        </w:trPr>
        <w:tc>
          <w:tcPr>
            <w:tcW w:w="9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Lock</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1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20" w:type="dxa"/>
            <w:vAlign w:val="bottom"/>
          </w:tcPr>
          <w:p>
            <w:pPr>
              <w:spacing w:after="0"/>
              <w:rPr>
                <w:sz w:val="12"/>
                <w:szCs w:val="12"/>
                <w:color w:val="auto"/>
              </w:rPr>
            </w:pPr>
          </w:p>
        </w:tc>
        <w:tc>
          <w:tcPr>
            <w:tcW w:w="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Loans</w:t>
            </w: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Held</w:t>
            </w:r>
          </w:p>
        </w:tc>
        <w:tc>
          <w:tcPr>
            <w:tcW w:w="0" w:type="dxa"/>
            <w:vAlign w:val="bottom"/>
          </w:tcPr>
          <w:p>
            <w:pPr>
              <w:spacing w:after="0"/>
              <w:rPr>
                <w:sz w:val="1"/>
                <w:szCs w:val="1"/>
                <w:color w:val="auto"/>
              </w:rPr>
            </w:pPr>
          </w:p>
        </w:tc>
      </w:tr>
      <w:tr>
        <w:trPr>
          <w:trHeight w:val="161"/>
        </w:trPr>
        <w:tc>
          <w:tcPr>
            <w:tcW w:w="9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Contracts</w:t>
            </w:r>
          </w:p>
        </w:tc>
        <w:tc>
          <w:tcPr>
            <w:tcW w:w="220" w:type="dxa"/>
            <w:vAlign w:val="bottom"/>
            <w:gridSpan w:val="2"/>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for Sale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included in earnings, which are 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9600" w:type="dxa"/>
            <w:vAlign w:val="bottom"/>
            <w:vMerge w:val="restart"/>
          </w:tcPr>
          <w:p>
            <w:pPr>
              <w:spacing w:after="0"/>
              <w:rPr>
                <w:sz w:val="20"/>
                <w:szCs w:val="20"/>
                <w:color w:val="auto"/>
              </w:rPr>
            </w:pPr>
            <w:r>
              <w:rPr>
                <w:rFonts w:ascii="Arial" w:cs="Arial" w:eastAsia="Arial" w:hAnsi="Arial"/>
                <w:sz w:val="18"/>
                <w:szCs w:val="18"/>
                <w:color w:val="auto"/>
                <w:w w:val="98"/>
              </w:rPr>
              <w:t>Change in unrealized gains relating to assets and liabilities still held at March 31, 2009, which are included in revenue from</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600" w:type="dxa"/>
            <w:vAlign w:val="bottom"/>
          </w:tcPr>
          <w:p>
            <w:pPr>
              <w:ind w:left="180"/>
              <w:spacing w:after="0"/>
              <w:rPr>
                <w:sz w:val="20"/>
                <w:szCs w:val="20"/>
                <w:color w:val="auto"/>
              </w:rPr>
            </w:pPr>
            <w:r>
              <w:rPr>
                <w:rFonts w:ascii="Arial" w:cs="Arial" w:eastAsia="Arial" w:hAnsi="Arial"/>
                <w:sz w:val="18"/>
                <w:szCs w:val="18"/>
                <w:color w:val="auto"/>
              </w:rPr>
              <w:t>LendingTree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8,756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9"/>
        </w:trPr>
        <w:tc>
          <w:tcPr>
            <w:tcW w:w="9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9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Ended March 31, 2008</w:t>
            </w:r>
          </w:p>
        </w:tc>
        <w:tc>
          <w:tcPr>
            <w:tcW w:w="0" w:type="dxa"/>
            <w:vAlign w:val="bottom"/>
          </w:tcPr>
          <w:p>
            <w:pPr>
              <w:spacing w:after="0"/>
              <w:rPr>
                <w:sz w:val="1"/>
                <w:szCs w:val="1"/>
                <w:color w:val="auto"/>
              </w:rPr>
            </w:pPr>
          </w:p>
        </w:tc>
      </w:tr>
      <w:tr>
        <w:trPr>
          <w:trHeight w:val="129"/>
        </w:trPr>
        <w:tc>
          <w:tcPr>
            <w:tcW w:w="9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Lock</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1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Commitments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and Forward</w:t>
            </w:r>
          </w:p>
        </w:tc>
        <w:tc>
          <w:tcPr>
            <w:tcW w:w="120" w:type="dxa"/>
            <w:vAlign w:val="bottom"/>
          </w:tcPr>
          <w:p>
            <w:pPr>
              <w:spacing w:after="0"/>
              <w:rPr>
                <w:sz w:val="12"/>
                <w:szCs w:val="12"/>
                <w:color w:val="auto"/>
              </w:rPr>
            </w:pPr>
          </w:p>
        </w:tc>
        <w:tc>
          <w:tcPr>
            <w:tcW w:w="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Loans</w:t>
            </w: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Held</w:t>
            </w:r>
          </w:p>
        </w:tc>
        <w:tc>
          <w:tcPr>
            <w:tcW w:w="0" w:type="dxa"/>
            <w:vAlign w:val="bottom"/>
          </w:tcPr>
          <w:p>
            <w:pPr>
              <w:spacing w:after="0"/>
              <w:rPr>
                <w:sz w:val="1"/>
                <w:szCs w:val="1"/>
                <w:color w:val="auto"/>
              </w:rPr>
            </w:pPr>
          </w:p>
        </w:tc>
      </w:tr>
      <w:tr>
        <w:trPr>
          <w:trHeight w:val="161"/>
        </w:trPr>
        <w:tc>
          <w:tcPr>
            <w:tcW w:w="9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Contracts</w:t>
            </w:r>
          </w:p>
        </w:tc>
        <w:tc>
          <w:tcPr>
            <w:tcW w:w="220" w:type="dxa"/>
            <w:vAlign w:val="bottom"/>
            <w:gridSpan w:val="2"/>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for Sale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included in earnings, which are included in revenue from 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00" w:type="dxa"/>
            <w:vAlign w:val="bottom"/>
            <w:vMerge w:val="restart"/>
          </w:tcPr>
          <w:p>
            <w:pPr>
              <w:spacing w:after="0"/>
              <w:rPr>
                <w:sz w:val="20"/>
                <w:szCs w:val="20"/>
                <w:color w:val="auto"/>
              </w:rPr>
            </w:pPr>
            <w:r>
              <w:rPr>
                <w:rFonts w:ascii="Arial" w:cs="Arial" w:eastAsia="Arial" w:hAnsi="Arial"/>
                <w:sz w:val="18"/>
                <w:szCs w:val="18"/>
                <w:color w:val="auto"/>
                <w:w w:val="98"/>
              </w:rPr>
              <w:t>Change in unrealized gains relating to assets and liabilities still held at March 31, 2008, which are included in revenue from</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600" w:type="dxa"/>
            <w:vAlign w:val="bottom"/>
          </w:tcPr>
          <w:p>
            <w:pPr>
              <w:ind w:left="180"/>
              <w:spacing w:after="0"/>
              <w:rPr>
                <w:sz w:val="20"/>
                <w:szCs w:val="20"/>
                <w:color w:val="auto"/>
              </w:rPr>
            </w:pPr>
            <w:r>
              <w:rPr>
                <w:rFonts w:ascii="Arial" w:cs="Arial" w:eastAsia="Arial" w:hAnsi="Arial"/>
                <w:sz w:val="18"/>
                <w:szCs w:val="18"/>
                <w:color w:val="auto"/>
              </w:rPr>
              <w:t>LendingTree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5,264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9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LendingTree Loans hedges the changes in fair value of certain loans held for sale primarily by entering into mortgage forward delivery contracts. Although LendingTree Loans continued to enter into forward delivery contracts for risk management purposes, effective April 1, 2007 it no longer designated these derivatives as hedges for accounting purposes. When hedge accounting was discontinued, the affected loans held for sale were no longer adjusted for changes in fair value. However, the changes in fair value of the forward delivery contracts continued to be recognized in current earnings as a component of LendingTree Loans revenue.</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in accordance with SFAS No. 133. Accordingly, LendingTree Loans determines the fair value of IRLCs using current secondary market prices for underlying loans with similar coupons, maturity and credit quality, subject to the anticipated loan funding probability. The fair value of IRLCs is subject to change primarily due to changes in interest rates and the loan funding probability. Under LendingTree Loans' risk management policy, LendingTree Loans hedges the changes in fair value of IRLCs primarily by entering into mortgage forward delivery contracts which can reduce the volatility of economic outcomes. IRLCs and the related hedging instruments are recorded at fair value with changes in fair value being recorded in current earnings as a component of revenue from the origination and sale of loans in the consolidated statement of operations. At March 31, 2009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there were $375.3 million and $252.9 million, respectively, of IRLCs notional value outstanding.</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Prior to the adoption of SFAS No. 157 the recognition of gains and losses at the inception of a derivative contract were prohibited unless the fair value of the contract was evidenced by a quoted price in an active market. As no active market exists for IRLCs, such day one gains and losses were not recognized until the related loan was sold. Prior to January 1, 2008, guidance also prohibited including the value of servicing the loan in calculating the fair value of an IRLC. Such guidance was rescinded by Staff Accounting Bulletin No. 109, "Written Loan Commitments Recorded at Fair Value Through Earnings" ("SAB 109"). Accordingly, with the adoption of SFAS No. 157 and SAB 109 on January 1, 2008, the day one gains and servicing value, adjusted by the loan funding probability, are included in the value of IRLCs.</w:t>
      </w:r>
    </w:p>
    <w:p>
      <w:pPr>
        <w:spacing w:after="0" w:line="19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under SFAS No. 133, as of March 31, 2009 and December 31, 2008 (in thousands):</w:t>
      </w:r>
    </w:p>
    <w:p>
      <w:pPr>
        <w:spacing w:after="0" w:line="23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March 31, 2009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December 31, 2008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Balance Sheet Location</w:t>
            </w:r>
          </w:p>
        </w:tc>
        <w:tc>
          <w:tcPr>
            <w:tcW w:w="7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2"/>
                <w:szCs w:val="12"/>
                <w:color w:val="auto"/>
              </w:rPr>
            </w:pPr>
          </w:p>
        </w:tc>
        <w:tc>
          <w:tcPr>
            <w:tcW w:w="3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Balance Sheet Location</w:t>
            </w:r>
          </w:p>
        </w:tc>
        <w:tc>
          <w:tcPr>
            <w:tcW w:w="7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89"/>
              </w:rPr>
              <w:t>Fair Value</w:t>
            </w:r>
          </w:p>
        </w:tc>
        <w:tc>
          <w:tcPr>
            <w:tcW w:w="60" w:type="dxa"/>
            <w:vAlign w:val="bottom"/>
          </w:tcPr>
          <w:p>
            <w:pPr>
              <w:spacing w:after="0"/>
              <w:rPr>
                <w:sz w:val="12"/>
                <w:szCs w:val="12"/>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Interest Rate Lock Commitments</w:t>
            </w:r>
          </w:p>
        </w:tc>
        <w:tc>
          <w:tcPr>
            <w:tcW w:w="80" w:type="dxa"/>
            <w:vAlign w:val="bottom"/>
            <w:shd w:val="clear" w:color="auto" w:fill="CCEEFF"/>
          </w:tcPr>
          <w:p>
            <w:pPr>
              <w:spacing w:after="0"/>
              <w:rPr>
                <w:sz w:val="18"/>
                <w:szCs w:val="18"/>
                <w:color w:val="auto"/>
              </w:rPr>
            </w:pPr>
          </w:p>
        </w:tc>
        <w:tc>
          <w:tcPr>
            <w:tcW w:w="3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Prepaid and other current assets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200" w:type="dxa"/>
            <w:vAlign w:val="bottom"/>
            <w:shd w:val="clear" w:color="auto" w:fill="CCEEFF"/>
          </w:tcPr>
          <w:p>
            <w:pPr>
              <w:spacing w:after="0"/>
              <w:rPr>
                <w:sz w:val="18"/>
                <w:szCs w:val="18"/>
                <w:color w:val="auto"/>
              </w:rPr>
            </w:pPr>
          </w:p>
        </w:tc>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Prepaid and other current assets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60" w:type="dxa"/>
            <w:vAlign w:val="bottom"/>
            <w:shd w:val="clear" w:color="auto" w:fill="CCEEFF"/>
          </w:tcPr>
          <w:p>
            <w:pPr>
              <w:spacing w:after="0"/>
              <w:rPr>
                <w:sz w:val="18"/>
                <w:szCs w:val="18"/>
                <w:color w:val="auto"/>
              </w:rPr>
            </w:pPr>
          </w:p>
        </w:tc>
      </w:tr>
      <w:tr>
        <w:trPr>
          <w:trHeight w:val="431"/>
        </w:trPr>
        <w:tc>
          <w:tcPr>
            <w:tcW w:w="242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85"/>
              </w:rPr>
              <w:t>Prepaid and other current assets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4"/>
              </w:rPr>
              <w:t>Prepaid and other current assets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4"/>
                <w:szCs w:val="24"/>
                <w:color w:val="auto"/>
              </w:rPr>
            </w:pPr>
          </w:p>
        </w:tc>
      </w:tr>
      <w:tr>
        <w:trPr>
          <w:trHeight w:val="433"/>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1"/>
              </w:rPr>
              <w:t>Interest Rate Lock Commitments</w:t>
            </w:r>
          </w:p>
        </w:tc>
        <w:tc>
          <w:tcPr>
            <w:tcW w:w="3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Accrued expenses and other current liabilities</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(24)  Accrued expenses and other current liabilities</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430"/>
        </w:trPr>
        <w:tc>
          <w:tcPr>
            <w:tcW w:w="242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3300" w:type="dxa"/>
            <w:vAlign w:val="bottom"/>
            <w:gridSpan w:val="2"/>
          </w:tcPr>
          <w:p>
            <w:pPr>
              <w:jc w:val="center"/>
              <w:spacing w:after="0"/>
              <w:rPr>
                <w:sz w:val="20"/>
                <w:szCs w:val="20"/>
                <w:color w:val="auto"/>
              </w:rPr>
            </w:pPr>
            <w:r>
              <w:rPr>
                <w:rFonts w:ascii="Arial" w:cs="Arial" w:eastAsia="Arial" w:hAnsi="Arial"/>
                <w:sz w:val="18"/>
                <w:szCs w:val="18"/>
                <w:color w:val="auto"/>
                <w:w w:val="88"/>
              </w:rPr>
              <w:t>Accrued expenses and other current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3"/>
          </w:tcPr>
          <w:p>
            <w:pPr>
              <w:jc w:val="right"/>
              <w:spacing w:after="0"/>
              <w:rPr>
                <w:sz w:val="20"/>
                <w:szCs w:val="20"/>
                <w:color w:val="auto"/>
              </w:rPr>
            </w:pPr>
            <w:r>
              <w:rPr>
                <w:rFonts w:ascii="Arial" w:cs="Arial" w:eastAsia="Arial" w:hAnsi="Arial"/>
                <w:sz w:val="18"/>
                <w:szCs w:val="18"/>
                <w:color w:val="auto"/>
                <w:w w:val="89"/>
              </w:rPr>
              <w:t>(2,564)  Accrued expenses and other current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(2,155)</w:t>
            </w:r>
          </w:p>
        </w:tc>
      </w:tr>
      <w:tr>
        <w:trPr>
          <w:trHeight w:val="29"/>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42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8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200" w:type="dxa"/>
            <w:vAlign w:val="bottom"/>
            <w:shd w:val="clear" w:color="auto" w:fill="CCEEFF"/>
          </w:tcPr>
          <w:p>
            <w:pPr>
              <w:spacing w:after="0"/>
              <w:rPr>
                <w:sz w:val="24"/>
                <w:szCs w:val="24"/>
                <w:color w:val="auto"/>
              </w:rPr>
            </w:pPr>
          </w:p>
        </w:tc>
        <w:tc>
          <w:tcPr>
            <w:tcW w:w="32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24"/>
                <w:szCs w:val="24"/>
                <w:color w:val="auto"/>
              </w:rPr>
            </w:pPr>
          </w:p>
        </w:tc>
      </w:tr>
      <w:tr>
        <w:trPr>
          <w:trHeight w:val="27"/>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gain/(loss) recognized in the consolidated statements of operations for derivatives for the three months ended March 31, 2009 and 2008 was as follows (in thousands):</w:t>
      </w:r>
    </w:p>
    <w:p>
      <w:pPr>
        <w:spacing w:after="0" w:line="236"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Location of Gain/(Loss) Recognized</w:t>
            </w:r>
          </w:p>
        </w:tc>
        <w:tc>
          <w:tcPr>
            <w:tcW w:w="14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78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March 31,</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Income on Derivative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22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LendingTree Loans revenue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$29,286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$14,944</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LendingTree Loans revenue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$28,305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$14,737</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Tree.com adopted SFAS No. 159, "The Fair Value Option for Financial Assets and Financial Liabilities Including and amendment of FASB Statement No. 115" ("SFAS No. 159"), effective January 1, 2008. SFAS No. 159 permits entities to choose to measure certain financial instruments at fair value with the objective of reducing both the complexity in the accounting for financial instruments and the volatility in earnings caused by measuring related assets and liabilities differently. Upon adoption, Tree.com elected to account for loans held for sale originated on or after January 1, 2008 at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fair value. Electing the fair value option allows a better offset of the changes in fair values of the loans and the forward delivery contracts used to economically hedge them without the burden of complying with the requirements for hedge accounting under SFAS No. 133.</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Tree.com did not elect the fair value option on loans held for sale originated prior to January 1, 2008 and on loans that were repurchased from investors on or subsequent to that date. As of March 31, 2009 and December 31, 2008, 58 and 60 such loans, respectively, all of which were impaired, were included in loans held for sale and were carried at the lower of cost or market ("LOCOM") value assessed on an individual loan basis. The market value (or fair value) of these impaired loans at March 31, 2009 and December 31, 2008, measured on a non-recurring basis using significant unobservable inputs (Level 3), was $2.0 and $2.2 million, respectively. This fair value measurement is management's best estimate of the market value of such loans and considers current bids in the secondary market for similar loans.</w:t>
      </w:r>
    </w:p>
    <w:p>
      <w:pPr>
        <w:spacing w:after="0" w:line="19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March 31, 2009 and December 31, 2008 (in thousands):</w:t>
      </w:r>
    </w:p>
    <w:p>
      <w:pPr>
        <w:spacing w:after="0" w:line="23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center"/>
              <w:ind w:left="480"/>
              <w:spacing w:after="0"/>
              <w:rPr>
                <w:sz w:val="20"/>
                <w:szCs w:val="20"/>
                <w:color w:val="auto"/>
              </w:rPr>
            </w:pPr>
            <w:r>
              <w:rPr>
                <w:rFonts w:ascii="Arial" w:cs="Arial" w:eastAsia="Arial" w:hAnsi="Arial"/>
                <w:sz w:val="14"/>
                <w:szCs w:val="14"/>
                <w:b w:val="1"/>
                <w:bCs w:val="1"/>
                <w:color w:val="auto"/>
                <w:w w:val="89"/>
              </w:rPr>
              <w:t>As of March 31, 2009</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Loans Held</w:t>
            </w:r>
          </w:p>
        </w:tc>
        <w:tc>
          <w:tcPr>
            <w:tcW w:w="200" w:type="dxa"/>
            <w:vAlign w:val="bottom"/>
          </w:tcPr>
          <w:p>
            <w:pPr>
              <w:spacing w:after="0"/>
              <w:rPr>
                <w:sz w:val="11"/>
                <w:szCs w:val="11"/>
                <w:color w:val="auto"/>
              </w:rPr>
            </w:pPr>
          </w:p>
        </w:tc>
        <w:tc>
          <w:tcPr>
            <w:tcW w:w="980" w:type="dxa"/>
            <w:vAlign w:val="bottom"/>
            <w:gridSpan w:val="4"/>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Loans Held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for Sale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for Sale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—Measured</w:t>
            </w:r>
          </w:p>
        </w:tc>
        <w:tc>
          <w:tcPr>
            <w:tcW w:w="20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—Measured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Total Loans</w:t>
            </w: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at</w:t>
            </w: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Held For</w:t>
            </w: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5"/>
              </w:rPr>
              <w:t>LOCOM</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Sale</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86,929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Difference between fair value and aggregate unpaid principal balance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(3,745)</w:t>
            </w: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85,149</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left="340"/>
              <w:spacing w:after="0"/>
              <w:rPr>
                <w:sz w:val="20"/>
                <w:szCs w:val="20"/>
                <w:color w:val="auto"/>
              </w:rPr>
            </w:pPr>
            <w:r>
              <w:rPr>
                <w:rFonts w:ascii="Arial" w:cs="Arial" w:eastAsia="Arial" w:hAnsi="Arial"/>
                <w:sz w:val="14"/>
                <w:szCs w:val="14"/>
                <w:b w:val="1"/>
                <w:bCs w:val="1"/>
                <w:color w:val="auto"/>
                <w:w w:val="86"/>
              </w:rPr>
              <w:t>As of December 31, 2008</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Loans Held</w:t>
            </w:r>
          </w:p>
        </w:tc>
        <w:tc>
          <w:tcPr>
            <w:tcW w:w="200" w:type="dxa"/>
            <w:vAlign w:val="bottom"/>
          </w:tcPr>
          <w:p>
            <w:pPr>
              <w:spacing w:after="0"/>
              <w:rPr>
                <w:sz w:val="11"/>
                <w:szCs w:val="11"/>
                <w:color w:val="auto"/>
              </w:rPr>
            </w:pPr>
          </w:p>
        </w:tc>
        <w:tc>
          <w:tcPr>
            <w:tcW w:w="9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Loans Held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for Sale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for Sale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—Measured</w:t>
            </w:r>
          </w:p>
        </w:tc>
        <w:tc>
          <w:tcPr>
            <w:tcW w:w="2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—Measured</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Total Loans</w:t>
            </w: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at</w:t>
            </w:r>
          </w:p>
        </w:tc>
        <w:tc>
          <w:tcPr>
            <w:tcW w:w="8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Held For</w:t>
            </w: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5"/>
              </w:rPr>
              <w:t>LOCOM</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Sale</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89,043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6"/>
              </w:rPr>
              <w:t>Difference between fair value and aggregate unpaid principal balance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(3,726)</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(3,726)</w:t>
            </w: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87,835</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During the three months ended March 31, 2009 and 2008, the change in fair value of loans held for sale for which the fair value option has been elected was a loss of $0.4 million and $0.1 million, respectively, and is included as a component of LendingTree Loans revenue in the accompanying consolidated statements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right="2520" w:firstLine="2930"/>
        <w:spacing w:after="0" w:line="503" w:lineRule="auto"/>
        <w:rPr>
          <w:sz w:val="20"/>
          <w:szCs w:val="20"/>
          <w:color w:val="auto"/>
        </w:rPr>
      </w:pPr>
      <w:r>
        <w:rPr>
          <w:rFonts w:ascii="Arial" w:cs="Arial" w:eastAsia="Arial" w:hAnsi="Arial"/>
          <w:sz w:val="18"/>
          <w:szCs w:val="18"/>
          <w:b w:val="1"/>
          <w:bCs w:val="1"/>
          <w:color w:val="auto"/>
        </w:rPr>
        <w:t>NOTES TO CONSOLIDATED FINANCIAL STATEMENTS (Continued) NOTE 10—ORIGINATION AND SALE OF LOANS, LOANS HELD FOR SALE AND LOAN LOSS OBLIGATIONS Origination and Sale of Loans</w:t>
      </w:r>
    </w:p>
    <w:p>
      <w:pPr>
        <w:spacing w:after="0" w:line="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LendingTree Loans' revenues are primarily derived from the origination and sale of loans. Mortgage loans are funded through warehouse lines of credit and are recorded at fair value at the time of funding.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 on an ongoing basis. The recognition of the sale of loans is accounted for in accordance with SFAS No. 140, "Accounting for Transfers and Servicing of Financial Assets and Extinguishments of Liabilities" ("SFAS No. 140").</w:t>
      </w:r>
    </w:p>
    <w:p>
      <w:pPr>
        <w:spacing w:after="0" w:line="174"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three months ended March 31, 2009 and 2008 is presented below ($ amounts in millions):</w:t>
      </w:r>
    </w:p>
    <w:p>
      <w:pPr>
        <w:spacing w:after="0" w:line="236"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50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12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312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2"/>
                <w:szCs w:val="12"/>
                <w:color w:val="auto"/>
              </w:rPr>
            </w:pP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0"/>
        </w:trPr>
        <w:tc>
          <w:tcPr>
            <w:tcW w:w="3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$ 636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$ 523</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FHA and Alt-A</w:t>
            </w: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3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$ 606</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March 31, 2009 and December 31, 2008 ($ amounts in thousands):</w:t>
      </w:r>
    </w:p>
    <w:p>
      <w:pPr>
        <w:spacing w:after="0" w:line="298"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March 31, 2009</w:t>
            </w:r>
          </w:p>
        </w:tc>
        <w:tc>
          <w:tcPr>
            <w:tcW w:w="13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7"/>
              </w:rPr>
              <w:t>December 31, 2008</w:t>
            </w:r>
          </w:p>
        </w:tc>
      </w:tr>
      <w:tr>
        <w:trPr>
          <w:trHeight w:val="142"/>
        </w:trPr>
        <w:tc>
          <w:tcPr>
            <w:tcW w:w="29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$72,196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$74,993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FHA and Alt-A</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12,002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580" w:type="dxa"/>
            <w:vAlign w:val="bottom"/>
          </w:tcPr>
          <w:p>
            <w:pPr>
              <w:jc w:val="right"/>
              <w:spacing w:after="0"/>
              <w:rPr>
                <w:sz w:val="20"/>
                <w:szCs w:val="20"/>
                <w:color w:val="auto"/>
              </w:rPr>
            </w:pPr>
            <w:r>
              <w:rPr>
                <w:rFonts w:ascii="Arial" w:cs="Arial" w:eastAsia="Arial" w:hAnsi="Arial"/>
                <w:sz w:val="18"/>
                <w:szCs w:val="18"/>
                <w:color w:val="auto"/>
              </w:rPr>
              <w:t>11,737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Subprime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Home equity</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
        </w:trPr>
        <w:tc>
          <w:tcPr>
            <w:tcW w:w="2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$85,149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$87,835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9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unpaid principal amount of loans on nonaccrual status at March 31, 2009 and December 31, 2008 was $6.2 million and $7.0 million, respectively. These loans have a net book value (net of lower of cost or market valuation allowances and fair value adjustments) of $2.3 million and $3.0 million at March 31, 2009 and December 31, 2008, respectively. Included within the loans on nonaccrual status are repurchased loans with a net book value of $1.0 million and $1.1 million at March 31, 2009 and December 31, 2008, respectively. During the three months ended March 31, 2009, LendingTree Loans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did not repurchase any loans. During the three months ended March 31, 2008, LendingTree Loans repurchased loans with $1.1 million of unpaid principal balances.</w:t>
      </w:r>
    </w:p>
    <w:p>
      <w:pPr>
        <w:spacing w:after="0" w:line="186"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Real estate properties acquired in satisfaction of loans totaled $0.7 million and $0.9 million, net of estimated selling expenses, at March 31, 2009 and December 31, 2008, respectively, and is included in prepaid and other current assets in the accompanying consolidated balance sheets.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case of early loan payoffs, which occurs when a borrower prepays a loan prior to the end of a specified period, LendingTree Loans may be required to repay all or a portion of the premium initially paid by the investor. The estimated obligation associated with early loan payoffs is calculated based on historical loss experience by type of loan.</w:t>
      </w:r>
    </w:p>
    <w:p>
      <w:pPr>
        <w:spacing w:after="0" w:line="19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Subsequently, the Company maintains the liability using the estimated obligation related to this exposure based, in part, on historical and projected loss frequency and loss severity using its claims history (adjusted for recent trends in claims experience as well as market pricing information on loans repurchased),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w:t>
      </w:r>
    </w:p>
    <w:p>
      <w:pPr>
        <w:spacing w:after="0" w:line="172"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frequencies and loss severities by loan segment as well as analyses of loss claims in investor pipelines to estimate its exposure to losses on loans previously sold.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6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the three months ended March 31, 2009, LendingTree Loans sold approximately 3,300 loans with an original principal balance of $0.7 billion. Through March 31, 2009 there had been no loans from this group which had experienced losses.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2008, LendingTree Loans sold approximately 11,000 loans with an original principal balance of $2.2 billion. Through March 31, 2009 there had been 6 loans from this group with an original balance of $1.1 million which had experienced aggregate losses of $32,000.</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For 2007, LendingTree Loans sold approximately 36,300 loans with an original principal balance of $6.1 billion. Through March 31, 2009 there had been 92 loans from this group with an original balance of $11.6 million which had experienced aggregate losses of $2.6 million.</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For 2006, LendingTree Loans sold approximately 55,000 loans with an original principal balance of $7.9 billion. Through March 31, 2009 there had been 118 loans from this group with an original balance of $14.2 million which had experienced aggregate losses of $5.8 million.</w:t>
      </w:r>
    </w:p>
    <w:p>
      <w:pPr>
        <w:spacing w:after="0" w:line="139"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For 2005 and prior years, LendingTree Loans sold approximately 86,700 loans with an original principal balance of $13.0 billion. Through March 31, 2009 there had been 68 loans from this group with an original balance of $9.3 million which had experienced aggregate losses of $2.7 million.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historical experience, it is anticipated that the Company will continue to experience losses on these vintage loans sold for years to come.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three months ended March 31, 2009 and 2008, is as follows (in thousands):</w:t>
      </w:r>
    </w:p>
    <w:p>
      <w:pPr>
        <w:spacing w:after="0" w:line="231"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Provisions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Charge offs to reserves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9,832</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Based on an analysis of the Company's historical loan loss experience, it has been determined that a portion of the loss claims expected to be made by investors will be made more than twelve months following the initial sale of the underlying loan. Accordingly, the Company has estimated the portion of its Loans Sold Reserve that it anticipates it will be liable for after twelve months and has classified that portion of the reserve as a long-term liability. The liability for losses on previously sold loans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presented in the accompanying consolidated balance sheet as of March 31, 2009 and December 31, 2008 as follows (in thousands):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December,</w:t>
            </w:r>
          </w:p>
        </w:tc>
      </w:tr>
      <w:tr>
        <w:trPr>
          <w:trHeight w:val="149"/>
        </w:trPr>
        <w:tc>
          <w:tcPr>
            <w:tcW w:w="53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auto"/>
              </w:rPr>
              <w:t>31,</w:t>
            </w:r>
          </w:p>
        </w:tc>
        <w:tc>
          <w:tcPr>
            <w:tcW w:w="60" w:type="dxa"/>
            <w:vAlign w:val="bottom"/>
          </w:tcPr>
          <w:p>
            <w:pPr>
              <w:spacing w:after="0"/>
              <w:rPr>
                <w:sz w:val="12"/>
                <w:szCs w:val="12"/>
                <w:color w:val="auto"/>
              </w:rPr>
            </w:pPr>
          </w:p>
        </w:tc>
      </w:tr>
      <w:tr>
        <w:trPr>
          <w:trHeight w:val="161"/>
        </w:trPr>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0"/>
              </w:rPr>
              <w:t>Current portion, included in accrued expenses and other current liabilities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$ 3,474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60" w:type="dxa"/>
            <w:vAlign w:val="bottom"/>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Long term portion, included in other long-term liabilities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6,479</w:t>
            </w:r>
          </w:p>
        </w:tc>
        <w:tc>
          <w:tcPr>
            <w:tcW w:w="60" w:type="dxa"/>
            <w:vAlign w:val="bottom"/>
          </w:tcPr>
          <w:p>
            <w:pPr>
              <w:spacing w:after="0"/>
              <w:rPr>
                <w:sz w:val="19"/>
                <w:szCs w:val="19"/>
                <w:color w:val="auto"/>
              </w:rPr>
            </w:pPr>
          </w:p>
        </w:tc>
      </w:tr>
      <w:tr>
        <w:trPr>
          <w:trHeight w:val="21"/>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10,451</w:t>
            </w:r>
          </w:p>
        </w:tc>
        <w:tc>
          <w:tcPr>
            <w:tcW w:w="60" w:type="dxa"/>
            <w:vAlign w:val="bottom"/>
            <w:shd w:val="clear" w:color="auto" w:fill="CCEEFF"/>
          </w:tcPr>
          <w:p>
            <w:pPr>
              <w:spacing w:after="0"/>
              <w:rPr>
                <w:sz w:val="18"/>
                <w:szCs w:val="18"/>
                <w:color w:val="auto"/>
              </w:rPr>
            </w:pPr>
          </w:p>
        </w:tc>
      </w:tr>
      <w:tr>
        <w:trPr>
          <w:trHeight w:val="27"/>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the three months ended March 31, 2009 and 2008, Tree.com recorded a tax benefit (provision) of $0.1 million and ($0.2) million, respectively, which represents effective tax rates of (2.7%) and 2.1%, respectively. These tax rates are lower than the federal statutory rate of 35% due principally to non-deductible impairment charges and an increase in valuation allowance on deferred tax assets.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Tree.com believes that it is reasonably possible that its unrecognized tax benefits could decrease by approximately $0.3 million within twelve months of the current reporting date due to the expiration of statutes of limitations. An estimate of other changes in unrecognized tax benefits cannot be made, but are not expected to be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12—CONTINGENCIES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HLC is party to various employment related lawsuits. During the three months ended March 31, 2009 and 2008, provisions of $0.3 million and $-0-, respectively, were recorded in general and administrative expenses in the accompanying consolidated statements of operations. The balance of the related liability was $2.4 million and $2.0 million at March 31, 2009 and December 31, 2008, respectively.</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13—RELATED PARTY TRANSACTIONS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affiliated with IAC, Tree.com's expenses included allocations from IAC of costs associated with IAC's accounting, treasury, legal, tax, corporate support, human resources and internal audit functions. These expenses were allocated based on the ratio of Tree.com's revenue as a percentage of IAC's total revenue. Allocated costs were $0.2 million for the three months ended March 31, 2008, and are included in "General and administrative expense" in the accompanying consolidated statements of operations. It is not practicable to determine the amounts of these expenses that would have been incurred had Tree.com operated as an unaffiliated entity. In the opinion of management, the allocation method was reasonable.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Tree.com and IAC after the Spin-Off</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governing certain of the ongoing relationships between Tree.com and IAC at and after the spin-off, and to provide for an orderly transition,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Tree.com and IAC entered into a separation agreement, a tax sharing agreement, an employee matters agreement and a transition services agreement (the "Spin-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Off Agreements"), among other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restructuring charges primarily relate to Tree.com's significant reduction in its mortgage origination and real estate operations in response to the adverse developments in mortgage and real estate market conditions. Costs that relate to ongoing operations are not part of restructuring charges. Restructuring charges by segment and type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20" w:type="dxa"/>
            <w:vAlign w:val="bottom"/>
            <w:gridSpan w:val="14"/>
          </w:tcPr>
          <w:p>
            <w:pPr>
              <w:ind w:left="120"/>
              <w:spacing w:after="0"/>
              <w:rPr>
                <w:sz w:val="20"/>
                <w:szCs w:val="20"/>
                <w:color w:val="auto"/>
              </w:rPr>
            </w:pPr>
            <w:r>
              <w:rPr>
                <w:rFonts w:ascii="Arial" w:cs="Arial" w:eastAsia="Arial" w:hAnsi="Arial"/>
                <w:sz w:val="14"/>
                <w:szCs w:val="14"/>
                <w:b w:val="1"/>
                <w:bCs w:val="1"/>
                <w:color w:val="auto"/>
                <w:w w:val="96"/>
              </w:rPr>
              <w:t>For The Three Months Ended March 31, 2009</w:t>
            </w:r>
          </w:p>
        </w:tc>
        <w:tc>
          <w:tcPr>
            <w:tcW w:w="2820" w:type="dxa"/>
            <w:vAlign w:val="bottom"/>
          </w:tcPr>
          <w:p>
            <w:pPr>
              <w:spacing w:after="0"/>
              <w:rPr>
                <w:sz w:val="14"/>
                <w:szCs w:val="14"/>
                <w:color w:val="auto"/>
              </w:rPr>
            </w:pPr>
          </w:p>
        </w:tc>
      </w:tr>
      <w:tr>
        <w:trPr>
          <w:trHeight w:val="129"/>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20" w:type="dxa"/>
            <w:vAlign w:val="bottom"/>
            <w:tcBorders>
              <w:top w:val="single" w:sz="8" w:color="auto"/>
            </w:tcBorders>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Employee</w:t>
            </w:r>
          </w:p>
        </w:tc>
        <w:tc>
          <w:tcPr>
            <w:tcW w:w="880" w:type="dxa"/>
            <w:vAlign w:val="bottom"/>
            <w:tcBorders>
              <w:top w:val="single" w:sz="8" w:color="auto"/>
            </w:tcBorders>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Continuing</w:t>
            </w:r>
          </w:p>
        </w:tc>
        <w:tc>
          <w:tcPr>
            <w:tcW w:w="740" w:type="dxa"/>
            <w:vAlign w:val="bottom"/>
            <w:tcBorders>
              <w:top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Asset</w:t>
            </w: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149"/>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Termination</w:t>
            </w:r>
          </w:p>
        </w:tc>
        <w:tc>
          <w:tcPr>
            <w:tcW w:w="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Lease</w:t>
            </w:r>
          </w:p>
        </w:tc>
        <w:tc>
          <w:tcPr>
            <w:tcW w:w="7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Write-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61"/>
        </w:trPr>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77"/>
              </w:rPr>
              <w:t>Costs</w:t>
            </w:r>
          </w:p>
        </w:tc>
        <w:tc>
          <w:tcPr>
            <w:tcW w:w="260" w:type="dxa"/>
            <w:vAlign w:val="bottom"/>
            <w:gridSpan w:val="2"/>
          </w:tcPr>
          <w:p>
            <w:pPr>
              <w:spacing w:after="0"/>
              <w:rPr>
                <w:sz w:val="14"/>
                <w:szCs w:val="14"/>
                <w:color w:val="auto"/>
              </w:rPr>
            </w:pPr>
          </w:p>
        </w:tc>
        <w:tc>
          <w:tcPr>
            <w:tcW w:w="8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0"/>
              </w:rPr>
              <w:t>Obligations</w:t>
            </w:r>
          </w:p>
        </w:tc>
        <w:tc>
          <w:tcPr>
            <w:tcW w:w="740" w:type="dxa"/>
            <w:vAlign w:val="bottom"/>
            <w:gridSpan w:val="4"/>
          </w:tcPr>
          <w:p>
            <w:pPr>
              <w:ind w:left="100"/>
              <w:spacing w:after="0"/>
              <w:rPr>
                <w:sz w:val="20"/>
                <w:szCs w:val="20"/>
                <w:color w:val="auto"/>
              </w:rPr>
            </w:pPr>
            <w:r>
              <w:rPr>
                <w:rFonts w:ascii="Arial" w:cs="Arial" w:eastAsia="Arial" w:hAnsi="Arial"/>
                <w:sz w:val="14"/>
                <w:szCs w:val="14"/>
                <w:b w:val="1"/>
                <w:bCs w:val="1"/>
                <w:color w:val="auto"/>
              </w:rPr>
              <w:t>offs</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2820" w:type="dxa"/>
            <w:vAlign w:val="bottom"/>
          </w:tcPr>
          <w:p>
            <w:pPr>
              <w:spacing w:after="0"/>
              <w:rPr>
                <w:sz w:val="14"/>
                <w:szCs w:val="14"/>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10"/>
        </w:trPr>
        <w:tc>
          <w:tcPr>
            <w:tcW w:w="2820" w:type="dxa"/>
            <w:vAlign w:val="bottom"/>
          </w:tcPr>
          <w:p>
            <w:pPr>
              <w:spacing w:after="0"/>
              <w:rPr>
                <w:sz w:val="18"/>
                <w:szCs w:val="18"/>
                <w:color w:val="auto"/>
              </w:rPr>
            </w:pPr>
          </w:p>
        </w:tc>
        <w:tc>
          <w:tcPr>
            <w:tcW w:w="2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9"/>
              </w:rPr>
              <w:t>$</w:t>
            </w:r>
          </w:p>
        </w:tc>
        <w:tc>
          <w:tcPr>
            <w:tcW w:w="6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(108)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7"/>
              </w:rPr>
              <w:t>$ (108)</w:t>
            </w:r>
          </w:p>
        </w:tc>
        <w:tc>
          <w:tcPr>
            <w:tcW w:w="2820" w:type="dxa"/>
            <w:vAlign w:val="bottom"/>
            <w:tcBorders>
              <w:left w:val="single" w:sz="8" w:color="CCEEFF"/>
            </w:tcBorders>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18"/>
                <w:szCs w:val="18"/>
                <w:color w:val="auto"/>
              </w:rPr>
            </w:pPr>
          </w:p>
        </w:tc>
        <w:tc>
          <w:tcPr>
            <w:tcW w:w="2820" w:type="dxa"/>
            <w:vAlign w:val="bottom"/>
            <w:tcBorders>
              <w:left w:val="single" w:sz="8" w:color="CCEEFF"/>
            </w:tcBorders>
          </w:tcPr>
          <w:p>
            <w:pPr>
              <w:spacing w:after="0"/>
              <w:rPr>
                <w:sz w:val="18"/>
                <w:szCs w:val="18"/>
                <w:color w:val="auto"/>
              </w:rPr>
            </w:pPr>
          </w:p>
        </w:tc>
      </w:tr>
      <w:tr>
        <w:trPr>
          <w:trHeight w:val="222"/>
        </w:trPr>
        <w:tc>
          <w:tcPr>
            <w:tcW w:w="28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Unallocated—corporate</w:t>
            </w: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1"/>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10"/>
        </w:trPr>
        <w:tc>
          <w:tcPr>
            <w:tcW w:w="2820" w:type="dxa"/>
            <w:vAlign w:val="bottom"/>
          </w:tcPr>
          <w:p>
            <w:pPr>
              <w:spacing w:after="0"/>
              <w:rPr>
                <w:sz w:val="18"/>
                <w:szCs w:val="18"/>
                <w:color w:val="auto"/>
              </w:rPr>
            </w:pPr>
          </w:p>
        </w:tc>
        <w:tc>
          <w:tcPr>
            <w:tcW w:w="2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9"/>
              </w:rPr>
              <w:t>$</w:t>
            </w:r>
          </w:p>
        </w:tc>
        <w:tc>
          <w:tcPr>
            <w:tcW w:w="6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842</w:t>
            </w:r>
          </w:p>
        </w:tc>
        <w:tc>
          <w:tcPr>
            <w:tcW w:w="80" w:type="dxa"/>
            <w:vAlign w:val="bottom"/>
            <w:shd w:val="clear" w:color="auto" w:fill="CCEEFF"/>
          </w:tcPr>
          <w:p>
            <w:pPr>
              <w:spacing w:after="0"/>
              <w:rPr>
                <w:sz w:val="18"/>
                <w:szCs w:val="18"/>
                <w:color w:val="auto"/>
              </w:rPr>
            </w:pPr>
          </w:p>
        </w:tc>
        <w:tc>
          <w:tcPr>
            <w:tcW w:w="2820" w:type="dxa"/>
            <w:vAlign w:val="bottom"/>
            <w:tcBorders>
              <w:left w:val="single" w:sz="8" w:color="CCEEFF"/>
            </w:tcBorders>
          </w:tcPr>
          <w:p>
            <w:pPr>
              <w:spacing w:after="0"/>
              <w:rPr>
                <w:sz w:val="18"/>
                <w:szCs w:val="18"/>
                <w:color w:val="auto"/>
              </w:rPr>
            </w:pPr>
          </w:p>
        </w:tc>
      </w:tr>
      <w:tr>
        <w:trPr>
          <w:trHeight w:val="27"/>
        </w:trPr>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831"/>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20" w:type="dxa"/>
            <w:vAlign w:val="bottom"/>
            <w:gridSpan w:val="14"/>
          </w:tcPr>
          <w:p>
            <w:pPr>
              <w:ind w:left="140"/>
              <w:spacing w:after="0"/>
              <w:rPr>
                <w:sz w:val="20"/>
                <w:szCs w:val="20"/>
                <w:color w:val="auto"/>
              </w:rPr>
            </w:pPr>
            <w:r>
              <w:rPr>
                <w:rFonts w:ascii="Arial" w:cs="Arial" w:eastAsia="Arial" w:hAnsi="Arial"/>
                <w:sz w:val="14"/>
                <w:szCs w:val="14"/>
                <w:b w:val="1"/>
                <w:bCs w:val="1"/>
                <w:color w:val="auto"/>
                <w:w w:val="95"/>
              </w:rPr>
              <w:t>For The Three Months Ended March 31, 2008</w:t>
            </w:r>
          </w:p>
        </w:tc>
        <w:tc>
          <w:tcPr>
            <w:tcW w:w="2820" w:type="dxa"/>
            <w:vAlign w:val="bottom"/>
          </w:tcPr>
          <w:p>
            <w:pPr>
              <w:spacing w:after="0"/>
              <w:rPr>
                <w:sz w:val="24"/>
                <w:szCs w:val="24"/>
                <w:color w:val="auto"/>
              </w:rPr>
            </w:pPr>
          </w:p>
        </w:tc>
      </w:tr>
      <w:tr>
        <w:trPr>
          <w:trHeight w:val="129"/>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920" w:type="dxa"/>
            <w:vAlign w:val="bottom"/>
            <w:tcBorders>
              <w:top w:val="single" w:sz="8" w:color="auto"/>
            </w:tcBorders>
            <w:gridSpan w:val="4"/>
          </w:tcPr>
          <w:p>
            <w:pPr>
              <w:ind w:left="80"/>
              <w:spacing w:after="0" w:line="129" w:lineRule="exact"/>
              <w:rPr>
                <w:sz w:val="20"/>
                <w:szCs w:val="20"/>
                <w:color w:val="auto"/>
              </w:rPr>
            </w:pPr>
            <w:r>
              <w:rPr>
                <w:rFonts w:ascii="Arial" w:cs="Arial" w:eastAsia="Arial" w:hAnsi="Arial"/>
                <w:sz w:val="14"/>
                <w:szCs w:val="14"/>
                <w:b w:val="1"/>
                <w:bCs w:val="1"/>
                <w:color w:val="auto"/>
              </w:rPr>
              <w:t>Employee</w:t>
            </w:r>
          </w:p>
        </w:tc>
        <w:tc>
          <w:tcPr>
            <w:tcW w:w="880" w:type="dxa"/>
            <w:vAlign w:val="bottom"/>
            <w:tcBorders>
              <w:top w:val="single" w:sz="8" w:color="auto"/>
            </w:tcBorders>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Continuing</w:t>
            </w:r>
          </w:p>
        </w:tc>
        <w:tc>
          <w:tcPr>
            <w:tcW w:w="740" w:type="dxa"/>
            <w:vAlign w:val="bottom"/>
            <w:tcBorders>
              <w:top w:val="single" w:sz="8" w:color="auto"/>
            </w:tcBorders>
            <w:gridSpan w:val="4"/>
          </w:tcPr>
          <w:p>
            <w:pPr>
              <w:ind w:left="120"/>
              <w:spacing w:after="0" w:line="129" w:lineRule="exact"/>
              <w:rPr>
                <w:sz w:val="20"/>
                <w:szCs w:val="20"/>
                <w:color w:val="auto"/>
              </w:rPr>
            </w:pPr>
            <w:r>
              <w:rPr>
                <w:rFonts w:ascii="Arial" w:cs="Arial" w:eastAsia="Arial" w:hAnsi="Arial"/>
                <w:sz w:val="14"/>
                <w:szCs w:val="14"/>
                <w:b w:val="1"/>
                <w:bCs w:val="1"/>
                <w:color w:val="auto"/>
              </w:rPr>
              <w:t>Asset</w:t>
            </w: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149"/>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2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8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Lease</w:t>
            </w:r>
          </w:p>
        </w:tc>
        <w:tc>
          <w:tcPr>
            <w:tcW w:w="7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Write-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161"/>
        </w:trPr>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14"/>
                <w:szCs w:val="1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offs</w:t>
            </w:r>
          </w:p>
        </w:tc>
        <w:tc>
          <w:tcPr>
            <w:tcW w:w="2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210"/>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$ 402</w:t>
            </w:r>
          </w:p>
        </w:tc>
        <w:tc>
          <w:tcPr>
            <w:tcW w:w="80" w:type="dxa"/>
            <w:vAlign w:val="bottom"/>
            <w:shd w:val="clear" w:color="auto" w:fill="CCEEFF"/>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Exchanges</w:t>
            </w:r>
          </w:p>
        </w:tc>
        <w:tc>
          <w:tcPr>
            <w:tcW w:w="32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18"/>
                <w:szCs w:val="18"/>
                <w:color w:val="auto"/>
              </w:rPr>
            </w:pPr>
          </w:p>
        </w:tc>
      </w:tr>
      <w:tr>
        <w:trPr>
          <w:trHeight w:val="222"/>
        </w:trPr>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Unallocated—corporate</w:t>
            </w:r>
          </w:p>
        </w:tc>
        <w:tc>
          <w:tcPr>
            <w:tcW w:w="320" w:type="dxa"/>
            <w:vAlign w:val="bottom"/>
          </w:tcPr>
          <w:p>
            <w:pPr>
              <w:spacing w:after="0"/>
              <w:rPr>
                <w:sz w:val="19"/>
                <w:szCs w:val="19"/>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19"/>
                <w:szCs w:val="19"/>
                <w:color w:val="auto"/>
              </w:rPr>
            </w:pPr>
          </w:p>
        </w:tc>
      </w:tr>
      <w:tr>
        <w:trPr>
          <w:trHeight w:val="21"/>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10"/>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$ 402</w:t>
            </w:r>
          </w:p>
        </w:tc>
        <w:tc>
          <w:tcPr>
            <w:tcW w:w="80" w:type="dxa"/>
            <w:vAlign w:val="bottom"/>
            <w:shd w:val="clear" w:color="auto" w:fill="CCEEFF"/>
          </w:tcPr>
          <w:p>
            <w:pPr>
              <w:spacing w:after="0"/>
              <w:rPr>
                <w:sz w:val="18"/>
                <w:szCs w:val="18"/>
                <w:color w:val="auto"/>
              </w:rPr>
            </w:pPr>
          </w:p>
        </w:tc>
        <w:tc>
          <w:tcPr>
            <w:tcW w:w="2820" w:type="dxa"/>
            <w:vAlign w:val="bottom"/>
          </w:tcPr>
          <w:p>
            <w:pPr>
              <w:spacing w:after="0"/>
              <w:rPr>
                <w:sz w:val="18"/>
                <w:szCs w:val="18"/>
                <w:color w:val="auto"/>
              </w:rPr>
            </w:pPr>
          </w:p>
        </w:tc>
      </w:tr>
      <w:tr>
        <w:trPr>
          <w:trHeight w:val="27"/>
        </w:trPr>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11"/>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8"/>
        </w:trPr>
        <w:tc>
          <w:tcPr>
            <w:tcW w:w="2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 and spending against liabilities are as follows (in thousands):</w:t>
      </w:r>
    </w:p>
    <w:p>
      <w:pPr>
        <w:spacing w:after="0" w:line="275"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89"/>
              </w:rPr>
              <w:t>For The Three Months Ended March 31, 2009</w:t>
            </w:r>
          </w:p>
        </w:tc>
      </w:tr>
      <w:tr>
        <w:trPr>
          <w:trHeight w:val="129"/>
        </w:trPr>
        <w:tc>
          <w:tcPr>
            <w:tcW w:w="2660" w:type="dxa"/>
            <w:vAlign w:val="bottom"/>
          </w:tcPr>
          <w:p>
            <w:pPr>
              <w:spacing w:after="0"/>
              <w:rPr>
                <w:sz w:val="11"/>
                <w:szCs w:val="11"/>
                <w:color w:val="auto"/>
              </w:rPr>
            </w:pPr>
          </w:p>
        </w:tc>
        <w:tc>
          <w:tcPr>
            <w:tcW w:w="92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Employee</w:t>
            </w:r>
          </w:p>
        </w:tc>
        <w:tc>
          <w:tcPr>
            <w:tcW w:w="88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Continuing</w:t>
            </w:r>
          </w:p>
        </w:tc>
        <w:tc>
          <w:tcPr>
            <w:tcW w:w="72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Asset</w:t>
            </w: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66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Lease</w:t>
            </w: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Write-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77"/>
              </w:rPr>
              <w:t>offs</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$ 4,088</w:t>
            </w:r>
          </w:p>
        </w:tc>
      </w:tr>
      <w:tr>
        <w:trPr>
          <w:trHeight w:val="216"/>
        </w:trPr>
        <w:tc>
          <w:tcPr>
            <w:tcW w:w="266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842</w:t>
            </w:r>
          </w:p>
        </w:tc>
      </w:tr>
      <w:tr>
        <w:trPr>
          <w:trHeight w:val="216"/>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w:t>
            </w:r>
          </w:p>
        </w:tc>
      </w:tr>
      <w:tr>
        <w:trPr>
          <w:trHeight w:val="222"/>
        </w:trPr>
        <w:tc>
          <w:tcPr>
            <w:tcW w:w="2660" w:type="dxa"/>
            <w:vAlign w:val="bottom"/>
          </w:tcPr>
          <w:p>
            <w:pPr>
              <w:ind w:left="140"/>
              <w:spacing w:after="0"/>
              <w:rPr>
                <w:sz w:val="20"/>
                <w:szCs w:val="20"/>
                <w:color w:val="auto"/>
              </w:rPr>
            </w:pPr>
            <w:r>
              <w:rPr>
                <w:rFonts w:ascii="Arial" w:cs="Arial" w:eastAsia="Arial" w:hAnsi="Arial"/>
                <w:sz w:val="18"/>
                <w:szCs w:val="18"/>
                <w:color w:val="auto"/>
              </w:rPr>
              <w:t>Write-offs</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
        </w:trPr>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2,910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$ 3,924</w:t>
            </w:r>
          </w:p>
        </w:tc>
      </w:tr>
      <w:tr>
        <w:trPr>
          <w:trHeight w:val="27"/>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March 31, 2009, restructuring liabilities of $3.2 million are included in "Accrued expenses and other current liabilities" and $0.7 million are included in "Other long-term liabilities" in the accompanying consolidated balance sheet. At December 31, 2008, restructuring liabilities of $3.3 million are included in "Accrued expenses and other current liabilities" and $0.8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August 20, 2008, Tree.com, Inc. ("Tree.com") was spun off from its parent company, IAC/InterActiveCorp ("IAC") into a separate publicly traded company. We refer to the separation transaction as the "spin-off." In connection with the spin-off, Tree.com was incorporated as a Delaware corporation in April 2008. Tree.com consists of the brands and businesses that formerly comprised IAC's Lending and Real Estate segments. These brands and businesses include LendingTree.com, RealEstate.com, GetSmart.com, Home Loan Center, Inc. (d/b/a LendingTree Loans) and iNest.com.</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Following the spin-off from IAC, the new chief operating decision maker began to realign the Tree.com businesses into new operating segments. For the first quarter of 2009, management completed its realignment of staffing and direct revenue and costs for each new segment and created reporting structures to enable the chief operating decision maker and management to evaluate the results of operations for each of these new segments on a comparative basis with prior periods. In prior periods, the segments "Lending" and "Real Estate" were presented, which have been changed to "LendingTree Loans", "Exchanges" and "Real Estate" segments. Additionally, certain shared indirect costs that are described below are reported as "Unallocated—Corporate." All items of segment information for prior periods have been restated to conform to the new reportable segment presentation.</w:t>
      </w:r>
    </w:p>
    <w:p>
      <w:pPr>
        <w:spacing w:after="0" w:line="17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6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9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(principally LendingTree.com and GetSmart.com) that connect consumers and service providers principally in the lending industry.</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 xml:space="preserve">The Real Estate segment consists of a proprietary full-service real estate brokerage (RealEstate.com, REALTORS®) that operates in 20 U.S. markets, as well as an online lead generation network accessed at </w:t>
      </w:r>
      <w:r>
        <w:rPr>
          <w:rFonts w:ascii="Arial" w:cs="Arial" w:eastAsia="Arial" w:hAnsi="Arial"/>
          <w:sz w:val="18"/>
          <w:szCs w:val="18"/>
          <w:i w:val="1"/>
          <w:iCs w:val="1"/>
          <w:color w:val="auto"/>
        </w:rPr>
        <w:t>www.RealEstate.com</w:t>
      </w:r>
      <w:r>
        <w:rPr>
          <w:rFonts w:ascii="Arial" w:cs="Arial" w:eastAsia="Arial" w:hAnsi="Arial"/>
          <w:sz w:val="18"/>
          <w:szCs w:val="18"/>
          <w:color w:val="auto"/>
        </w:rPr>
        <w:t>, that connects consumers with real estate brokerages around the country and iNest.com, an online network that matches buyers and builders of new homes.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2009 compared to the three months ended March 31, 2008: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75"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Origination and sale of loans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$32,764</w:t>
            </w:r>
          </w:p>
        </w:tc>
        <w:tc>
          <w:tcPr>
            <w:tcW w:w="1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2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34,372</w:t>
            </w:r>
          </w:p>
        </w:tc>
        <w:tc>
          <w:tcPr>
            <w:tcW w:w="18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Match fees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9,966</w:t>
            </w:r>
          </w:p>
        </w:tc>
        <w:tc>
          <w:tcPr>
            <w:tcW w:w="18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580" w:type="dxa"/>
            <w:vAlign w:val="bottom"/>
          </w:tcPr>
          <w:p>
            <w:pPr>
              <w:jc w:val="right"/>
              <w:spacing w:after="0"/>
              <w:rPr>
                <w:sz w:val="20"/>
                <w:szCs w:val="20"/>
                <w:color w:val="auto"/>
              </w:rPr>
            </w:pPr>
            <w:r>
              <w:rPr>
                <w:rFonts w:ascii="Arial" w:cs="Arial" w:eastAsia="Arial" w:hAnsi="Arial"/>
                <w:sz w:val="18"/>
                <w:szCs w:val="18"/>
                <w:color w:val="auto"/>
              </w:rPr>
              <w:t>19,858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Closed loan fees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Inter-segment revenue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20" w:type="dxa"/>
            <w:vAlign w:val="bottom"/>
            <w:vMerge w:val="restart"/>
          </w:tcPr>
          <w:p>
            <w:pPr>
              <w:spacing w:after="0"/>
              <w:rPr>
                <w:sz w:val="20"/>
                <w:szCs w:val="20"/>
                <w:color w:val="auto"/>
              </w:rPr>
            </w:pPr>
            <w:r>
              <w:rPr>
                <w:rFonts w:ascii="Arial" w:cs="Arial" w:eastAsia="Arial" w:hAnsi="Arial"/>
                <w:sz w:val="18"/>
                <w:szCs w:val="18"/>
                <w:color w:val="auto"/>
              </w:rPr>
              <w:t>Total Exchanges</w:t>
            </w: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19,067</w:t>
            </w:r>
          </w:p>
        </w:tc>
        <w:tc>
          <w:tcPr>
            <w:tcW w:w="18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Inter-segment revenue</w:t>
            </w:r>
          </w:p>
        </w:tc>
        <w:tc>
          <w:tcPr>
            <w:tcW w:w="1240" w:type="dxa"/>
            <w:vAlign w:val="bottom"/>
            <w:gridSpan w:val="3"/>
          </w:tcPr>
          <w:p>
            <w:pPr>
              <w:jc w:val="right"/>
              <w:ind w:right="52"/>
              <w:spacing w:after="0"/>
              <w:rPr>
                <w:sz w:val="20"/>
                <w:szCs w:val="20"/>
                <w:color w:val="auto"/>
              </w:rPr>
            </w:pPr>
            <w:r>
              <w:rPr>
                <w:rFonts w:ascii="Arial" w:cs="Arial" w:eastAsia="Arial" w:hAnsi="Arial"/>
                <w:sz w:val="18"/>
                <w:szCs w:val="18"/>
                <w:color w:val="auto"/>
              </w:rPr>
              <w:t>(1,938)</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$57,260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LendingTree Loans revenue in 2009 increased $3.6 million, or 12%, from the same period in 2008. Revenue generated from the origination and sale of loans in the secondary market increased 4.8 million, or 17%, primarily due to a dramatically declining mortgage interest rate environment that began late in the fourth quarter of 2008, improvement in revenue per closed loan and higher loan closing rates.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75"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0</wp:posOffset>
            </wp:positionV>
            <wp:extent cx="12693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460"/>
        <w:spacing w:after="0"/>
        <w:tabs>
          <w:tab w:leader="none" w:pos="7080" w:val="left"/>
          <w:tab w:leader="none" w:pos="8060" w:val="left"/>
        </w:tabs>
        <w:rPr>
          <w:sz w:val="20"/>
          <w:szCs w:val="20"/>
          <w:color w:val="auto"/>
        </w:rPr>
      </w:pPr>
      <w:r>
        <w:rPr>
          <w:rFonts w:ascii="Arial" w:cs="Arial" w:eastAsia="Arial" w:hAnsi="Arial"/>
          <w:sz w:val="14"/>
          <w:szCs w:val="14"/>
          <w:b w:val="1"/>
          <w:bCs w:val="1"/>
          <w:u w:val="single" w:color="auto"/>
          <w:color w:val="auto"/>
        </w:rPr>
        <w:t>2009</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2"/>
          <w:szCs w:val="12"/>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-6985</wp:posOffset>
            </wp:positionV>
            <wp:extent cx="231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ind w:left="6760"/>
        <w:spacing w:after="0" w:line="223" w:lineRule="auto"/>
        <w:rPr>
          <w:sz w:val="20"/>
          <w:szCs w:val="20"/>
          <w:color w:val="auto"/>
        </w:rPr>
      </w:pPr>
      <w:r>
        <w:rPr>
          <w:rFonts w:ascii="Arial" w:cs="Arial" w:eastAsia="Arial" w:hAnsi="Arial"/>
          <w:sz w:val="14"/>
          <w:szCs w:val="14"/>
          <w:b w:val="1"/>
          <w:bCs w:val="1"/>
          <w:color w:val="auto"/>
        </w:rPr>
        <w:t>(Dollars in thousands)</w:t>
      </w:r>
    </w:p>
    <w:p>
      <w:pPr>
        <w:spacing w:after="0" w:line="10" w:lineRule="exact"/>
        <w:rPr>
          <w:sz w:val="20"/>
          <w:szCs w:val="20"/>
          <w:color w:val="auto"/>
        </w:rPr>
      </w:pPr>
    </w:p>
    <w:tbl>
      <w:tblPr>
        <w:tblLayout w:type="fixed"/>
        <w:tblInd w:w="2980" w:type="dxa"/>
        <w:tblCellMar>
          <w:top w:w="0" w:type="dxa"/>
          <w:left w:w="0" w:type="dxa"/>
          <w:bottom w:w="0" w:type="dxa"/>
          <w:right w:w="0" w:type="dxa"/>
        </w:tblCellMar>
      </w:tblPr>
      <w:tr>
        <w:trPr>
          <w:trHeight w:val="207"/>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$647</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$500</w:t>
            </w:r>
          </w:p>
        </w:tc>
        <w:tc>
          <w:tcPr>
            <w:tcW w:w="60" w:type="dxa"/>
            <w:vAlign w:val="bottom"/>
            <w:shd w:val="clear" w:color="auto" w:fill="CCEEFF"/>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Purchase mortgages</w:t>
            </w: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r>
      <w:tr>
        <w:trPr>
          <w:trHeight w:val="21"/>
        </w:trPr>
        <w:tc>
          <w:tcPr>
            <w:tcW w:w="3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$715</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$610</w:t>
            </w:r>
          </w:p>
        </w:tc>
        <w:tc>
          <w:tcPr>
            <w:tcW w:w="60" w:type="dxa"/>
            <w:vAlign w:val="bottom"/>
            <w:shd w:val="clear" w:color="auto" w:fill="CCEEFF"/>
          </w:tcPr>
          <w:p>
            <w:pPr>
              <w:spacing w:after="0"/>
              <w:rPr>
                <w:sz w:val="18"/>
                <w:szCs w:val="18"/>
                <w:color w:val="auto"/>
              </w:rPr>
            </w:pPr>
          </w:p>
        </w:tc>
      </w:tr>
      <w:tr>
        <w:trPr>
          <w:trHeight w:val="27"/>
        </w:trPr>
        <w:tc>
          <w:tcPr>
            <w:tcW w:w="3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 generated from refinance mortgage increased 27% and revenue generated from purchase mortgage declined 48%.</w:t>
      </w:r>
    </w:p>
    <w:p>
      <w:pPr>
        <w:spacing w:after="0" w:line="225" w:lineRule="exact"/>
        <w:rPr>
          <w:sz w:val="20"/>
          <w:szCs w:val="20"/>
          <w:color w:val="auto"/>
        </w:rPr>
      </w:pPr>
    </w:p>
    <w:p>
      <w:pPr>
        <w:jc w:val="both"/>
        <w:ind w:right="600" w:firstLine="351"/>
        <w:spacing w:after="0" w:line="306" w:lineRule="auto"/>
        <w:rPr>
          <w:sz w:val="20"/>
          <w:szCs w:val="20"/>
          <w:color w:val="auto"/>
        </w:rPr>
      </w:pPr>
      <w:r>
        <w:rPr>
          <w:rFonts w:ascii="Arial" w:cs="Arial" w:eastAsia="Arial" w:hAnsi="Arial"/>
          <w:sz w:val="16"/>
          <w:szCs w:val="16"/>
          <w:color w:val="auto"/>
        </w:rPr>
        <w:t>LendingTree Loans originates mortgage loans on property located throughout the United States, with no one location representing more than 10% of Tree.com's consolidated revenue for any periods presented. Revenue from loans originated for property in California and Florida in the aggregate totaled approximately 14% and 8% of Tree.com's consolidated revenue for the three months ended March 31, 2009 and 2008, respectively.</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Revenue from the Exchanges declined $18.0 million, or 49%, due primarily to fewer loan requests from consumers, fewer matched loan requests with network lenders and fewer loans closed through network lenders. Matched loan requests in the first quarter of 2009 were down 36% from the same period in 2008 due to the five Federal Reserve interest rate cuts during the first quarter of 2008, which stimulated significant consumer demand on our network. Although mortgage rates have remained at or near historical lows during the first quarter of 2009, the Exchanges experienced a decline in matched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loan requests, reflecting lower network lender demand for consumer leads. Management believes the lower demand for loan requests from network lenders is because of production and warehouse capacity limitations for many of the lenders participating on the network as well as many lenders experiencing their own higher levels of organic lead volume through other channels during this low interest rate environment. As a result of fewer matched loan requests, closed loan units through the Exchange also declined resulting in 40% lower closed loan fees.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3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left="239"/>
              <w:spacing w:after="0" w:line="129" w:lineRule="exact"/>
              <w:rPr>
                <w:sz w:val="20"/>
                <w:szCs w:val="20"/>
                <w:color w:val="auto"/>
              </w:rPr>
            </w:pPr>
            <w:r>
              <w:rPr>
                <w:rFonts w:ascii="Arial" w:cs="Arial" w:eastAsia="Arial" w:hAnsi="Arial"/>
                <w:sz w:val="14"/>
                <w:szCs w:val="14"/>
                <w:b w:val="1"/>
                <w:bCs w:val="1"/>
                <w:color w:val="auto"/>
                <w:w w:val="96"/>
              </w:rPr>
              <w:t>%</w:t>
            </w: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$ 2,007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$ 2,221</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Purchase mortgages</w:t>
            </w:r>
          </w:p>
        </w:tc>
        <w:tc>
          <w:tcPr>
            <w:tcW w:w="540" w:type="dxa"/>
            <w:vAlign w:val="bottom"/>
          </w:tcPr>
          <w:p>
            <w:pPr>
              <w:jc w:val="right"/>
              <w:spacing w:after="0"/>
              <w:rPr>
                <w:sz w:val="20"/>
                <w:szCs w:val="20"/>
                <w:color w:val="auto"/>
              </w:rPr>
            </w:pPr>
            <w:r>
              <w:rPr>
                <w:rFonts w:ascii="Arial" w:cs="Arial" w:eastAsia="Arial" w:hAnsi="Arial"/>
                <w:sz w:val="18"/>
                <w:szCs w:val="18"/>
                <w:color w:val="auto"/>
              </w:rPr>
              <w:t>461</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3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
                <w:szCs w:val="2"/>
                <w:color w:val="auto"/>
              </w:rPr>
            </w:pP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20" w:type="dxa"/>
            <w:vAlign w:val="bottom"/>
            <w:vMerge w:val="continue"/>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$ 2,625</w:t>
            </w:r>
          </w:p>
        </w:tc>
        <w:tc>
          <w:tcPr>
            <w:tcW w:w="1160" w:type="dxa"/>
            <w:vAlign w:val="bottom"/>
            <w:gridSpan w:val="3"/>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$ 3,691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single Exchange network lender accounts for revenue representing more than 10% of Tree.com's consolidated revenue for any periods presented.</w:t>
      </w:r>
    </w:p>
    <w:p>
      <w:pPr>
        <w:spacing w:after="0" w:line="248"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Real Estate revenue decreased $2.6 million, or 31%, principally due to a $2.3 million decrease related to the Real Estate builder and broker referral networks, which experienced significant decreases in closings year-over-year due to the persistent negative real estate market conditions contributing to lower home sales prices and fewer real estate transactions overall. Despite expanding into 5 new metropolitan markets and growing the number of agents working for our company-owned brokerage from 900 at the end of the first quarter 2008 to over 1,200 at the end of the first quarter 2009, the revenue in our company-owned brokerage remained relatively flat year-over-year. Overall, the dollar value of the Company's real estate closings decreased $134 million, or 32%, from $415 million in 2008 to $281 million in 2009.</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5"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142"/>
        </w:trPr>
        <w:tc>
          <w:tcPr>
            <w:tcW w:w="3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3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$11,856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w:t>
            </w:r>
          </w:p>
        </w:tc>
        <w:tc>
          <w:tcPr>
            <w:tcW w:w="1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Exchanges</w:t>
            </w:r>
          </w:p>
        </w:tc>
        <w:tc>
          <w:tcPr>
            <w:tcW w:w="580" w:type="dxa"/>
            <w:vAlign w:val="bottom"/>
          </w:tcPr>
          <w:p>
            <w:pPr>
              <w:jc w:val="right"/>
              <w:spacing w:after="0"/>
              <w:rPr>
                <w:sz w:val="20"/>
                <w:szCs w:val="20"/>
                <w:color w:val="auto"/>
              </w:rPr>
            </w:pPr>
            <w:r>
              <w:rPr>
                <w:rFonts w:ascii="Arial" w:cs="Arial" w:eastAsia="Arial" w:hAnsi="Arial"/>
                <w:sz w:val="18"/>
                <w:szCs w:val="18"/>
                <w:color w:val="auto"/>
              </w:rPr>
              <w:t>1,891</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580" w:type="dxa"/>
            <w:vAlign w:val="bottom"/>
          </w:tcPr>
          <w:p>
            <w:pPr>
              <w:jc w:val="right"/>
              <w:spacing w:after="0"/>
              <w:rPr>
                <w:sz w:val="20"/>
                <w:szCs w:val="20"/>
                <w:color w:val="auto"/>
              </w:rPr>
            </w:pPr>
            <w:r>
              <w:rPr>
                <w:rFonts w:ascii="Arial" w:cs="Arial" w:eastAsia="Arial" w:hAnsi="Arial"/>
                <w:sz w:val="18"/>
                <w:szCs w:val="18"/>
                <w:color w:val="auto"/>
              </w:rPr>
              <w:t>3,905</w:t>
            </w: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60" w:type="dxa"/>
            <w:vAlign w:val="bottom"/>
            <w:shd w:val="clear" w:color="auto" w:fill="CCEEFF"/>
          </w:tcPr>
          <w:p>
            <w:pPr>
              <w:spacing w:after="0"/>
              <w:rPr>
                <w:sz w:val="18"/>
                <w:szCs w:val="18"/>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Unallocated—corporate</w:t>
            </w:r>
          </w:p>
        </w:tc>
        <w:tc>
          <w:tcPr>
            <w:tcW w:w="580" w:type="dxa"/>
            <w:vAlign w:val="bottom"/>
          </w:tcPr>
          <w:p>
            <w:pPr>
              <w:jc w:val="right"/>
              <w:spacing w:after="0"/>
              <w:rPr>
                <w:sz w:val="20"/>
                <w:szCs w:val="20"/>
                <w:color w:val="auto"/>
              </w:rPr>
            </w:pPr>
            <w:r>
              <w:rPr>
                <w:rFonts w:ascii="Arial" w:cs="Arial" w:eastAsia="Arial" w:hAnsi="Arial"/>
                <w:sz w:val="18"/>
                <w:szCs w:val="18"/>
                <w:color w:val="auto"/>
              </w:rPr>
              <w:t>576</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9"/>
                <w:szCs w:val="19"/>
                <w:color w:val="auto"/>
              </w:rPr>
            </w:pPr>
          </w:p>
        </w:tc>
      </w:tr>
      <w:tr>
        <w:trPr>
          <w:trHeight w:val="21"/>
        </w:trPr>
        <w:tc>
          <w:tcPr>
            <w:tcW w:w="3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$18,187</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$21,141</w:t>
            </w:r>
          </w:p>
        </w:tc>
        <w:tc>
          <w:tcPr>
            <w:tcW w:w="160" w:type="dxa"/>
            <w:vAlign w:val="bottom"/>
            <w:shd w:val="clear" w:color="auto" w:fill="CCEEFF"/>
          </w:tcPr>
          <w:p>
            <w:pPr>
              <w:spacing w:after="0"/>
              <w:rPr>
                <w:sz w:val="18"/>
                <w:szCs w:val="18"/>
                <w:color w:val="auto"/>
              </w:rPr>
            </w:pPr>
          </w:p>
        </w:tc>
      </w:tr>
      <w:tr>
        <w:trPr>
          <w:trHeight w:val="27"/>
        </w:trPr>
        <w:tc>
          <w:tcPr>
            <w:tcW w:w="3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gridSpan w:val="2"/>
          </w:tcPr>
          <w:p>
            <w:pPr>
              <w:ind w:left="2880"/>
              <w:spacing w:after="0"/>
              <w:rPr>
                <w:sz w:val="20"/>
                <w:szCs w:val="20"/>
                <w:color w:val="auto"/>
              </w:rPr>
            </w:pPr>
            <w:r>
              <w:rPr>
                <w:rFonts w:ascii="Arial" w:cs="Arial" w:eastAsia="Arial" w:hAnsi="Arial"/>
                <w:sz w:val="18"/>
                <w:szCs w:val="18"/>
                <w:color w:val="auto"/>
                <w:w w:val="95"/>
              </w:rPr>
              <w:t>As a percentage of total revenue</w:t>
            </w:r>
          </w:p>
        </w:tc>
        <w:tc>
          <w:tcPr>
            <w:tcW w:w="2080" w:type="dxa"/>
            <w:vAlign w:val="bottom"/>
          </w:tcPr>
          <w:p>
            <w:pPr>
              <w:jc w:val="right"/>
              <w:ind w:right="672"/>
              <w:spacing w:after="0"/>
              <w:rPr>
                <w:sz w:val="20"/>
                <w:szCs w:val="20"/>
                <w:color w:val="auto"/>
              </w:rPr>
            </w:pPr>
            <w:r>
              <w:rPr>
                <w:rFonts w:ascii="Arial" w:cs="Arial" w:eastAsia="Arial" w:hAnsi="Arial"/>
                <w:sz w:val="18"/>
                <w:szCs w:val="18"/>
                <w:color w:val="auto"/>
              </w:rPr>
              <w:t>32%</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margin %</w:t>
            </w:r>
          </w:p>
        </w:tc>
        <w:tc>
          <w:tcPr>
            <w:tcW w:w="208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68%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60" w:type="dxa"/>
            <w:vAlign w:val="bottom"/>
          </w:tcPr>
          <w:p>
            <w:pPr>
              <w:spacing w:after="0"/>
              <w:rPr>
                <w:sz w:val="18"/>
                <w:szCs w:val="18"/>
                <w:color w:val="auto"/>
              </w:rPr>
            </w:pPr>
          </w:p>
        </w:tc>
      </w:tr>
      <w:tr>
        <w:trPr>
          <w:trHeight w:val="430"/>
        </w:trPr>
        <w:tc>
          <w:tcPr>
            <w:tcW w:w="2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80" w:type="dxa"/>
            <w:vAlign w:val="bottom"/>
          </w:tcPr>
          <w:p>
            <w:pPr>
              <w:jc w:val="right"/>
              <w:ind w:right="1572"/>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142"/>
        </w:trPr>
        <w:tc>
          <w:tcPr>
            <w:tcW w:w="3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162"/>
              <w:spacing w:after="0"/>
              <w:rPr>
                <w:sz w:val="20"/>
                <w:szCs w:val="20"/>
                <w:color w:val="auto"/>
              </w:rPr>
            </w:pPr>
            <w:r>
              <w:rPr>
                <w:rFonts w:ascii="Arial" w:cs="Arial" w:eastAsia="Arial" w:hAnsi="Arial"/>
                <w:sz w:val="18"/>
                <w:szCs w:val="18"/>
                <w:color w:val="auto"/>
                <w:w w:val="93"/>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11,800</w:t>
            </w:r>
          </w:p>
        </w:tc>
        <w:tc>
          <w:tcPr>
            <w:tcW w:w="1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1"/>
              </w:rPr>
              <w:t>As a percentage of LendingTree Loans revenue</w:t>
            </w:r>
          </w:p>
        </w:tc>
        <w:tc>
          <w:tcPr>
            <w:tcW w:w="10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 gross margin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430"/>
        </w:trPr>
        <w:tc>
          <w:tcPr>
            <w:tcW w:w="3500" w:type="dxa"/>
            <w:vAlign w:val="bottom"/>
          </w:tcPr>
          <w:p>
            <w:pPr>
              <w:spacing w:after="0"/>
              <w:rPr>
                <w:sz w:val="20"/>
                <w:szCs w:val="20"/>
                <w:color w:val="auto"/>
              </w:rPr>
            </w:pPr>
            <w:r>
              <w:rPr>
                <w:rFonts w:ascii="Arial" w:cs="Arial" w:eastAsia="Arial" w:hAnsi="Arial"/>
                <w:sz w:val="18"/>
                <w:szCs w:val="18"/>
                <w:color w:val="auto"/>
              </w:rPr>
              <w:t>Cost of revenue—Exchanges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24"/>
                <w:szCs w:val="24"/>
                <w:color w:val="auto"/>
              </w:rPr>
            </w:pPr>
          </w:p>
        </w:tc>
        <w:tc>
          <w:tcPr>
            <w:tcW w:w="1040" w:type="dxa"/>
            <w:vAlign w:val="bottom"/>
            <w:gridSpan w:val="3"/>
          </w:tcPr>
          <w:p>
            <w:pPr>
              <w:jc w:val="center"/>
              <w:ind w:left="232"/>
              <w:spacing w:after="0"/>
              <w:rPr>
                <w:sz w:val="20"/>
                <w:szCs w:val="20"/>
                <w:color w:val="auto"/>
              </w:rPr>
            </w:pPr>
            <w:r>
              <w:rPr>
                <w:rFonts w:ascii="Arial" w:cs="Arial" w:eastAsia="Arial" w:hAnsi="Arial"/>
                <w:sz w:val="18"/>
                <w:szCs w:val="18"/>
                <w:color w:val="auto"/>
                <w:w w:val="91"/>
              </w:rPr>
              <w:t>(52)%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3,905</w:t>
            </w:r>
          </w:p>
        </w:tc>
        <w:tc>
          <w:tcPr>
            <w:tcW w:w="140" w:type="dxa"/>
            <w:vAlign w:val="bottom"/>
          </w:tcPr>
          <w:p>
            <w:pPr>
              <w:spacing w:after="0"/>
              <w:rPr>
                <w:sz w:val="24"/>
                <w:szCs w:val="24"/>
                <w:color w:val="auto"/>
              </w:rPr>
            </w:pPr>
          </w:p>
        </w:tc>
      </w:tr>
      <w:tr>
        <w:trPr>
          <w:trHeight w:val="21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Exchanges revenue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Exchanges gross margin</w:t>
            </w:r>
          </w:p>
        </w:tc>
        <w:tc>
          <w:tcPr>
            <w:tcW w:w="10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4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center"/>
              <w:ind w:left="232"/>
              <w:spacing w:after="0"/>
              <w:rPr>
                <w:sz w:val="20"/>
                <w:szCs w:val="20"/>
                <w:color w:val="auto"/>
              </w:rPr>
            </w:pPr>
            <w:r>
              <w:rPr>
                <w:rFonts w:ascii="Arial" w:cs="Arial" w:eastAsia="Arial" w:hAnsi="Arial"/>
                <w:sz w:val="18"/>
                <w:szCs w:val="18"/>
                <w:color w:val="auto"/>
                <w:w w:val="91"/>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40" w:type="dxa"/>
            <w:vAlign w:val="bottom"/>
            <w:shd w:val="clear" w:color="auto" w:fill="CCEEFF"/>
          </w:tcPr>
          <w:p>
            <w:pPr>
              <w:spacing w:after="0"/>
              <w:rPr>
                <w:sz w:val="24"/>
                <w:szCs w:val="24"/>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10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Real Estate gross margin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0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employee-related costs (including stock-based compensation) related to customer call centers, real estate network support staff and loan officers, as well as credit scoring fees, consumer incentive costs, real estate agent commissions and website network hosting and server fees.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Cost of revenue in 2009 decreased $3.0 million from 2008 primarily due to decreases of $1.9 million in compensation and other employee-related costs,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million in consumer incentive rebates related to decreased closings at the Exchanges and the Real Estate builder and broker network businesses,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$0.7 million in direct costs associated with the settlement services business. The decrease in compensation and other employee-related costs is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reduced personnel costs associated with Tree.com's customer call center, settlement services operation and portions of its loan processing department.</w:t>
      </w:r>
    </w:p>
    <w:p>
      <w:pPr>
        <w:spacing w:after="0" w:line="242"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Offsetting these decreases in cost of revenue was an increase of $1.4 million in costs associated with loan originations in LendingTree Loans. This increase corresponds to the increases in both revenue from the origination and sales of loans and the dollar value of loans closed directly by LendingTree Loans.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 March 31,</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16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Exchanges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11,968</w:t>
            </w:r>
          </w:p>
        </w:tc>
        <w:tc>
          <w:tcPr>
            <w:tcW w:w="2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27,436</w:t>
            </w: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6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Elimination of inter-segment marketing</w:t>
            </w:r>
          </w:p>
        </w:tc>
        <w:tc>
          <w:tcPr>
            <w:tcW w:w="80" w:type="dxa"/>
            <w:vAlign w:val="bottom"/>
          </w:tcPr>
          <w:p>
            <w:pPr>
              <w:spacing w:after="0"/>
              <w:rPr>
                <w:sz w:val="19"/>
                <w:szCs w:val="19"/>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w w:val="91"/>
              </w:rPr>
              <w:t>(1,938)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(5,716)</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13,822</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29,927</w:t>
            </w:r>
          </w:p>
        </w:tc>
        <w:tc>
          <w:tcPr>
            <w:tcW w:w="16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ind w:left="2880"/>
              <w:spacing w:after="0"/>
              <w:rPr>
                <w:sz w:val="20"/>
                <w:szCs w:val="20"/>
                <w:color w:val="auto"/>
              </w:rPr>
            </w:pPr>
            <w:r>
              <w:rPr>
                <w:rFonts w:ascii="Arial" w:cs="Arial" w:eastAsia="Arial" w:hAnsi="Arial"/>
                <w:sz w:val="18"/>
                <w:szCs w:val="18"/>
                <w:color w:val="auto"/>
              </w:rPr>
              <w:t>As a percentage of total revenue</w:t>
            </w: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
              <w:spacing w:after="0" w:line="203"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43%</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5980" w:type="dxa"/>
            <w:vAlign w:val="bottom"/>
            <w:gridSpan w:val="2"/>
          </w:tcPr>
          <w:p>
            <w:pPr>
              <w:jc w:val="right"/>
              <w:ind w:right="9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8"/>
              </w:rPr>
              <w:t>Three Months Ended March 31,</w:t>
            </w: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 Change</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89"/>
              </w:rPr>
              <w:t>Selling and marketing expense—LendingTree Loans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8"/>
              </w:rPr>
              <w:t>As a percentage of LendingTree Loans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20" w:type="dxa"/>
            <w:vAlign w:val="bottom"/>
          </w:tcPr>
          <w:p>
            <w:pPr>
              <w:spacing w:after="0"/>
              <w:rPr>
                <w:sz w:val="24"/>
                <w:szCs w:val="2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expense—Exchanges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11,968</w:t>
            </w:r>
          </w:p>
        </w:tc>
        <w:tc>
          <w:tcPr>
            <w:tcW w:w="24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27,436</w:t>
            </w:r>
          </w:p>
        </w:tc>
        <w:tc>
          <w:tcPr>
            <w:tcW w:w="14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As a percentage of Exchanges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20" w:type="dxa"/>
            <w:vAlign w:val="bottom"/>
          </w:tcPr>
          <w:p>
            <w:pPr>
              <w:spacing w:after="0"/>
              <w:rPr>
                <w:sz w:val="24"/>
                <w:szCs w:val="2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expense—Real Estate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4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40" w:type="dxa"/>
            <w:vAlign w:val="bottom"/>
            <w:shd w:val="clear" w:color="auto" w:fill="CCEEFF"/>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201"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both"/>
        <w:ind w:right="20" w:firstLine="341"/>
        <w:spacing w:after="0" w:line="298" w:lineRule="auto"/>
        <w:rPr>
          <w:sz w:val="20"/>
          <w:szCs w:val="20"/>
          <w:color w:val="auto"/>
        </w:rPr>
      </w:pPr>
      <w:r>
        <w:rPr>
          <w:rFonts w:ascii="Arial" w:cs="Arial" w:eastAsia="Arial" w:hAnsi="Arial"/>
          <w:sz w:val="16"/>
          <w:szCs w:val="16"/>
          <w:color w:val="auto"/>
        </w:rPr>
        <w:t>Advertising for the Exchanges is primarily the building and maintaining of the Company's core brands, using both online and offline spending, and generates leads not only for the Exchanges but for our other segments as well. Marketing expense for LendingTree Loans is primarily comprised of inter-segment purchases of leads from the Exchanges, leveraging the LendingTree and GetSmart brands. The remainder of the expense is comprised of lead purchases from third parties. Advertising for Real Estate primarily consists of lead generation through online spending, as well as lead purchases from the Exchanges.</w:t>
      </w:r>
    </w:p>
    <w:p>
      <w:pPr>
        <w:spacing w:after="0" w:line="16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Overall selling and marketing expense in 2009 decreased $16.1 million from 2008 primarily due to a decrease of $15.8 million in advertising and promotional expenditures. In 2009, Tree.com decreased its online marketing advertising by $10.2 million, from $17.8 million in 2008 to $7.6 million in 2009. Tree.com also decreased its broadcast advertising by $3.5 million, from $7.3 million in 2008 to $3.8 million in 2009.</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decline in selling and marketing expense for the LendingTree Loans segment, both in whole dollars and as a percentage of revenue, is related to a decrease in the cost per lead acquired from the Exchanges and receiving "overflow" leads from a partner that received more leads than their current capacity could handle. The Exchanges were able to decrease advertising spend due to naturally higher consumer demand driven by the favorable mortgage rate trends and improvements in organic traffic.</w:t>
      </w:r>
    </w:p>
    <w:p>
      <w:pPr>
        <w:spacing w:after="0" w:line="197"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 March 31,</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6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Exchanges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2,791</w:t>
            </w:r>
          </w:p>
        </w:tc>
        <w:tc>
          <w:tcPr>
            <w:tcW w:w="2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3,708</w:t>
            </w: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Unallocated—corporate</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5,842</w:t>
            </w:r>
          </w:p>
        </w:tc>
        <w:tc>
          <w:tcPr>
            <w:tcW w:w="22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6,565</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0"/>
              </w:rPr>
              <w:t>General and administrative expense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16,694</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20,659</w:t>
            </w:r>
          </w:p>
        </w:tc>
        <w:tc>
          <w:tcPr>
            <w:tcW w:w="16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2880"/>
              <w:spacing w:after="0"/>
              <w:rPr>
                <w:sz w:val="20"/>
                <w:szCs w:val="20"/>
                <w:color w:val="auto"/>
              </w:rPr>
            </w:pPr>
            <w:r>
              <w:rPr>
                <w:rFonts w:ascii="Arial" w:cs="Arial" w:eastAsia="Arial" w:hAnsi="Arial"/>
                <w:sz w:val="18"/>
                <w:szCs w:val="18"/>
                <w:color w:val="auto"/>
                <w:w w:val="99"/>
              </w:rPr>
              <w:t>As a percentage of total revenue</w:t>
            </w:r>
          </w:p>
        </w:tc>
        <w:tc>
          <w:tcPr>
            <w:tcW w:w="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
              <w:spacing w:after="0" w:line="203"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29%</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8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4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142"/>
        </w:trPr>
        <w:tc>
          <w:tcPr>
            <w:tcW w:w="45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7"/>
              </w:rPr>
              <w:t>General and administrative expense—LendingTree Loans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$5,337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$7,101</w:t>
            </w: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As a percentage of LendingTree Loans revenue</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432"/>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expense—Exchanges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$2,791</w:t>
            </w:r>
          </w:p>
        </w:tc>
        <w:tc>
          <w:tcPr>
            <w:tcW w:w="3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$3,708</w:t>
            </w:r>
          </w:p>
        </w:tc>
        <w:tc>
          <w:tcPr>
            <w:tcW w:w="160" w:type="dxa"/>
            <w:vAlign w:val="bottom"/>
            <w:shd w:val="clear" w:color="auto" w:fill="CCEEFF"/>
          </w:tcPr>
          <w:p>
            <w:pPr>
              <w:spacing w:after="0"/>
              <w:rPr>
                <w:sz w:val="24"/>
                <w:szCs w:val="24"/>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As a percentage of Exchanges revenue</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432"/>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expense—Real Estate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$2,724</w:t>
            </w:r>
          </w:p>
        </w:tc>
        <w:tc>
          <w:tcPr>
            <w:tcW w:w="3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$3,285</w:t>
            </w:r>
          </w:p>
        </w:tc>
        <w:tc>
          <w:tcPr>
            <w:tcW w:w="160" w:type="dxa"/>
            <w:vAlign w:val="bottom"/>
            <w:shd w:val="clear" w:color="auto" w:fill="CCEEFF"/>
          </w:tcPr>
          <w:p>
            <w:pPr>
              <w:spacing w:after="0"/>
              <w:rPr>
                <w:sz w:val="24"/>
                <w:szCs w:val="24"/>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432"/>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1"/>
              </w:rPr>
              <w:t>General and administrative expense—Unallocated—corporate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$5,842</w:t>
            </w:r>
          </w:p>
        </w:tc>
        <w:tc>
          <w:tcPr>
            <w:tcW w:w="3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$6,565</w:t>
            </w:r>
          </w:p>
        </w:tc>
        <w:tc>
          <w:tcPr>
            <w:tcW w:w="160" w:type="dxa"/>
            <w:vAlign w:val="bottom"/>
            <w:shd w:val="clear" w:color="auto" w:fill="CCEEFF"/>
          </w:tcPr>
          <w:p>
            <w:pPr>
              <w:spacing w:after="0"/>
              <w:rPr>
                <w:sz w:val="24"/>
                <w:szCs w:val="24"/>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IT, human resources and executive management functions, as well as facilities and infrastructure costs and fees for professional services.</w:t>
      </w:r>
    </w:p>
    <w:p>
      <w:pPr>
        <w:spacing w:after="0" w:line="19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General and administrative expense in 2009 decreased across all segments, including the unallocated—corporate group, by $4.0 million from 2008. These decreases reflect a $2.9 million reduction in compensation and other employee-related costs, excluding non-cash compensation, as a result of prior restructuring activities. Other significant decreases during 2009 include $0.9 million in professional fees, $0.3 million in facilities costs and $0.2 million in bad debt expense. In addition, 2008 includes a charge of $1.4 million associated with legal and regulatory costs. These decreases were partially offset by an increase in non-cash compensation expense.</w:t>
      </w:r>
    </w:p>
    <w:p>
      <w:pPr>
        <w:spacing w:after="0" w:line="197"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result of the spin-off and reductions in base salaries for executives and other employees, the Company has placed greater emphasis on equity compensation than did IAC. In February 2009, the Compensation Committee determined that the Company's compensation programs should have less of a fixed component and, instead, should be much more variable and tied to individual and corporate performance. The Compensation Committee believes placing a greater emphasis on incentive arrangements and equity compensation will result in the Company's executives and employees being paid for performance and will better align their incentives with the Company's strategic goals. As a result of this shift in compensation philosophy, non-cash compensation expense was $1.1 million in 2009 compared with $0.5 million in 2008.</w:t>
      </w:r>
    </w:p>
    <w:p>
      <w:pPr>
        <w:spacing w:after="0" w:line="17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of March 31, 2009, there was approximately $4.8 million and $3.0 million of unrecognized compensation cost, net of estimated forfeitures, related to stock options and RSUs and restricted stock, respectively. These costs are expected to be recognized over a weighted average period of approximately 3.6 years for stock options and 1.9 years for RSUs and restricted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75"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15"/>
          </w:tcPr>
          <w:p>
            <w:pPr>
              <w:jc w:val="center"/>
              <w:ind w:right="34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46"/>
              <w:spacing w:after="0" w:line="142" w:lineRule="exact"/>
              <w:rPr>
                <w:sz w:val="20"/>
                <w:szCs w:val="20"/>
                <w:color w:val="auto"/>
              </w:rPr>
            </w:pPr>
            <w:r>
              <w:rPr>
                <w:rFonts w:ascii="Arial" w:cs="Arial" w:eastAsia="Arial" w:hAnsi="Arial"/>
                <w:sz w:val="14"/>
                <w:szCs w:val="14"/>
                <w:b w:val="1"/>
                <w:bCs w:val="1"/>
                <w:color w:val="auto"/>
                <w:w w:val="83"/>
              </w:rPr>
              <w:t>2009</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320" w:type="dxa"/>
            <w:vAlign w:val="bottom"/>
            <w:tcBorders>
              <w:top w:val="single" w:sz="8" w:color="auto"/>
            </w:tcBorders>
            <w:gridSpan w:val="2"/>
          </w:tcPr>
          <w:p>
            <w:pPr>
              <w:spacing w:after="0"/>
              <w:rPr>
                <w:sz w:val="12"/>
                <w:szCs w:val="12"/>
                <w:color w:val="auto"/>
              </w:rPr>
            </w:pPr>
          </w:p>
        </w:tc>
        <w:tc>
          <w:tcPr>
            <w:tcW w:w="500" w:type="dxa"/>
            <w:vAlign w:val="bottom"/>
            <w:tcBorders>
              <w:top w:val="single" w:sz="8" w:color="auto"/>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(56)%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Exchanges</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ind w:left="440"/>
              <w:spacing w:after="0"/>
              <w:rPr>
                <w:sz w:val="20"/>
                <w:szCs w:val="20"/>
                <w:color w:val="auto"/>
              </w:rPr>
            </w:pPr>
            <w:r>
              <w:rPr>
                <w:rFonts w:ascii="Arial" w:cs="Arial" w:eastAsia="Arial" w:hAnsi="Arial"/>
                <w:sz w:val="18"/>
                <w:szCs w:val="18"/>
                <w:color w:val="auto"/>
              </w:rPr>
              <w:t>(43)%</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1,110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Unallocated—corporate</w:t>
            </w: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N/A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$1,608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(24)%</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$2,109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00" w:type="dxa"/>
            <w:vAlign w:val="bottom"/>
            <w:gridSpan w:val="2"/>
            <w:vMerge w:val="restart"/>
          </w:tcPr>
          <w:p>
            <w:pPr>
              <w:ind w:left="80"/>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72"/>
              <w:spacing w:after="0" w:line="203"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4"/>
          </w:tcPr>
          <w:p>
            <w:pPr>
              <w:jc w:val="center"/>
              <w:ind w:right="16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 Change</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Product development—LendingTree Loans</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w w:val="88"/>
              </w:rPr>
              <w:t>As a percentage of LendingTree Loans revenue</w:t>
            </w:r>
          </w:p>
        </w:tc>
        <w:tc>
          <w:tcPr>
            <w:tcW w:w="120" w:type="dxa"/>
            <w:vAlign w:val="bottom"/>
          </w:tcPr>
          <w:p>
            <w:pPr>
              <w:spacing w:after="0"/>
              <w:rPr>
                <w:sz w:val="18"/>
                <w:szCs w:val="18"/>
                <w:color w:val="auto"/>
              </w:rPr>
            </w:pPr>
          </w:p>
        </w:tc>
        <w:tc>
          <w:tcPr>
            <w:tcW w:w="560" w:type="dxa"/>
            <w:vAlign w:val="bottom"/>
            <w:gridSpan w:val="3"/>
          </w:tcPr>
          <w:p>
            <w:pPr>
              <w:jc w:val="right"/>
              <w:ind w:right="1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development—Exchanges</w:t>
            </w:r>
          </w:p>
        </w:tc>
        <w:tc>
          <w:tcPr>
            <w:tcW w:w="10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24"/>
                <w:szCs w:val="24"/>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8"/>
              </w:rPr>
              <w:t>$1,110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As a percentage of Exchanges revenue</w:t>
            </w: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development—Real Estate</w:t>
            </w:r>
          </w:p>
        </w:tc>
        <w:tc>
          <w:tcPr>
            <w:tcW w:w="10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24"/>
                <w:szCs w:val="24"/>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As a percentage of Real Estate revenue</w:t>
            </w: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Product development—Unallocated—corporate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Product development expense in 2009 decreased $0.5 million from 2008, due to decreased compensation and other employee-related costs associated with reductions in workforce that occurred during 2008.</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 March 31,</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8"/>
              </w:rPr>
              <w:t>% Change</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73"/>
              </w:rPr>
              <w:t>(Dollars</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40" w:type="dxa"/>
            <w:vAlign w:val="bottom"/>
            <w:gridSpan w:val="3"/>
            <w:shd w:val="clear" w:color="auto" w:fill="CCEEFF"/>
          </w:tcPr>
          <w:p>
            <w:pPr>
              <w:jc w:val="right"/>
              <w:ind w:right="204"/>
              <w:spacing w:after="0"/>
              <w:rPr>
                <w:sz w:val="20"/>
                <w:szCs w:val="20"/>
                <w:color w:val="auto"/>
              </w:rPr>
            </w:pPr>
            <w:r>
              <w:rPr>
                <w:rFonts w:ascii="Arial" w:cs="Arial" w:eastAsia="Arial" w:hAnsi="Arial"/>
                <w:sz w:val="18"/>
                <w:szCs w:val="18"/>
                <w:color w:val="auto"/>
              </w:rPr>
              <w:t>$(108)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$402</w:t>
            </w:r>
          </w:p>
        </w:tc>
        <w:tc>
          <w:tcPr>
            <w:tcW w:w="140" w:type="dxa"/>
            <w:vAlign w:val="bottom"/>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Exchanges</w:t>
            </w:r>
          </w:p>
        </w:tc>
        <w:tc>
          <w:tcPr>
            <w:tcW w:w="1640" w:type="dxa"/>
            <w:vAlign w:val="bottom"/>
            <w:gridSpan w:val="3"/>
          </w:tcPr>
          <w:p>
            <w:pPr>
              <w:jc w:val="right"/>
              <w:ind w:right="264"/>
              <w:spacing w:after="0"/>
              <w:rPr>
                <w:sz w:val="20"/>
                <w:szCs w:val="20"/>
                <w:color w:val="auto"/>
              </w:rPr>
            </w:pPr>
            <w:r>
              <w:rPr>
                <w:rFonts w:ascii="Arial" w:cs="Arial" w:eastAsia="Arial" w:hAnsi="Arial"/>
                <w:sz w:val="18"/>
                <w:szCs w:val="18"/>
                <w:color w:val="auto"/>
              </w:rPr>
              <w:t>59</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4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733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Unallocated—corporate</w:t>
            </w:r>
          </w:p>
        </w:tc>
        <w:tc>
          <w:tcPr>
            <w:tcW w:w="1640" w:type="dxa"/>
            <w:vAlign w:val="bottom"/>
            <w:gridSpan w:val="3"/>
          </w:tcPr>
          <w:p>
            <w:pPr>
              <w:jc w:val="right"/>
              <w:ind w:right="264"/>
              <w:spacing w:after="0"/>
              <w:rPr>
                <w:sz w:val="20"/>
                <w:szCs w:val="20"/>
                <w:color w:val="auto"/>
              </w:rPr>
            </w:pPr>
            <w:r>
              <w:rPr>
                <w:rFonts w:ascii="Arial" w:cs="Arial" w:eastAsia="Arial" w:hAnsi="Arial"/>
                <w:sz w:val="18"/>
                <w:szCs w:val="18"/>
                <w:color w:val="auto"/>
              </w:rPr>
              <w:t>158</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64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$ 842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$402</w:t>
            </w:r>
          </w:p>
        </w:tc>
        <w:tc>
          <w:tcPr>
            <w:tcW w:w="140" w:type="dxa"/>
            <w:vAlign w:val="bottom"/>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480" w:type="dxa"/>
            <w:vAlign w:val="bottom"/>
            <w:vMerge w:val="restart"/>
          </w:tcPr>
          <w:p>
            <w:pPr>
              <w:spacing w:after="0"/>
              <w:rPr>
                <w:sz w:val="20"/>
                <w:szCs w:val="20"/>
                <w:color w:val="auto"/>
              </w:rPr>
            </w:pPr>
            <w:r>
              <w:rPr>
                <w:rFonts w:ascii="Arial" w:cs="Arial" w:eastAsia="Arial" w:hAnsi="Arial"/>
                <w:sz w:val="18"/>
                <w:szCs w:val="18"/>
                <w:color w:val="auto"/>
                <w:w w:val="94"/>
              </w:rPr>
              <w:t>As a percentage of total revenue</w:t>
            </w:r>
          </w:p>
        </w:tc>
        <w:tc>
          <w:tcPr>
            <w:tcW w:w="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8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gridSpan w:val="2"/>
          </w:tcPr>
          <w:p>
            <w:pPr>
              <w:jc w:val="right"/>
              <w:ind w:right="124"/>
              <w:spacing w:after="0" w:line="203" w:lineRule="exact"/>
              <w:rPr>
                <w:sz w:val="20"/>
                <w:szCs w:val="20"/>
                <w:color w:val="auto"/>
              </w:rPr>
            </w:pPr>
            <w:r>
              <w:rPr>
                <w:rFonts w:ascii="Arial" w:cs="Arial" w:eastAsia="Arial" w:hAnsi="Arial"/>
                <w:sz w:val="18"/>
                <w:szCs w:val="18"/>
                <w:color w:val="auto"/>
              </w:rPr>
              <w:t>1%</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9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88"/>
              </w:rPr>
              <w:t>Three Months Ended March 31,</w:t>
            </w:r>
          </w:p>
        </w:tc>
      </w:tr>
      <w:tr>
        <w:trPr>
          <w:trHeight w:val="142"/>
        </w:trPr>
        <w:tc>
          <w:tcPr>
            <w:tcW w:w="35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w w:val="71"/>
              </w:rPr>
              <w:t>(Dollars</w:t>
            </w: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85"/>
              </w:rPr>
              <w:t>(108)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402</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3"/>
              </w:rPr>
              <w:t>As a percentage of LendingTree Loans revenue</w:t>
            </w:r>
          </w:p>
        </w:tc>
        <w:tc>
          <w:tcPr>
            <w:tcW w:w="100" w:type="dxa"/>
            <w:vAlign w:val="bottom"/>
          </w:tcPr>
          <w:p>
            <w:pPr>
              <w:spacing w:after="0"/>
              <w:rPr>
                <w:sz w:val="18"/>
                <w:szCs w:val="18"/>
                <w:color w:val="auto"/>
              </w:rPr>
            </w:pPr>
          </w:p>
        </w:tc>
        <w:tc>
          <w:tcPr>
            <w:tcW w:w="660" w:type="dxa"/>
            <w:vAlign w:val="bottom"/>
            <w:gridSpan w:val="2"/>
          </w:tcPr>
          <w:p>
            <w:pPr>
              <w:jc w:val="right"/>
              <w:ind w:right="278"/>
              <w:spacing w:after="0"/>
              <w:rPr>
                <w:sz w:val="20"/>
                <w:szCs w:val="20"/>
                <w:color w:val="auto"/>
              </w:rPr>
            </w:pPr>
            <w:r>
              <w:rPr>
                <w:rFonts w:ascii="Arial" w:cs="Arial" w:eastAsia="Arial" w:hAnsi="Arial"/>
                <w:sz w:val="18"/>
                <w:szCs w:val="18"/>
                <w:color w:val="auto"/>
              </w:rPr>
              <w:t>NM</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432"/>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expense—Exchanges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59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As a percentage of Exchanges revenue</w:t>
            </w:r>
          </w:p>
        </w:tc>
        <w:tc>
          <w:tcPr>
            <w:tcW w:w="100" w:type="dxa"/>
            <w:vAlign w:val="bottom"/>
          </w:tcPr>
          <w:p>
            <w:pPr>
              <w:spacing w:after="0"/>
              <w:rPr>
                <w:sz w:val="18"/>
                <w:szCs w:val="18"/>
                <w:color w:val="auto"/>
              </w:rPr>
            </w:pPr>
          </w:p>
        </w:tc>
        <w:tc>
          <w:tcPr>
            <w:tcW w:w="660" w:type="dxa"/>
            <w:vAlign w:val="bottom"/>
            <w:gridSpan w:val="2"/>
          </w:tcPr>
          <w:p>
            <w:pPr>
              <w:jc w:val="right"/>
              <w:ind w:right="278"/>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32"/>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w w:val="99"/>
              </w:rPr>
              <w:t>733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100" w:type="dxa"/>
            <w:vAlign w:val="bottom"/>
          </w:tcPr>
          <w:p>
            <w:pPr>
              <w:spacing w:after="0"/>
              <w:rPr>
                <w:sz w:val="18"/>
                <w:szCs w:val="18"/>
                <w:color w:val="auto"/>
              </w:rPr>
            </w:pPr>
          </w:p>
        </w:tc>
        <w:tc>
          <w:tcPr>
            <w:tcW w:w="660" w:type="dxa"/>
            <w:vAlign w:val="bottom"/>
            <w:gridSpan w:val="2"/>
          </w:tcPr>
          <w:p>
            <w:pPr>
              <w:jc w:val="right"/>
              <w:ind w:right="118"/>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32"/>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1"/>
              </w:rPr>
              <w:t>Restructuring expense—Unallocated—corporate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w w:val="99"/>
              </w:rPr>
              <w:t>158</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Pr>
          <w:p>
            <w:pPr>
              <w:spacing w:after="0"/>
              <w:rPr>
                <w:sz w:val="19"/>
                <w:szCs w:val="19"/>
                <w:color w:val="auto"/>
              </w:rPr>
            </w:pPr>
          </w:p>
        </w:tc>
        <w:tc>
          <w:tcPr>
            <w:tcW w:w="660" w:type="dxa"/>
            <w:vAlign w:val="bottom"/>
            <w:gridSpan w:val="2"/>
          </w:tcPr>
          <w:p>
            <w:pPr>
              <w:jc w:val="right"/>
              <w:ind w:right="278"/>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response to adverse developments in mortgage and real estate market conditions, Tree.com recorded restructuring expense of $0.8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the three months ended March 31, 2009 and 2008, respectively. The restructuring expense for the three months ended March 31, 2009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for employee termination costs associated with reductions in workforce. The restructuring expense for the three months ended March 31, 2008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associated with exiting facilities previously used by LendingTree Loans.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Earnings Before Interest, Taxes, Depreciation and Amortization</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Earnings Before Interest, Taxes, Depreciation and Amortization ("EBITDA") is a non-GAAP measure and is defined in "Tree.com's Principles of Financial Reporting".</w:t>
      </w:r>
    </w:p>
    <w:p>
      <w:pPr>
        <w:spacing w:after="0" w:line="236"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6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Three Months Ended March 31,</w:t>
            </w:r>
          </w:p>
        </w:tc>
      </w:tr>
      <w:tr>
        <w:trPr>
          <w:trHeight w:val="142"/>
        </w:trPr>
        <w:tc>
          <w:tcPr>
            <w:tcW w:w="3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$15,092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$ 5,139</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Exchanges</w:t>
            </w: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2,478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(3,676)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(2,453)</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w w:val="92"/>
              </w:rPr>
              <w:t>Unallocated and inter-segment eliminations</w:t>
            </w:r>
          </w:p>
        </w:tc>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rPr>
              <w:t>(5,972)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(7,155)</w:t>
            </w:r>
          </w:p>
        </w:tc>
      </w:tr>
      <w:tr>
        <w:trPr>
          <w:trHeight w:val="21"/>
        </w:trPr>
        <w:tc>
          <w:tcPr>
            <w:tcW w:w="3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3"/>
              </w:rPr>
              <w:t>$ 7,922</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$(3,489)</w:t>
            </w:r>
          </w:p>
        </w:tc>
      </w:tr>
      <w:tr>
        <w:trPr>
          <w:trHeight w:val="27"/>
        </w:trPr>
        <w:tc>
          <w:tcPr>
            <w:tcW w:w="3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8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As a percentage of total revenue</w:t>
            </w:r>
          </w:p>
        </w:tc>
        <w:tc>
          <w:tcPr>
            <w:tcW w:w="680" w:type="dxa"/>
            <w:vAlign w:val="bottom"/>
            <w:gridSpan w:val="2"/>
          </w:tcPr>
          <w:p>
            <w:pPr>
              <w:jc w:val="right"/>
              <w:ind w:right="212"/>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844"/>
        </w:trPr>
        <w:tc>
          <w:tcPr>
            <w:tcW w:w="23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Three Months Ended March 31,</w:t>
            </w:r>
          </w:p>
        </w:tc>
        <w:tc>
          <w:tcPr>
            <w:tcW w:w="2360" w:type="dxa"/>
            <w:vAlign w:val="bottom"/>
          </w:tcPr>
          <w:p>
            <w:pPr>
              <w:spacing w:after="0"/>
              <w:rPr>
                <w:sz w:val="24"/>
                <w:szCs w:val="24"/>
                <w:color w:val="auto"/>
              </w:rPr>
            </w:pPr>
          </w:p>
        </w:tc>
      </w:tr>
      <w:tr>
        <w:trPr>
          <w:trHeight w:val="142"/>
        </w:trPr>
        <w:tc>
          <w:tcPr>
            <w:tcW w:w="2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 Change</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0"/>
        </w:trPr>
        <w:tc>
          <w:tcPr>
            <w:tcW w:w="23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42"/>
        </w:trPr>
        <w:tc>
          <w:tcPr>
            <w:tcW w:w="2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(Dollars in thousands)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16"/>
        </w:trPr>
        <w:tc>
          <w:tcPr>
            <w:tcW w:w="23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EBITDA—LendingTree Loans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5,139</w:t>
            </w:r>
          </w:p>
        </w:tc>
        <w:tc>
          <w:tcPr>
            <w:tcW w:w="220" w:type="dxa"/>
            <w:vAlign w:val="bottom"/>
            <w:shd w:val="clear" w:color="auto" w:fill="CCEEFF"/>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As a percentage of LendingTree Loans revenue</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360" w:type="dxa"/>
            <w:vAlign w:val="bottom"/>
          </w:tcPr>
          <w:p>
            <w:pPr>
              <w:spacing w:after="0"/>
              <w:rPr>
                <w:sz w:val="18"/>
                <w:szCs w:val="18"/>
                <w:color w:val="auto"/>
              </w:rPr>
            </w:pPr>
          </w:p>
        </w:tc>
      </w:tr>
      <w:tr>
        <w:trPr>
          <w:trHeight w:val="432"/>
        </w:trPr>
        <w:tc>
          <w:tcPr>
            <w:tcW w:w="238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EBITDA—Exchanges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$ 2,478</w:t>
            </w:r>
          </w:p>
        </w:tc>
        <w:tc>
          <w:tcPr>
            <w:tcW w:w="2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20" w:type="dxa"/>
            <w:vAlign w:val="bottom"/>
            <w:shd w:val="clear" w:color="auto" w:fill="CCEEFF"/>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As a percentage of Exchanges revenue</w:t>
            </w:r>
          </w:p>
        </w:tc>
        <w:tc>
          <w:tcPr>
            <w:tcW w:w="940" w:type="dxa"/>
            <w:vAlign w:val="bottom"/>
            <w:gridSpan w:val="3"/>
          </w:tcPr>
          <w:p>
            <w:pPr>
              <w:jc w:val="right"/>
              <w:ind w:right="52"/>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360" w:type="dxa"/>
            <w:vAlign w:val="bottom"/>
          </w:tcPr>
          <w:p>
            <w:pPr>
              <w:spacing w:after="0"/>
              <w:rPr>
                <w:sz w:val="18"/>
                <w:szCs w:val="18"/>
                <w:color w:val="auto"/>
              </w:rPr>
            </w:pPr>
          </w:p>
        </w:tc>
      </w:tr>
      <w:tr>
        <w:trPr>
          <w:trHeight w:val="432"/>
        </w:trPr>
        <w:tc>
          <w:tcPr>
            <w:tcW w:w="238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EBITDA—Real Estate</w:t>
            </w:r>
          </w:p>
        </w:tc>
        <w:tc>
          <w:tcPr>
            <w:tcW w:w="9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7"/>
              </w:rPr>
              <w:t>$ (3,676)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(2,453)</w:t>
            </w:r>
          </w:p>
        </w:tc>
        <w:tc>
          <w:tcPr>
            <w:tcW w:w="23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As a percentage of Real Estate revenue</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360" w:type="dxa"/>
            <w:vAlign w:val="bottom"/>
          </w:tcPr>
          <w:p>
            <w:pPr>
              <w:spacing w:after="0"/>
              <w:rPr>
                <w:sz w:val="18"/>
                <w:szCs w:val="18"/>
                <w:color w:val="auto"/>
              </w:rPr>
            </w:pPr>
          </w:p>
        </w:tc>
      </w:tr>
      <w:tr>
        <w:trPr>
          <w:trHeight w:val="432"/>
        </w:trPr>
        <w:tc>
          <w:tcPr>
            <w:tcW w:w="238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2"/>
              </w:rPr>
              <w:t>EBITDA—Unallocated and inter-segment eliminations</w:t>
            </w:r>
          </w:p>
        </w:tc>
        <w:tc>
          <w:tcPr>
            <w:tcW w:w="9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7"/>
              </w:rPr>
              <w:t>$ (5,972)</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(7,155)</w:t>
            </w:r>
          </w:p>
        </w:tc>
        <w:tc>
          <w:tcPr>
            <w:tcW w:w="2360" w:type="dxa"/>
            <w:vAlign w:val="bottom"/>
          </w:tcPr>
          <w:p>
            <w:pPr>
              <w:spacing w:after="0"/>
              <w:rPr>
                <w:sz w:val="24"/>
                <w:szCs w:val="24"/>
                <w:color w:val="auto"/>
              </w:rPr>
            </w:pPr>
          </w:p>
        </w:tc>
      </w:tr>
      <w:tr>
        <w:trPr>
          <w:trHeight w:val="222"/>
        </w:trPr>
        <w:tc>
          <w:tcPr>
            <w:tcW w:w="238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As a percentage of total revenue</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360" w:type="dxa"/>
            <w:vAlign w:val="bottom"/>
          </w:tcPr>
          <w:p>
            <w:pPr>
              <w:spacing w:after="0"/>
              <w:rPr>
                <w:sz w:val="19"/>
                <w:szCs w:val="19"/>
                <w:color w:val="auto"/>
              </w:rPr>
            </w:pPr>
          </w:p>
        </w:tc>
      </w:tr>
      <w:tr>
        <w:trPr>
          <w:trHeight w:val="424"/>
        </w:trPr>
        <w:tc>
          <w:tcPr>
            <w:tcW w:w="6340" w:type="dxa"/>
            <w:vAlign w:val="bottom"/>
            <w:gridSpan w:val="2"/>
          </w:tcPr>
          <w:p>
            <w:pPr>
              <w:jc w:val="right"/>
              <w:ind w:right="45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238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EBITDA in 2009 improved $11.4 million to $7.9 million, reflecting an increase in the LendingTree Loans gross margin, and operating costs decreasing more rapidly than overall revenue in 2009 principally due to the marketing reductions and previous restructuring activities noted above.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75"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4"/>
                <w:szCs w:val="14"/>
                <w:b w:val="1"/>
                <w:bCs w:val="1"/>
                <w:color w:val="auto"/>
                <w:w w:val="89"/>
              </w:rPr>
              <w:t>Three Months Ended March 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center"/>
              <w:ind w:left="157"/>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gridSpan w:val="2"/>
          </w:tcPr>
          <w:p>
            <w:pPr>
              <w:spacing w:after="0"/>
              <w:rPr>
                <w:sz w:val="20"/>
                <w:szCs w:val="20"/>
                <w:color w:val="auto"/>
              </w:rPr>
            </w:pPr>
            <w:r>
              <w:rPr>
                <w:rFonts w:ascii="Arial" w:cs="Arial" w:eastAsia="Arial" w:hAnsi="Arial"/>
                <w:sz w:val="11"/>
                <w:szCs w:val="11"/>
                <w:b w:val="1"/>
                <w:bCs w:val="1"/>
                <w:color w:val="auto"/>
                <w:w w:val="73"/>
              </w:rPr>
              <w:t>(Dollars</w:t>
            </w:r>
          </w:p>
        </w:tc>
        <w:tc>
          <w:tcPr>
            <w:tcW w:w="1320" w:type="dxa"/>
            <w:vAlign w:val="bottom"/>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w w:val="87"/>
              </w:rPr>
              <w:t>14,166</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6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89"/>
              </w:rPr>
              <w:t>$ 4,267</w:t>
            </w:r>
          </w:p>
        </w:tc>
        <w:tc>
          <w:tcPr>
            <w:tcW w:w="24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Exchanges</w:t>
            </w:r>
          </w:p>
        </w:tc>
        <w:tc>
          <w:tcPr>
            <w:tcW w:w="100" w:type="dxa"/>
            <w:vAlign w:val="bottom"/>
          </w:tcPr>
          <w:p>
            <w:pPr>
              <w:spacing w:after="0"/>
              <w:rPr>
                <w:sz w:val="18"/>
                <w:szCs w:val="18"/>
                <w:color w:val="auto"/>
              </w:rPr>
            </w:pPr>
          </w:p>
        </w:tc>
        <w:tc>
          <w:tcPr>
            <w:tcW w:w="660" w:type="dxa"/>
            <w:vAlign w:val="bottom"/>
            <w:gridSpan w:val="2"/>
          </w:tcPr>
          <w:p>
            <w:pPr>
              <w:jc w:val="right"/>
              <w:ind w:right="104"/>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860" w:type="dxa"/>
            <w:vAlign w:val="bottom"/>
            <w:gridSpan w:val="6"/>
          </w:tcPr>
          <w:p>
            <w:pPr>
              <w:jc w:val="right"/>
              <w:ind w:right="92"/>
              <w:spacing w:after="0"/>
              <w:rPr>
                <w:sz w:val="20"/>
                <w:szCs w:val="20"/>
                <w:color w:val="auto"/>
              </w:rPr>
            </w:pPr>
            <w:r>
              <w:rPr>
                <w:rFonts w:ascii="Arial" w:cs="Arial" w:eastAsia="Arial" w:hAnsi="Arial"/>
                <w:sz w:val="18"/>
                <w:szCs w:val="18"/>
                <w:color w:val="auto"/>
              </w:rPr>
              <w:t>(1,776)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94"/>
              </w:rPr>
              <w:t>(5,177)</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60" w:type="dxa"/>
            <w:vAlign w:val="bottom"/>
            <w:gridSpan w:val="6"/>
            <w:shd w:val="clear" w:color="auto" w:fill="CCEEFF"/>
          </w:tcPr>
          <w:p>
            <w:pPr>
              <w:jc w:val="right"/>
              <w:ind w:right="92"/>
              <w:spacing w:after="0"/>
              <w:rPr>
                <w:sz w:val="20"/>
                <w:szCs w:val="20"/>
                <w:color w:val="auto"/>
              </w:rPr>
            </w:pPr>
            <w:r>
              <w:rPr>
                <w:rFonts w:ascii="Arial" w:cs="Arial" w:eastAsia="Arial" w:hAnsi="Arial"/>
                <w:sz w:val="18"/>
                <w:szCs w:val="18"/>
                <w:color w:val="auto"/>
              </w:rPr>
              <w:t>(3,928)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5"/>
              </w:rPr>
              <w:t>Unallocated and inter-segment eliminations</w:t>
            </w:r>
          </w:p>
        </w:tc>
        <w:tc>
          <w:tcPr>
            <w:tcW w:w="100" w:type="dxa"/>
            <w:vAlign w:val="bottom"/>
          </w:tcPr>
          <w:p>
            <w:pPr>
              <w:spacing w:after="0"/>
              <w:rPr>
                <w:sz w:val="19"/>
                <w:szCs w:val="19"/>
                <w:color w:val="auto"/>
              </w:rPr>
            </w:pP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w w:val="94"/>
              </w:rPr>
              <w:t>(7,287)</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60" w:type="dxa"/>
            <w:vAlign w:val="bottom"/>
            <w:gridSpan w:val="6"/>
          </w:tcPr>
          <w:p>
            <w:pPr>
              <w:jc w:val="right"/>
              <w:ind w:right="92"/>
              <w:spacing w:after="0"/>
              <w:rPr>
                <w:sz w:val="20"/>
                <w:szCs w:val="20"/>
                <w:color w:val="auto"/>
              </w:rPr>
            </w:pPr>
            <w:r>
              <w:rPr>
                <w:rFonts w:ascii="Arial" w:cs="Arial" w:eastAsia="Arial" w:hAnsi="Arial"/>
                <w:sz w:val="18"/>
                <w:szCs w:val="18"/>
                <w:color w:val="auto"/>
              </w:rPr>
              <w:t>(8,051)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3,180</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ind w:right="92"/>
              <w:spacing w:after="0"/>
              <w:rPr>
                <w:sz w:val="20"/>
                <w:szCs w:val="20"/>
                <w:color w:val="auto"/>
              </w:rPr>
            </w:pPr>
            <w:r>
              <w:rPr>
                <w:rFonts w:ascii="Arial" w:cs="Arial" w:eastAsia="Arial" w:hAnsi="Arial"/>
                <w:sz w:val="18"/>
                <w:szCs w:val="18"/>
                <w:color w:val="auto"/>
                <w:w w:val="91"/>
              </w:rPr>
              <w:t>$ (9,488)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30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3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tcPr>
          <w:p>
            <w:pPr>
              <w:spacing w:after="0"/>
              <w:rPr>
                <w:sz w:val="17"/>
                <w:szCs w:val="17"/>
                <w:color w:val="auto"/>
              </w:rPr>
            </w:pPr>
          </w:p>
        </w:tc>
        <w:tc>
          <w:tcPr>
            <w:tcW w:w="3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13"/>
          </w:tcPr>
          <w:p>
            <w:pPr>
              <w:jc w:val="center"/>
              <w:ind w:right="24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12"/>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income—LendingTree Loans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$14,166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As a percentage of LendingTree Loans revenue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(loss)—Exchange</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$ 1,478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8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1"/>
              </w:rPr>
              <w:t>$ (1,776)</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As a percentage of Exchanges revenue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(loss)—Real Estate</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(5,177)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gridSpan w:val="8"/>
            <w:shd w:val="clear" w:color="auto" w:fill="CCEEFF"/>
          </w:tcPr>
          <w:p>
            <w:pPr>
              <w:jc w:val="right"/>
              <w:ind w:right="180"/>
              <w:spacing w:after="0"/>
              <w:rPr>
                <w:sz w:val="20"/>
                <w:szCs w:val="20"/>
                <w:color w:val="auto"/>
              </w:rPr>
            </w:pPr>
            <w:r>
              <w:rPr>
                <w:rFonts w:ascii="Arial" w:cs="Arial" w:eastAsia="Arial" w:hAnsi="Arial"/>
                <w:sz w:val="18"/>
                <w:szCs w:val="18"/>
                <w:color w:val="auto"/>
              </w:rPr>
              <w:t>(32)%$ (3,928)</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As a percentage of Real Estate revenue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32"/>
        </w:trPr>
        <w:tc>
          <w:tcPr>
            <w:tcW w:w="4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Operating (loss)—Unallocated and inter-segment eliminations</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(7,287)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gridSpan w:val="8"/>
            <w:shd w:val="clear" w:color="auto" w:fill="CCEEFF"/>
          </w:tcPr>
          <w:p>
            <w:pPr>
              <w:jc w:val="right"/>
              <w:ind w:right="180"/>
              <w:spacing w:after="0"/>
              <w:rPr>
                <w:sz w:val="20"/>
                <w:szCs w:val="20"/>
                <w:color w:val="auto"/>
              </w:rPr>
            </w:pPr>
            <w:r>
              <w:rPr>
                <w:rFonts w:ascii="Arial" w:cs="Arial" w:eastAsia="Arial" w:hAnsi="Arial"/>
                <w:sz w:val="18"/>
                <w:szCs w:val="18"/>
                <w:color w:val="auto"/>
              </w:rPr>
              <w:t>9% $ (8,051)</w:t>
            </w: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As a percentage of total revenue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income in 2009 improved $12.7 million from 2008 resulting primarily from the issues discussed above.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For the three months ended March 31, 2009 and 2008, Tree.com recorded a tax benefit (provision) of $0.1 million and $(0.2) million, respectively, which represents effective tax rates of (2.7)% and 2.1%, respectively. These tax rates are lower than the federal statutory rate of 35% due principally to non-deductible impairment charges and an increase in the valuation allowance on deferred tax assets.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2009, Tree.com had $96.4 million of cash and cash equivalents and restricted cash and cash equivalents.</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Net cash provided by operating activities was $11.2 million in the three months ended March 31, 2009, compared to net cash used in operating activities of $5.6 million in the same period in 2008. The increase of $16.9 million is primarily due to an $11.4 million increase in EBITDA, a $10.7 million increase in net proceeds from and the sale and origination of loans, offset by a decrease in accounts payable and other current liabilities.</w:t>
      </w:r>
    </w:p>
    <w:p>
      <w:pPr>
        <w:spacing w:after="0" w:line="161"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Net cash used in investing activities in the three months ended March 31, 2009 of $1.1 million primarily resulted from an acquisition of $1.0 million and capital expenditures of $0.6 million. Net cash used in investing activities in the same period in 2008 of $15.6 million primarily resulted from the payment of contingent consideration associated with the Home Loan Center, Inc. acquisition of $14.5 million and capital expenditures of $1.5 million.</w:t>
      </w:r>
    </w:p>
    <w:p>
      <w:pPr>
        <w:spacing w:after="0" w:line="16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Net cash used in financing activities in 2009 of $2.3 million was primarily due to net repayments under warehouse lines of credit of $4.0 million, offset by proceeds from the sale of common stock of $1.9 million. Net cash provided by financing activities in 2008 of $28.2 million was primarily due to capital contributions and other transfers from IAC of $36.3 million, a decrease in restricted cash of $12.5 million, offset by payments on notes payable and capital lease obligations of $20.0 million. The net repayments under warehouse lines of credit is related to the change in loans held for sale at LendingTree Loans and is included within cash flow from operations.</w:t>
      </w:r>
    </w:p>
    <w:p>
      <w:pPr>
        <w:spacing w:after="0" w:line="197"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As of March 31, 2009, LendingTree Loans had two $50 million committed lines of credit ("warehouse lines"). Borrowings under these lines are limited for funding, and are secured by, consumer residential loans that are held for sale. Loans under these warehouse lines are repaid directly from proceeds from the sales of loans by LendingTree Loans.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One of these lines expired on April 30, 2009 and has been replaced by a new $50 million committed line of credit ("the first line"). The first line is scheduled to expire on April 30, 2010, but can be cancelled at the option of the lender without default upon sixty days notice. The second line is scheduled to expire on December 30, 2009; however, that lender has indicated it is exiting the warehouse lending business and will honor the existing contract only through the stated term. The first line includes an additional uncommitted credit facility of $75 million. The first line is also guaranteed by Tree.com, Inc., Lending Tree, LLC and Lending Tree Holdings, Inc.</w:t>
      </w:r>
    </w:p>
    <w:p>
      <w:pPr>
        <w:spacing w:after="0" w:line="197"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The interest rate under the first line is plus 225 basis points plus the greater of (a) the 30-day LIBOR or (b) 200 basis points. The interest rate under the $75 million uncommitted line is 30-day LIBOR plus 150 basis points. The interest rate under the second line is 30-day LIBOR plus 125 basis points.</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levels of tangible net worth, cash on hand with a certain lender and liquid assets, (ii) a maximum ratio of total liabilities to net worth and (iii) pre-tax net income requirements on a quarterly basis. During the quarter ended March 31, 2009, LendingTree Loans was in compliance with the covenants under the lines in existence at that time. At March 31, 2009, there was $72.2 million outstanding under the committed lines of credit.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new first line, LendingTree Loans is required to maintain (i) a minimum tangible net worth of $44.0 million, (ii) a minimum liquidity equal to</w:t>
      </w:r>
    </w:p>
    <w:p>
      <w:pPr>
        <w:spacing w:after="0" w:line="38"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15% of LendingTree Loans' tangible net worth, inclusive of unrestricted cash and cash equivalents, the over/under balances and available draws from LendingTree Loans' warehouse or repurchase facilities, (iii) a maximum ratio of total liabilities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tangible net worth of 4:1 and (iv) pre-tax net income requirements on a quarterly basis. LendingTree Loans will also be required to sell at least 50% of the loans it originates to an affiliate of the lender under the first line or pay a "pair-off fee" of 37.5 basis points on the difference between the required and actual volume of loans sold.</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Management has been and continues to be in discussions with several financial institutions that could serve as potential sources of credit that could be a replacement of or increase to the current credit facilities. However, these financial institutions, like all financial institutions, are subject to the same adverse market conditions and may be affected by recent market disruptions, which may affect the decision to provide a credit line, or the pricing for such lines.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In connection with the completion of the spin-off, intercompany payable balances with IAC were extinguished and IAC transferred to Tree.com an amount of cash that was sufficient for its initial capitalization. Tree.com has considered its anticipated operating cash flows in 2009, cash and cash equivalents, current capacity under its warehouse lines of credit and access to capital markets, subject to restrictions in the tax sharing agreement, and believes that these are sufficient to fund its operating needs, including debt requirements, commitments and contingencies and capital and investing commitments for the foreseeable future.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w w:val="86"/>
              </w:rPr>
              <w:t>Payments Due by Period</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89"/>
              </w:rPr>
              <w:t>More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Less Than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1–3</w:t>
            </w:r>
          </w:p>
        </w:tc>
        <w:tc>
          <w:tcPr>
            <w:tcW w:w="10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Than</w:t>
            </w:r>
          </w:p>
        </w:tc>
        <w:tc>
          <w:tcPr>
            <w:tcW w:w="0" w:type="dxa"/>
            <w:vAlign w:val="bottom"/>
          </w:tcPr>
          <w:p>
            <w:pPr>
              <w:spacing w:after="0"/>
              <w:rPr>
                <w:sz w:val="1"/>
                <w:szCs w:val="1"/>
                <w:color w:val="auto"/>
              </w:rPr>
            </w:pPr>
          </w:p>
        </w:tc>
      </w:tr>
      <w:tr>
        <w:trPr>
          <w:trHeight w:val="161"/>
        </w:trPr>
        <w:tc>
          <w:tcPr>
            <w:tcW w:w="5280" w:type="dxa"/>
            <w:vAlign w:val="bottom"/>
            <w:gridSpan w:val="4"/>
          </w:tcPr>
          <w:p>
            <w:pPr>
              <w:ind w:left="2200"/>
              <w:spacing w:after="0"/>
              <w:rPr>
                <w:sz w:val="20"/>
                <w:szCs w:val="20"/>
                <w:color w:val="auto"/>
              </w:rPr>
            </w:pPr>
            <w:r>
              <w:rPr>
                <w:rFonts w:ascii="Arial" w:cs="Arial" w:eastAsia="Arial" w:hAnsi="Arial"/>
                <w:sz w:val="14"/>
                <w:szCs w:val="14"/>
                <w:b w:val="1"/>
                <w:bCs w:val="1"/>
                <w:color w:val="auto"/>
              </w:rPr>
              <w:t>Contractual Obligations as of March 31, 2009</w:t>
            </w:r>
          </w:p>
        </w:tc>
        <w:tc>
          <w:tcPr>
            <w:tcW w:w="140" w:type="dxa"/>
            <w:vAlign w:val="bottom"/>
          </w:tcPr>
          <w:p>
            <w:pPr>
              <w:spacing w:after="0"/>
              <w:rPr>
                <w:sz w:val="14"/>
                <w:szCs w:val="14"/>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81"/>
              <w:spacing w:after="0"/>
              <w:rPr>
                <w:sz w:val="20"/>
                <w:szCs w:val="20"/>
                <w:color w:val="auto"/>
              </w:rPr>
            </w:pPr>
            <w:r>
              <w:rPr>
                <w:rFonts w:ascii="Arial" w:cs="Arial" w:eastAsia="Arial" w:hAnsi="Arial"/>
                <w:sz w:val="14"/>
                <w:szCs w:val="14"/>
                <w:b w:val="1"/>
                <w:bCs w:val="1"/>
                <w:color w:val="auto"/>
                <w:w w:val="90"/>
              </w:rPr>
              <w:t>1 Year</w:t>
            </w:r>
          </w:p>
        </w:tc>
        <w:tc>
          <w:tcPr>
            <w:tcW w:w="20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Years</w:t>
            </w: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Years</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5 Years</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jc w:val="center"/>
              <w:ind w:left="121"/>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72,158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Purchase obligations(a)</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6,262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4,746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3,073</w:t>
            </w:r>
          </w:p>
        </w:tc>
        <w:tc>
          <w:tcPr>
            <w:tcW w:w="0" w:type="dxa"/>
            <w:vAlign w:val="bottom"/>
          </w:tcPr>
          <w:p>
            <w:pPr>
              <w:spacing w:after="0"/>
              <w:rPr>
                <w:sz w:val="1"/>
                <w:szCs w:val="1"/>
                <w:color w:val="auto"/>
              </w:rPr>
            </w:pPr>
          </w:p>
        </w:tc>
      </w:tr>
      <w:tr>
        <w:trPr>
          <w:trHeight w:val="27"/>
        </w:trPr>
        <w:tc>
          <w:tcPr>
            <w:tcW w:w="5280" w:type="dxa"/>
            <w:vAlign w:val="bottom"/>
            <w:gridSpan w:val="4"/>
            <w:vMerge w:val="restart"/>
          </w:tcPr>
          <w:p>
            <w:pPr>
              <w:ind w:left="2200"/>
              <w:spacing w:after="0"/>
              <w:rPr>
                <w:sz w:val="20"/>
                <w:szCs w:val="20"/>
                <w:color w:val="auto"/>
              </w:rPr>
            </w:pPr>
            <w:r>
              <w:rPr>
                <w:rFonts w:ascii="Arial" w:cs="Arial" w:eastAsia="Arial" w:hAnsi="Arial"/>
                <w:sz w:val="18"/>
                <w:szCs w:val="18"/>
                <w:color w:val="auto"/>
              </w:rPr>
              <w:t>Total contractual cash obligations</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80" w:type="dxa"/>
            <w:vAlign w:val="bottom"/>
            <w:gridSpan w:val="4"/>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101,017</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86,936</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6,262</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4,746</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contracts in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Tree.com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 reports Earnings Before Interest, Taxes, Depreciation and Amortization ("EBITDA") as a supplemental measure to GAAP. This measure is one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This non-GAAP measure should be considered in addition to results prepared in accordance with GAAP, but should not be considered a substitute for or superior to GAAP results. Tree.com provides and encourages investors to examine the reconciling adjustments between the GAAP and non-GAAP measure which are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EBITDA is defined as operating income excluding, if applicable: (1) depreciation expense, (2) gain/loss on disposal of assets, (3) non-cash compensation expense, (4) amortization and impairment of intangibles, (5) goodwill impairment, (6) pro forma adjustments for significant acquisitions, and (7) one-time items. Tree.com believes this measure is useful to investors because it represents the operating results from the Tree.com Businesses, but excludes the effects of these non-cash expenses. EBITDA has certain limitations in that it does not take into account the impact to Tree.com's statement of operations of certain expenses, including depreciation, non-cash compensation, and acquisition-related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72" w:lineRule="exact"/>
        <w:rPr>
          <w:sz w:val="20"/>
          <w:szCs w:val="20"/>
          <w:color w:val="auto"/>
        </w:rPr>
      </w:pPr>
    </w:p>
    <w:p>
      <w:pPr>
        <w:ind w:right="340" w:firstLine="341"/>
        <w:spacing w:after="0" w:line="291" w:lineRule="auto"/>
        <w:rPr>
          <w:sz w:val="20"/>
          <w:szCs w:val="20"/>
          <w:color w:val="auto"/>
        </w:rPr>
      </w:pPr>
      <w:r>
        <w:rPr>
          <w:rFonts w:ascii="Arial" w:cs="Arial" w:eastAsia="Arial" w:hAnsi="Arial"/>
          <w:sz w:val="16"/>
          <w:szCs w:val="16"/>
          <w:color w:val="auto"/>
        </w:rPr>
        <w:t>Adjusted EBITDA is defined as EBITDA, which is defined above, excluding (1) restructuring expenses and (2) proceeds from litigation settlements. Tree.com believes this measure is useful to investors because it represents the operating results from the Tree.com Businesses, but excludes the effects of the expenses. Adjusted EBITDA has certain limitations in that it does not take into account the impact to Tree.com's statement of operations of certain expenses, including depreciation, non-cash compensation, and acquisition-related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Tree.com will only present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EBITDA is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the grants, including unvested grants assumed in acquisitions, of restricted stock units and stock options. These expenses are not paid in cash, and Tree.com will include the related shares in its future calculations of fully diluted shares outstanding. Upon vesting of restricted stock units and the exercise of certain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options, the awards will be settled, at Tree.com's discretion, on a net basis, with Tree.com remitting the required tax withholding amount from its current funds.</w:t>
      </w:r>
    </w:p>
    <w:p>
      <w:pPr>
        <w:spacing w:after="0" w:line="248"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Amortization of intangibles is a non-cash expense relating primarily to acquisitions. At the time of an acquisition, the intangible assets of the acquired company, such as purchase agreements, technology and customer relationships, are valued and amortized over their estimated lives. Tree.com believes that since intangibles represent costs incurred by the acquired company to build value prior to acquisition, they were part of transaction costs.</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EBITDA</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For a reconciliation of EBITDA to operating income (loss) for Tree.com's operating segments for the three months ended March 31, 2009 and 2008, see Note 7 to the consolidated financial statements.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92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interest rate lock commitments and lines of credit.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mortgage forward delivery contracts. Although LendingTree Loans continues to enter into derivatives for risk management purposes, effective April 1, 2007 management determined these derivative instruments would no longer qualify for the hedge accounting provisions of SFAS No. 133, "Accounting for Derivative Instruments and Hedging Activities."</w:t>
      </w:r>
    </w:p>
    <w:p>
      <w:pPr>
        <w:spacing w:after="0" w:line="170"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When hedge accounting was discontinued, the affected loans held for sale were no longer adjusted for changes in fair value. However, the changes in fair value of the derivative instruments continue to be recognized in current earnings as a component of revenue. For the three months ended March 31, 2009 and 2008, the Company recognized losses of $0.3 million and $0.1 million, respectively, related to the changes in fair value of forward delivery contracts related to loans held for sale.</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mortgage forward delivery contracts.</w:t>
      </w:r>
    </w:p>
    <w:p>
      <w:pPr>
        <w:spacing w:after="0" w:line="197"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January 1, 2008, the Company adopted the provisions of SFAS No. 157, "Fair Value Measurements" ("SFAS No. 157"). Prior to the adoption of SFAS 157 the recognition of gains and losses at the inception of a derivative contract were prohibited unless the fair value of the contract was evidenced by a quoted price in an active market. As no active market exists for IRLCs, such day one gains and losses were not recognized until the related loan was sold. Prior to January 1, 2008, guidance also prohibited including the value of servicing the loan in calculating the fair value of an IRLC. Such guidance was rescinded by Staff Accounting Bulletin No. 109, "Written Loan Commitments Recorded at Fair Value Through Earnings" ("SAB 109"). Accordingly, with the adoption of SFAS No. 157 and SAB 109 on January 1, 2008, the day one gains and servicing value, adjusted by the loan funding probability, are included in the value of IRLCs. Prior to the adoption of SFAS No. 157 and SAB 109 the recognition of such day one gains and servicing value were prohibited and these gains were not recognized until realized through the sale of the related loans. This change in treatment, therefore, is only related to the timing of revenue recognition. The net change in the fair value of the IRLCs and related forward delivery contracts, including the impact of day one gains and servicing value, for the three months ended March 31, 2009 and 2008 resulted in gains of $28.6 million and $14.8 million, respectively, which have been recognized as a component of revenue in the accompanying consolidated statements of operations.</w:t>
      </w:r>
    </w:p>
    <w:p>
      <w:pPr>
        <w:spacing w:after="0" w:line="18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March 31, 2009, if market interest rates had increased by 100 basis points, the aggregate fair value of the derivative financial instruments and the hedged items at LendingTree Loans would have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decreased by $0.8 million. As of March 31, 2009, if market interest rates had decreased by 100 basis points, the aggregate fair value of the derivative financial instruments and the hedged items at LendingTree Loans would have increased by $0.4 million.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860" w:firstLine="348"/>
        <w:spacing w:after="0" w:line="332" w:lineRule="auto"/>
        <w:rPr>
          <w:sz w:val="20"/>
          <w:szCs w:val="20"/>
          <w:color w:val="auto"/>
        </w:rPr>
      </w:pPr>
      <w:r>
        <w:rPr>
          <w:rFonts w:ascii="Arial" w:cs="Arial" w:eastAsia="Arial" w:hAnsi="Arial"/>
          <w:sz w:val="16"/>
          <w:szCs w:val="16"/>
          <w:color w:val="auto"/>
        </w:rPr>
        <w:t>We monitor and evaluate on an ongoing basis our disclosure controls and internal control over financial reporting in order to improve our overall effectiveness. In the course of this evaluation, we modify and refine our internal processes as conditions warrant.</w:t>
      </w:r>
    </w:p>
    <w:p>
      <w:pPr>
        <w:spacing w:after="0" w:line="139"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required by Rule 13a-15(b) under the Securities Exchange Act of 1934, as amended (the "Exchange Act"), our management, including our Chief Executive Officer and Chief Financial Officer, evaluated the effectiveness of our disclosure controls and procedures (as defined by Rule 13a-15(e) and 15d-15(e) under the Exchange Act). Based upon that evaluation, our Chief Executive Officer and Chief Financial Officer concluded that as of the end of the period covered by this report, our disclosure controls and procedures were effective in providing reasonable assurance that information we are required to disclose in our filings with the Securities and Exchange Commission under the Exchange Act is recorded, processed, summarized and reported within the time periods specified in the Commission's rules and Forms, and include controls and procedures designed to ensure that information required to be disclosed by us in the reports that we file or submit under the Exchange Act is accumulated and communicated to our management, including our principal executive and principal financial officers, as appropriate to allow timely decisions regarding required disclosure.</w:t>
      </w:r>
    </w:p>
    <w:p>
      <w:pPr>
        <w:spacing w:after="0" w:line="172"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As required by Rule 13a-15(d) of the Exchange Act, we, under the supervision and with the participation of our management, including the Chief Executive Officer and Chief Financial Officer, also evaluated whether any changes occurred to our internal control over financial reporting during the period covered by this report that have materially affected, or are reasonably likely to materially affect, such control. Based on that evaluation, there has been no such change during the quarter ended March 31,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ordinary course of business, the Company and its subsidiaries are parties to litigation involving property, personal injury, contract, intellectual property and other claims. We included a discussion of certain legal proceedings in Part I, Item 3, of our Annual Report on Form 10-K for the year ended December 31, 2008 (the "2008 Form 10-K"). During the quarter ended March 31, 2009, other than as described below, there were no material developments to the proceedings disclosed in the 2008 Form 10-K and no new material legal proceedings.</w:t>
      </w:r>
    </w:p>
    <w:p>
      <w:pPr>
        <w:spacing w:after="0" w:line="191"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i w:val="1"/>
          <w:iCs w:val="1"/>
          <w:color w:val="auto"/>
        </w:rPr>
        <w:t xml:space="preserve">Richardson v. Home Loan Center, Inc., </w:t>
      </w:r>
      <w:r>
        <w:rPr>
          <w:rFonts w:ascii="Arial" w:cs="Arial" w:eastAsia="Arial" w:hAnsi="Arial"/>
          <w:sz w:val="18"/>
          <w:szCs w:val="18"/>
          <w:b w:val="1"/>
          <w:bCs w:val="1"/>
          <w:color w:val="auto"/>
        </w:rPr>
        <w:t>No. 07CC01337 (Cal. Super. Ct., Orange Cty.);</w:t>
      </w:r>
      <w:r>
        <w:rPr>
          <w:rFonts w:ascii="Arial" w:cs="Arial" w:eastAsia="Arial" w:hAnsi="Arial"/>
          <w:sz w:val="18"/>
          <w:szCs w:val="18"/>
          <w:b w:val="1"/>
          <w:bCs w:val="1"/>
          <w:i w:val="1"/>
          <w:iCs w:val="1"/>
          <w:color w:val="auto"/>
        </w:rPr>
        <w:t xml:space="preserve"> Johanson v. Home Loan Center, Inc., </w:t>
      </w:r>
      <w:r>
        <w:rPr>
          <w:rFonts w:ascii="Arial" w:cs="Arial" w:eastAsia="Arial" w:hAnsi="Arial"/>
          <w:sz w:val="18"/>
          <w:szCs w:val="18"/>
          <w:b w:val="1"/>
          <w:bCs w:val="1"/>
          <w:color w:val="auto"/>
        </w:rPr>
        <w:t>No. 07CC01405 (Cal.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Super. Ct., Orange Cty.); </w:t>
      </w:r>
      <w:r>
        <w:rPr>
          <w:rFonts w:ascii="Arial" w:cs="Arial" w:eastAsia="Arial" w:hAnsi="Arial"/>
          <w:sz w:val="18"/>
          <w:szCs w:val="18"/>
          <w:b w:val="1"/>
          <w:bCs w:val="1"/>
          <w:i w:val="1"/>
          <w:iCs w:val="1"/>
          <w:color w:val="auto"/>
        </w:rPr>
        <w:t>D'Asero v. Home Loan Center, Inc.,</w:t>
      </w:r>
      <w:r>
        <w:rPr>
          <w:rFonts w:ascii="Arial" w:cs="Arial" w:eastAsia="Arial" w:hAnsi="Arial"/>
          <w:sz w:val="18"/>
          <w:szCs w:val="18"/>
          <w:b w:val="1"/>
          <w:bCs w:val="1"/>
          <w:color w:val="auto"/>
        </w:rPr>
        <w:t xml:space="preserve"> No. SACV08-384 (U.S. Dist. Ct., C.D. Cal.). </w:t>
      </w:r>
      <w:r>
        <w:rPr>
          <w:rFonts w:ascii="Arial" w:cs="Arial" w:eastAsia="Arial" w:hAnsi="Arial"/>
          <w:sz w:val="18"/>
          <w:szCs w:val="18"/>
          <w:color w:val="auto"/>
        </w:rPr>
        <w:t>Pursuant to the court's final approval of the class</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on April 15, 2009, the Company paid $2.4 million to settle these claims.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Quarterly Report on Form 10-Q contains "forward 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the adequacy of our current warehouse lines for our current operations and our ability to operate our LendingTree Loans business at a reduced capacity if we were to lose one of these lines; our belief that an unfavorable resolution of legal claims against us will not have a material impact on the liquidity, results of operations or financial condition of Tree.com; our belief that we will not incur significant additional costs related to our restructuring activities; our belief that we will need to make capital and other expenditures in connection with the development and expansion of our overall operations; and our belief that our sources of liquidity are sufficient to fund our operating needs, including debt requirements, commitments and contingencies and capital and investing commitments for the foreseeable future. These forward-looking statements also include statements related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78" w:lineRule="exact"/>
        <w:rPr>
          <w:sz w:val="20"/>
          <w:szCs w:val="20"/>
          <w:color w:val="auto"/>
        </w:rPr>
      </w:pPr>
    </w:p>
    <w:p>
      <w:pPr>
        <w:ind w:right="220" w:firstLine="341"/>
        <w:spacing w:after="0" w:line="294" w:lineRule="auto"/>
        <w:rPr>
          <w:sz w:val="20"/>
          <w:szCs w:val="20"/>
          <w:color w:val="auto"/>
        </w:rPr>
      </w:pPr>
      <w:r>
        <w:rPr>
          <w:rFonts w:ascii="Arial" w:cs="Arial" w:eastAsia="Arial" w:hAnsi="Arial"/>
          <w:sz w:val="16"/>
          <w:szCs w:val="16"/>
          <w:color w:val="auto"/>
        </w:rPr>
        <w:t>Actual results could differ materially from those contained in the forward looking statements included in this report for a variety of reasons, including, among others, the risk factors set forth below and described in our 2008 Form 10-K. Other unknown or unpredictable factors that could also adversely affect Tree.com's business, financial condition and results of operations may arise from time to time. In light of these risks and uncertainties, the forward looking statements discussed in this report may not prove to be accurate. Accordingly, you should not place undue reliance on these forward looking statements, which only reflect the views of Tree.com management as of the date of this report. Tree.com does not undertake to update these forward-looking statements.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than the factor set forth below, there have been no material changes to the risk factors included in Part I, Item 1A, of the 2008 Form 10-K.</w:t>
      </w: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Our Lending Business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72"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of March 31, 2009, LendingTree Loans had two $50 million committed lines of credit ("warehouse lines"). Borrowings under these lines are limited for funding, and are secured by, consumer residential loans that are held for sale. Loans under these warehouse lines are repaid directly from proceeds from the sales of loans by LendingTree Loans.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One of these lines expired on April 30, 2009 and has been replaced by a new $50 million committed line of credit ("the first line"). The first line is scheduled to expire on April 30, 2010, but can be cancelled at the option of the lender without default upon sixty days notice. The second line is scheduled to expire on December 30, 2009, however, that lender has indicated it is exiting the warehouse lending business and will honor the existing contract only through the stated term. The first line includes an additional uncommitted credit facility of $75 million. The first line is also guaranteed by Tree.com, Inc., LendingTree, LLC and LendingTree Holdings, Inc.</w:t>
      </w:r>
    </w:p>
    <w:p>
      <w:pPr>
        <w:spacing w:after="0" w:line="197"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interest rate under the first line is plus 225 basis points plus the greater of (a) the 30-day LIBOR or (b) 200 basis points. The interest rate under the $75 million uncommitted line is 30-day LIBOR plus 150 basis points. The interest rate under the second line is 30-day LIBOR plus 125 basis points.</w:t>
      </w:r>
    </w:p>
    <w:p>
      <w:pPr>
        <w:spacing w:after="0" w:line="13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Under the terms of these warehouse lines, LendingTree Loans is required to maintain various financial and other covenants. These financial covenants include, but are not limited to, maintaining (i) minimum levels of tangible net worth, cash on hand with a certain lender and liquid assets, (ii) a maximum ratio of total liabilities to net worth and (iii) pre-tax net income requirements on a quarterly basis. During the quarter ended March 31, 2009, LendingTree Loans was in compliance with the covenants under the lines in existence at that time. At March 31, 2009, there was $72.2 million outstanding under the committed lines of credit.</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the new first line, LendingTree Loans is required to maintain (i) a minimum tangible net worth of $44.0 million, (ii) a minimum liquidity equal to 15% of LendingTree Loans' tangible net worth, inclusive of unrestricted cash and cash equivalents, the over/under balances and available draws from LendingTree Loans' warehouse or repurchase facilities, (iii) a maximum ratio of total liabilities to tangible net worth of 4:1 and (iv) pre-tax net income requirements on a quarterly basis. LendingTree Loans will also be required to sell at least 50% of the loans it originates to an affiliate of the lender under the first line or pay a "pair-off fee" of 37.5 basis points on the difference between the required and actual volume of loans sold.</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Management has been and continues to be in discussions with several financial institutions that could serve as potential sources of credit that could be a replacement of or increase to the current credit facilities. However, these financial institutions, like all financial institutions, are subject to the same adverse market conditions and may be affected by recent market disruptions, which may affect the decision to provide a credit line, or the pricing for such lines.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31"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On February 9, 2009, the Company's Chairman and CEO agreed to purchase from the Company 935,000 newly issued shares of unregistered restricted common stock at $3.91 per share, based on the Friday, February 6, 2009 closing share price. The shares of common stock have not been registered under the Securities Act of 1933 and may not be offered or sold in the United States absent registration or an applicable exemption from registration requirements. The shares were purchased in two increments of 467,500 shares each on February 16, 2009 and April 9, 2009. Aggregate proceeds from the sale of $3.7 million will be used to fund general corporate operations. These shares were issued in a private placement in reliance upon Section 4(2) under the Securities Act of 1933.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360"/>
          </w:cols>
          <w:pgMar w:left="240" w:top="13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20"/>
        <w:spacing w:after="0"/>
        <w:tabs>
          <w:tab w:leader="none" w:pos="4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0</wp:posOffset>
            </wp:positionV>
            <wp:extent cx="47682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68215" cy="8890"/>
                    </a:xfrm>
                    <a:prstGeom prst="rect">
                      <a:avLst/>
                    </a:prstGeom>
                    <a:noFill/>
                  </pic:spPr>
                </pic:pic>
              </a:graphicData>
            </a:graphic>
          </wp:anchor>
        </w:drawing>
      </w:r>
    </w:p>
    <w:p>
      <w:pPr>
        <w:ind w:left="1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Stock Purchase Agreement, dated February 8, 2009, between Tree.com, Inc. and Douglas R. Lebda</w:t>
      </w:r>
    </w:p>
    <w:p>
      <w:pPr>
        <w:spacing w:after="0" w:line="217" w:lineRule="exact"/>
        <w:rPr>
          <w:sz w:val="20"/>
          <w:szCs w:val="20"/>
          <w:color w:val="auto"/>
        </w:rPr>
      </w:pPr>
    </w:p>
    <w:p>
      <w:pPr>
        <w:ind w:left="600" w:right="400" w:hanging="468"/>
        <w:spacing w:after="0" w:line="254" w:lineRule="auto"/>
        <w:tabs>
          <w:tab w:leader="none" w:pos="580" w:val="left"/>
        </w:tabs>
        <w:rPr>
          <w:sz w:val="20"/>
          <w:szCs w:val="20"/>
          <w:color w:val="auto"/>
        </w:rPr>
      </w:pPr>
      <w:r>
        <w:rPr>
          <w:rFonts w:ascii="Arial" w:cs="Arial" w:eastAsia="Arial" w:hAnsi="Arial"/>
          <w:sz w:val="18"/>
          <w:szCs w:val="18"/>
          <w:color w:val="auto"/>
        </w:rPr>
        <w:t>10.2</w:t>
        <w:tab/>
        <w:t>Amendment No. 2 to the Employment Agreement between Douglas Lebda and Tree.com, Inc., dated March 26, 2009</w:t>
      </w:r>
    </w:p>
    <w:p>
      <w:pPr>
        <w:ind w:left="600" w:right="500" w:hanging="468"/>
        <w:spacing w:after="0" w:line="250" w:lineRule="auto"/>
        <w:tabs>
          <w:tab w:leader="none" w:pos="580" w:val="left"/>
        </w:tabs>
        <w:rPr>
          <w:sz w:val="20"/>
          <w:szCs w:val="20"/>
          <w:color w:val="auto"/>
        </w:rPr>
      </w:pPr>
      <w:r>
        <w:rPr>
          <w:rFonts w:ascii="Arial" w:cs="Arial" w:eastAsia="Arial" w:hAnsi="Arial"/>
          <w:sz w:val="18"/>
          <w:szCs w:val="18"/>
          <w:color w:val="auto"/>
        </w:rPr>
        <w:t>10.3</w:t>
        <w:tab/>
        <w:t>Amendment No. 1 to the Employment Agreement between Robert Harris and Tree.com, Inc., dated March 26, 2009</w:t>
      </w:r>
    </w:p>
    <w:p>
      <w:pPr>
        <w:spacing w:after="0" w:line="1" w:lineRule="exact"/>
        <w:rPr>
          <w:sz w:val="20"/>
          <w:szCs w:val="20"/>
          <w:color w:val="auto"/>
        </w:rPr>
      </w:pPr>
    </w:p>
    <w:p>
      <w:pPr>
        <w:ind w:left="600" w:right="280" w:hanging="468"/>
        <w:spacing w:after="0" w:line="250" w:lineRule="auto"/>
        <w:tabs>
          <w:tab w:leader="none" w:pos="580" w:val="left"/>
        </w:tabs>
        <w:rPr>
          <w:sz w:val="20"/>
          <w:szCs w:val="20"/>
          <w:color w:val="auto"/>
        </w:rPr>
      </w:pPr>
      <w:r>
        <w:rPr>
          <w:rFonts w:ascii="Arial" w:cs="Arial" w:eastAsia="Arial" w:hAnsi="Arial"/>
          <w:sz w:val="18"/>
          <w:szCs w:val="18"/>
          <w:color w:val="auto"/>
        </w:rPr>
        <w:t>10.4</w:t>
        <w:tab/>
        <w:t>Amendment No. 1 to the Employment Agreement between Matthew Packey and Tree.com, Inc., dated March 26, 2009</w:t>
      </w:r>
    </w:p>
    <w:p>
      <w:pPr>
        <w:spacing w:after="0" w:line="1"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Notice of Restricted Stock Unit Award</w:t>
      </w:r>
    </w:p>
    <w:p>
      <w:pPr>
        <w:spacing w:after="0" w:line="219"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Restricted Stock Award Agreement</w:t>
      </w:r>
    </w:p>
    <w:p>
      <w:pPr>
        <w:spacing w:after="0" w:line="225"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Notice of Stock Option Award</w:t>
      </w:r>
    </w:p>
    <w:p>
      <w:pPr>
        <w:spacing w:after="0" w:line="225" w:lineRule="exact"/>
        <w:rPr>
          <w:sz w:val="20"/>
          <w:szCs w:val="20"/>
          <w:color w:val="auto"/>
        </w:rPr>
      </w:pPr>
    </w:p>
    <w:p>
      <w:pPr>
        <w:ind w:left="600" w:hanging="468"/>
        <w:spacing w:after="0" w:line="286" w:lineRule="auto"/>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15d-14(a) of the Securities Exchange Act of 1934 as adopted pursuant to Section 302 of the Sarbanes-Oxley Act of 2002.</w:t>
      </w:r>
    </w:p>
    <w:p>
      <w:pPr>
        <w:ind w:left="600" w:right="40" w:hanging="468"/>
        <w:spacing w:after="0" w:line="281" w:lineRule="auto"/>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or Rule 15d-14(a) of the Securities Exchange Act of 1934 as adopted pursuant to Section 302 of the Sarbanes-Oxley Act of 2002.</w:t>
      </w:r>
    </w:p>
    <w:p>
      <w:pPr>
        <w:spacing w:after="0" w:line="1" w:lineRule="exact"/>
        <w:rPr>
          <w:sz w:val="20"/>
          <w:szCs w:val="20"/>
          <w:color w:val="auto"/>
        </w:rPr>
      </w:pPr>
    </w:p>
    <w:p>
      <w:pPr>
        <w:ind w:left="600" w:right="260" w:hanging="468"/>
        <w:spacing w:after="0" w:line="250" w:lineRule="auto"/>
        <w:tabs>
          <w:tab w:leader="none" w:pos="580" w:val="left"/>
        </w:tabs>
        <w:rPr>
          <w:sz w:val="20"/>
          <w:szCs w:val="20"/>
          <w:color w:val="auto"/>
        </w:rPr>
      </w:pPr>
      <w:r>
        <w:rPr>
          <w:rFonts w:ascii="Arial" w:cs="Arial" w:eastAsia="Arial" w:hAnsi="Arial"/>
          <w:sz w:val="18"/>
          <w:szCs w:val="18"/>
          <w:color w:val="auto"/>
        </w:rPr>
        <w:t>32.1</w:t>
        <w:tab/>
        <w:t>Certification of the Chief Executive Officer pursuant to 18 U.S.C. Section 1350 as adopted pursuant to Section 906 of the Sarbanes-Oxley Act of 2002.</w:t>
      </w:r>
    </w:p>
    <w:p>
      <w:pPr>
        <w:spacing w:after="0" w:line="1" w:lineRule="exact"/>
        <w:rPr>
          <w:sz w:val="20"/>
          <w:szCs w:val="20"/>
          <w:color w:val="auto"/>
        </w:rPr>
      </w:pPr>
    </w:p>
    <w:p>
      <w:pPr>
        <w:ind w:left="600" w:right="320" w:hanging="468"/>
        <w:spacing w:after="0" w:line="261" w:lineRule="auto"/>
        <w:tabs>
          <w:tab w:leader="none" w:pos="580" w:val="left"/>
        </w:tabs>
        <w:rPr>
          <w:sz w:val="20"/>
          <w:szCs w:val="20"/>
          <w:color w:val="auto"/>
        </w:rPr>
      </w:pPr>
      <w:r>
        <w:rPr>
          <w:rFonts w:ascii="Arial" w:cs="Arial" w:eastAsia="Arial" w:hAnsi="Arial"/>
          <w:sz w:val="18"/>
          <w:szCs w:val="18"/>
          <w:color w:val="auto"/>
        </w:rPr>
        <w:t>32.2</w:t>
        <w:tab/>
        <w:t>Certification of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903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07"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9983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84" w:lineRule="auto"/>
        <w:rPr>
          <w:sz w:val="20"/>
          <w:szCs w:val="20"/>
          <w:color w:val="auto"/>
        </w:rPr>
      </w:pPr>
      <w:r>
        <w:rPr>
          <w:rFonts w:ascii="Arial" w:cs="Arial" w:eastAsia="Arial" w:hAnsi="Arial"/>
          <w:sz w:val="16"/>
          <w:szCs w:val="16"/>
          <w:color w:val="auto"/>
        </w:rPr>
        <w:t>Exhibit 10.1 to the Registrant's Current Report on Form 8-K filed February 8, 2009. Exhibit 10.1 to the Registrant's Current Report on Form 8-K filed March 26, 2009. Exhibit 10.2 to the Registrant's Current Report on Form 8-K filed March 26, 2009. Exhibit 10.3 to the Registrant's Current Report on Form 8-K filed March 26, 2009. Exhibit 10.4 to the Registrant's Current Report on Form 8-K filed March 26, 2009. Exhibit 10.5 to the Registrant's Current Report on Form 8-K filed March 26, 2009. Exhibit 10.6 to the Registrant's Current Report on Form 8-K filed March 26, 2009.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080" w:space="200"/>
            <w:col w:w="3080"/>
          </w:cols>
          <w:pgMar w:left="240" w:top="131" w:right="2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7, 2009</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5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71120</wp:posOffset>
            </wp:positionV>
            <wp:extent cx="18522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78"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Matthew Packey</w:t>
      </w:r>
    </w:p>
    <w:p>
      <w:pPr>
        <w:spacing w:after="0" w:line="15"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Chief Financial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20"/>
        <w:spacing w:after="0"/>
        <w:tabs>
          <w:tab w:leader="none" w:pos="4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0</wp:posOffset>
            </wp:positionV>
            <wp:extent cx="4776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ind w:left="1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Stock Purchase Agreement, dated February 8, 2009, between Tree.com, Inc. and Douglas R. Lebda</w:t>
      </w:r>
    </w:p>
    <w:p>
      <w:pPr>
        <w:spacing w:after="0" w:line="217" w:lineRule="exact"/>
        <w:rPr>
          <w:sz w:val="20"/>
          <w:szCs w:val="20"/>
          <w:color w:val="auto"/>
        </w:rPr>
      </w:pPr>
    </w:p>
    <w:p>
      <w:pPr>
        <w:ind w:left="600" w:right="400" w:hanging="468"/>
        <w:spacing w:after="0" w:line="254" w:lineRule="auto"/>
        <w:tabs>
          <w:tab w:leader="none" w:pos="580" w:val="left"/>
        </w:tabs>
        <w:rPr>
          <w:sz w:val="20"/>
          <w:szCs w:val="20"/>
          <w:color w:val="auto"/>
        </w:rPr>
      </w:pPr>
      <w:r>
        <w:rPr>
          <w:rFonts w:ascii="Arial" w:cs="Arial" w:eastAsia="Arial" w:hAnsi="Arial"/>
          <w:sz w:val="18"/>
          <w:szCs w:val="18"/>
          <w:color w:val="auto"/>
        </w:rPr>
        <w:t>10.2</w:t>
        <w:tab/>
        <w:t>Amendment No. 2 to the Employment Agreement between Douglas Lebda and Tree.com, Inc., dated March 26, 2009</w:t>
      </w:r>
    </w:p>
    <w:p>
      <w:pPr>
        <w:ind w:left="600" w:right="500" w:hanging="468"/>
        <w:spacing w:after="0" w:line="250" w:lineRule="auto"/>
        <w:tabs>
          <w:tab w:leader="none" w:pos="580" w:val="left"/>
        </w:tabs>
        <w:rPr>
          <w:sz w:val="20"/>
          <w:szCs w:val="20"/>
          <w:color w:val="auto"/>
        </w:rPr>
      </w:pPr>
      <w:r>
        <w:rPr>
          <w:rFonts w:ascii="Arial" w:cs="Arial" w:eastAsia="Arial" w:hAnsi="Arial"/>
          <w:sz w:val="18"/>
          <w:szCs w:val="18"/>
          <w:color w:val="auto"/>
        </w:rPr>
        <w:t>10.3</w:t>
        <w:tab/>
        <w:t>Amendment No. 1 to the Employment Agreement between Robert Harris and Tree.com, Inc., dated March 26, 2009</w:t>
      </w:r>
    </w:p>
    <w:p>
      <w:pPr>
        <w:spacing w:after="0" w:line="1" w:lineRule="exact"/>
        <w:rPr>
          <w:sz w:val="20"/>
          <w:szCs w:val="20"/>
          <w:color w:val="auto"/>
        </w:rPr>
      </w:pPr>
    </w:p>
    <w:p>
      <w:pPr>
        <w:ind w:left="600" w:right="280" w:hanging="468"/>
        <w:spacing w:after="0" w:line="250" w:lineRule="auto"/>
        <w:tabs>
          <w:tab w:leader="none" w:pos="580" w:val="left"/>
        </w:tabs>
        <w:rPr>
          <w:sz w:val="20"/>
          <w:szCs w:val="20"/>
          <w:color w:val="auto"/>
        </w:rPr>
      </w:pPr>
      <w:r>
        <w:rPr>
          <w:rFonts w:ascii="Arial" w:cs="Arial" w:eastAsia="Arial" w:hAnsi="Arial"/>
          <w:sz w:val="18"/>
          <w:szCs w:val="18"/>
          <w:color w:val="auto"/>
        </w:rPr>
        <w:t>10.4</w:t>
        <w:tab/>
        <w:t>Amendment No. 1 to the Employment Agreement between Matthew Packey and Tree.com, Inc., dated March 26, 2009</w:t>
      </w:r>
    </w:p>
    <w:p>
      <w:pPr>
        <w:spacing w:after="0" w:line="1"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Notice of Restricted Stock Unit Award</w:t>
      </w:r>
    </w:p>
    <w:p>
      <w:pPr>
        <w:spacing w:after="0" w:line="219"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Restricted Stock Award Agreement</w:t>
      </w:r>
    </w:p>
    <w:p>
      <w:pPr>
        <w:spacing w:after="0" w:line="225" w:lineRule="exact"/>
        <w:rPr>
          <w:sz w:val="20"/>
          <w:szCs w:val="20"/>
          <w:color w:val="auto"/>
        </w:rPr>
      </w:pPr>
    </w:p>
    <w:p>
      <w:pPr>
        <w:ind w:left="140"/>
        <w:spacing w:after="0"/>
        <w:tabs>
          <w:tab w:leader="none" w:pos="5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Notice of Stock Option Award</w:t>
      </w:r>
    </w:p>
    <w:p>
      <w:pPr>
        <w:spacing w:after="0" w:line="225" w:lineRule="exact"/>
        <w:rPr>
          <w:sz w:val="20"/>
          <w:szCs w:val="20"/>
          <w:color w:val="auto"/>
        </w:rPr>
      </w:pPr>
    </w:p>
    <w:p>
      <w:pPr>
        <w:ind w:left="600" w:hanging="468"/>
        <w:spacing w:after="0" w:line="286" w:lineRule="auto"/>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15d-14(a) of the Securities Exchange Act of 1934, as adopted pursuant to Section 302 of the Sarbanes-Oxley Act of 2002.</w:t>
      </w:r>
    </w:p>
    <w:p>
      <w:pPr>
        <w:ind w:left="600" w:right="40" w:hanging="468"/>
        <w:spacing w:after="0" w:line="281" w:lineRule="auto"/>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or Rule 15d-14(a) of the Securities Exchange Act of 1934, as adopted pursuant to Section 302 of the Sarbanes-Oxley Act of 2002.</w:t>
      </w:r>
    </w:p>
    <w:p>
      <w:pPr>
        <w:spacing w:after="0" w:line="1" w:lineRule="exact"/>
        <w:rPr>
          <w:sz w:val="20"/>
          <w:szCs w:val="20"/>
          <w:color w:val="auto"/>
        </w:rPr>
      </w:pPr>
    </w:p>
    <w:p>
      <w:pPr>
        <w:ind w:left="600" w:right="220" w:hanging="468"/>
        <w:spacing w:after="0" w:line="250" w:lineRule="auto"/>
        <w:tabs>
          <w:tab w:leader="none" w:pos="580" w:val="left"/>
        </w:tabs>
        <w:rPr>
          <w:sz w:val="20"/>
          <w:szCs w:val="20"/>
          <w:color w:val="auto"/>
        </w:rPr>
      </w:pPr>
      <w:r>
        <w:rPr>
          <w:rFonts w:ascii="Arial" w:cs="Arial" w:eastAsia="Arial" w:hAnsi="Arial"/>
          <w:sz w:val="18"/>
          <w:szCs w:val="18"/>
          <w:color w:val="auto"/>
        </w:rPr>
        <w:t>32.1</w:t>
        <w:tab/>
        <w:t>Certification of the Chief Executive Officer pursuant to 18 U.S.C. Section 1350, as adopted pursuant to Section 906 of the Sarbanes-Oxley Act of 2002.</w:t>
      </w:r>
    </w:p>
    <w:p>
      <w:pPr>
        <w:spacing w:after="0" w:line="1" w:lineRule="exact"/>
        <w:rPr>
          <w:sz w:val="20"/>
          <w:szCs w:val="20"/>
          <w:color w:val="auto"/>
        </w:rPr>
      </w:pPr>
    </w:p>
    <w:p>
      <w:pPr>
        <w:ind w:left="600" w:right="260" w:hanging="468"/>
        <w:spacing w:after="0" w:line="261" w:lineRule="auto"/>
        <w:tabs>
          <w:tab w:leader="none" w:pos="580" w:val="left"/>
        </w:tabs>
        <w:rPr>
          <w:sz w:val="20"/>
          <w:szCs w:val="20"/>
          <w:color w:val="auto"/>
        </w:rPr>
      </w:pPr>
      <w:r>
        <w:rPr>
          <w:rFonts w:ascii="Arial" w:cs="Arial" w:eastAsia="Arial" w:hAnsi="Arial"/>
          <w:sz w:val="18"/>
          <w:szCs w:val="18"/>
          <w:color w:val="auto"/>
        </w:rPr>
        <w:t>32.2</w:t>
        <w:tab/>
        <w:t>Certification of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903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07"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9894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4" w:lineRule="auto"/>
        <w:rPr>
          <w:sz w:val="20"/>
          <w:szCs w:val="20"/>
          <w:color w:val="auto"/>
        </w:rPr>
      </w:pPr>
      <w:r>
        <w:rPr>
          <w:rFonts w:ascii="Arial" w:cs="Arial" w:eastAsia="Arial" w:hAnsi="Arial"/>
          <w:sz w:val="16"/>
          <w:szCs w:val="16"/>
          <w:color w:val="auto"/>
        </w:rPr>
        <w:t>Exhibit 10.1 to the Registrant's Current Report on Form 8-K filed February 8, 2009. Exhibit 10.1 to the Registrant's Current Report on Form 8-K filed March 26, 2009. Exhibit 10.2 to the Registrant's Current Report on Form 8-K filed March 26, 2009. Exhibit 10.3 to the Registrant's Current Report on Form 8-K filed March 26, 2009. Exhibit 10.4 to the Registrant's Current Report on Form 8-K filed March 26, 2009. Exhibit 10.5 to the Registrant's Current Report on Form 8-K filed March 26, 2009. Exhibit 10.6 to the Registrant's Current Report on Form 8-K filed March 26, 2009.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080" w:space="200"/>
            <w:col w:w="3100"/>
          </w:cols>
          <w:pgMar w:left="240" w:top="131" w:right="279" w:bottom="1440"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spacing w:after="0"/>
        <w:rPr>
          <w:rFonts w:ascii="Arial" w:cs="Arial" w:eastAsia="Arial" w:hAnsi="Arial"/>
          <w:sz w:val="22"/>
          <w:szCs w:val="22"/>
          <w:color w:val="0000EE"/>
        </w:rPr>
      </w:pPr>
      <w:hyperlink w:anchor="page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2009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color w:val="auto"/>
        </w:rPr>
        <w:t>Dated: May 7, 2009</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36277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CERTIFICATION OF THE CHIEF EXECUTIVE OFFICER PURSUANT TO RULE 13a-14(a) OR RULE 15d-14(a) OF THE SECURITIES EXCHANGE ACT</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400"/>
          </w:cols>
          <w:pgMar w:left="240" w:top="820" w:right="259" w:bottom="1440" w:gutter="0" w:footer="0" w:header="0"/>
        </w:sectPr>
      </w:pPr>
    </w:p>
    <w:bookmarkStart w:id="55" w:name="page56"/>
    <w:bookmarkEnd w:id="55"/>
    <w:p>
      <w:pPr>
        <w:spacing w:after="0"/>
        <w:rPr>
          <w:rFonts w:ascii="Arial" w:cs="Arial" w:eastAsia="Arial" w:hAnsi="Arial"/>
          <w:sz w:val="22"/>
          <w:szCs w:val="22"/>
          <w:color w:val="0000EE"/>
        </w:rPr>
      </w:pPr>
      <w:hyperlink w:anchor="page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Matthew A. Packey, certify that:</w:t>
      </w:r>
    </w:p>
    <w:p>
      <w:pPr>
        <w:spacing w:after="0" w:line="23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2009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Dated: May 7, 2009</w:t>
      </w:r>
      <w:r>
        <w:rPr>
          <w:sz w:val="20"/>
          <w:szCs w:val="20"/>
          <w:color w:val="auto"/>
        </w:rPr>
        <w:tab/>
      </w:r>
      <w:r>
        <w:rPr>
          <w:rFonts w:ascii="Arial" w:cs="Arial" w:eastAsia="Arial" w:hAnsi="Arial"/>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36277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CERTIFICATION OF THE CHIEF FINANCIAL OFFICER PURSUANT TO RULE 13a-14(a) OR RULE 15d-14(a) OF THE SECURITIES EXCHANGE ACT</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57" w:name="page58"/>
    <w:bookmarkEnd w:id="57"/>
    <w:p>
      <w:pPr>
        <w:spacing w:after="0"/>
        <w:rPr>
          <w:rFonts w:ascii="Arial" w:cs="Arial" w:eastAsia="Arial" w:hAnsi="Arial"/>
          <w:sz w:val="22"/>
          <w:szCs w:val="22"/>
          <w:color w:val="0000EE"/>
        </w:rPr>
      </w:pPr>
      <w:hyperlink w:anchor="page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Douglas R. Lebda, certify, pursuant to Section 906 of the Sarbanes-Oxley Act of 2002, 18 U.S.C. Section 1350, that:</w:t>
      </w:r>
    </w:p>
    <w:p>
      <w:pPr>
        <w:spacing w:after="0" w:line="239" w:lineRule="exact"/>
        <w:rPr>
          <w:sz w:val="20"/>
          <w:szCs w:val="20"/>
          <w:color w:val="auto"/>
        </w:rPr>
      </w:pPr>
    </w:p>
    <w:p>
      <w:pPr>
        <w:ind w:left="10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2009 of Tree.com, Inc. (the "Report") which this statement accompanies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2900"/>
        <w:spacing w:after="0"/>
        <w:tabs>
          <w:tab w:leader="none" w:pos="6220" w:val="left"/>
        </w:tabs>
        <w:rPr>
          <w:sz w:val="20"/>
          <w:szCs w:val="20"/>
          <w:color w:val="auto"/>
        </w:rPr>
      </w:pPr>
      <w:r>
        <w:rPr>
          <w:rFonts w:ascii="Arial" w:cs="Arial" w:eastAsia="Arial" w:hAnsi="Arial"/>
          <w:sz w:val="18"/>
          <w:szCs w:val="18"/>
          <w:color w:val="auto"/>
        </w:rPr>
        <w:t>Dated: May 7, 2009</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62230</wp:posOffset>
            </wp:positionV>
            <wp:extent cx="1732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78" w:lineRule="exact"/>
        <w:rPr>
          <w:sz w:val="20"/>
          <w:szCs w:val="20"/>
          <w:color w:val="auto"/>
        </w:rPr>
      </w:pPr>
    </w:p>
    <w:p>
      <w:pPr>
        <w:jc w:val="center"/>
        <w:ind w:left="296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960"/>
        <w:spacing w:after="0"/>
        <w:rPr>
          <w:sz w:val="20"/>
          <w:szCs w:val="20"/>
          <w:color w:val="auto"/>
        </w:rPr>
      </w:pPr>
      <w:r>
        <w:rPr>
          <w:rFonts w:ascii="Arial" w:cs="Arial" w:eastAsia="Arial" w:hAnsi="Arial"/>
          <w:sz w:val="18"/>
          <w:szCs w:val="18"/>
          <w:i w:val="1"/>
          <w:iCs w:val="1"/>
          <w:color w:val="auto"/>
        </w:rPr>
        <w:t>Chairman and Chief Executive</w:t>
      </w:r>
    </w:p>
    <w:p>
      <w:pPr>
        <w:spacing w:after="0" w:line="9" w:lineRule="exact"/>
        <w:rPr>
          <w:sz w:val="20"/>
          <w:szCs w:val="20"/>
          <w:color w:val="auto"/>
        </w:rPr>
      </w:pPr>
    </w:p>
    <w:p>
      <w:pPr>
        <w:jc w:val="center"/>
        <w:ind w:left="296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CERTIFICATION OF THE CHIEF EXECUTIVE OFFICER PURSUANT TO 18 U.S.C. SECTION 1350, AS ADOPTED PURSUANT TO SECTION 906 OF</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THE SARBANES-OXLEY ACT OF 2002</w:t>
        </w:r>
      </w:hyperlink>
    </w:p>
    <w:p>
      <w:pPr>
        <w:sectPr>
          <w:pgSz w:w="11900" w:h="16838" w:orient="portrait"/>
          <w:cols w:equalWidth="0" w:num="1">
            <w:col w:w="11240"/>
          </w:cols>
          <w:pgMar w:left="240" w:top="820" w:right="419" w:bottom="1440" w:gutter="0" w:footer="0" w:header="0"/>
        </w:sectPr>
      </w:pPr>
    </w:p>
    <w:bookmarkStart w:id="59" w:name="page60"/>
    <w:bookmarkEnd w:id="59"/>
    <w:p>
      <w:pPr>
        <w:spacing w:after="0"/>
        <w:rPr>
          <w:rFonts w:ascii="Arial" w:cs="Arial" w:eastAsia="Arial" w:hAnsi="Arial"/>
          <w:sz w:val="22"/>
          <w:szCs w:val="22"/>
          <w:color w:val="0000EE"/>
        </w:rPr>
      </w:pPr>
      <w:hyperlink w:anchor="page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Matthew A. Packey, certify, pursuant to Section 906 of the Sarbanes-Oxley Act of 2002, 18 U.S.C. Section 1350, that:</w:t>
      </w:r>
    </w:p>
    <w:p>
      <w:pPr>
        <w:spacing w:after="0" w:line="239" w:lineRule="exact"/>
        <w:rPr>
          <w:sz w:val="20"/>
          <w:szCs w:val="20"/>
          <w:color w:val="auto"/>
        </w:rPr>
      </w:pPr>
    </w:p>
    <w:p>
      <w:pPr>
        <w:ind w:left="108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2009 of Tree.com, Inc. (the "Report") which this statement accompanies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Dated: May 7, 2009</w:t>
      </w:r>
      <w:r>
        <w:rPr>
          <w:sz w:val="20"/>
          <w:szCs w:val="20"/>
          <w:color w:val="auto"/>
        </w:rPr>
        <w:tab/>
      </w:r>
      <w:r>
        <w:rPr>
          <w:rFonts w:ascii="Arial" w:cs="Arial" w:eastAsia="Arial" w:hAnsi="Arial"/>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62230</wp:posOffset>
            </wp:positionV>
            <wp:extent cx="35502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78"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Matthew A. Packey</w:t>
      </w:r>
    </w:p>
    <w:p>
      <w:pPr>
        <w:spacing w:after="0" w:line="15" w:lineRule="exact"/>
        <w:rPr>
          <w:sz w:val="20"/>
          <w:szCs w:val="20"/>
          <w:color w:val="auto"/>
        </w:rPr>
      </w:pPr>
    </w:p>
    <w:p>
      <w:pPr>
        <w:jc w:val="center"/>
        <w:ind w:left="58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8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CERTIFICATION OF THE CHIEF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THE SARBANES-OXLEY ACT OF 2002</w:t>
        </w:r>
      </w:hyperlink>
    </w:p>
    <w:sectPr>
      <w:pgSz w:w="11900" w:h="16838" w:orient="portrait"/>
      <w:cols w:equalWidth="0" w:num="1">
        <w:col w:w="11200"/>
      </w:cols>
      <w:pgMar w:left="240" w:top="82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lowerRoman"/>
      <w:start w:val="3"/>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
      <w:numFmt w:val="bullet"/>
      <w:start w:val="1"/>
    </w:lvl>
    <w:lvl w:ilvl="1">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2019-12-11T04:34:46Z</dcterms:created>
  <dcterms:modified xsi:type="dcterms:W3CDTF">2019-12-11T04:34:46Z</dcterms:modified>
</cp:coreProperties>
</file>