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358140</wp:posOffset>
            </wp:positionV>
            <wp:extent cx="66548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-175895</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2800" w:right="2020" w:hanging="1144"/>
        <w:spacing w:after="0" w:line="282" w:lineRule="auto"/>
        <w:tabs>
          <w:tab w:leader="none" w:pos="2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2013</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2800" w:right="1660" w:hanging="1108"/>
        <w:spacing w:after="0" w:line="282" w:lineRule="auto"/>
        <w:tabs>
          <w:tab w:leader="none" w:pos="28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 w:lineRule="exact"/>
        <w:rPr>
          <w:sz w:val="24"/>
          <w:szCs w:val="24"/>
          <w:color w:val="auto"/>
        </w:rPr>
      </w:pPr>
    </w:p>
    <w:p>
      <w:pPr>
        <w:ind w:left="32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6" w:lineRule="exact"/>
        <w:rPr>
          <w:sz w:val="24"/>
          <w:szCs w:val="24"/>
          <w:color w:val="auto"/>
        </w:rPr>
      </w:pPr>
    </w:p>
    <w:tbl>
      <w:tblPr>
        <w:tblLayout w:type="fixed"/>
        <w:tblInd w:w="194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b w:val="1"/>
                <w:bCs w:val="1"/>
                <w:color w:val="auto"/>
                <w:w w:val="91"/>
              </w:rPr>
              <w:t>Commission File No. 001-34063</w:t>
            </w: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5740" w:type="dxa"/>
            <w:vAlign w:val="bottom"/>
          </w:tcPr>
          <w:p>
            <w:pPr>
              <w:jc w:val="right"/>
              <w:ind w:right="2797"/>
              <w:spacing w:after="0"/>
              <w:rPr>
                <w:sz w:val="20"/>
                <w:szCs w:val="20"/>
                <w:color w:val="auto"/>
              </w:rPr>
            </w:pPr>
            <w:r>
              <w:rPr>
                <w:rFonts w:ascii="Arial" w:cs="Arial" w:eastAsia="Arial" w:hAnsi="Arial"/>
                <w:sz w:val="11"/>
                <w:szCs w:val="11"/>
                <w:color w:val="auto"/>
                <w:w w:val="92"/>
              </w:rPr>
              <w:t>__________________________________________________</w:t>
            </w:r>
          </w:p>
        </w:tc>
        <w:tc>
          <w:tcPr>
            <w:tcW w:w="0" w:type="dxa"/>
            <w:vAlign w:val="bottom"/>
          </w:tcPr>
          <w:p>
            <w:pPr>
              <w:spacing w:after="0"/>
              <w:rPr>
                <w:sz w:val="1"/>
                <w:szCs w:val="1"/>
                <w:color w:val="auto"/>
              </w:rPr>
            </w:pPr>
          </w:p>
        </w:tc>
      </w:tr>
      <w:tr>
        <w:trPr>
          <w:trHeight w:val="985"/>
        </w:trPr>
        <w:tc>
          <w:tcPr>
            <w:tcW w:w="2260" w:type="dxa"/>
            <w:vAlign w:val="bottom"/>
          </w:tcPr>
          <w:p>
            <w:pPr>
              <w:spacing w:after="0"/>
              <w:rPr>
                <w:sz w:val="24"/>
                <w:szCs w:val="24"/>
                <w:color w:val="auto"/>
              </w:rPr>
            </w:pPr>
          </w:p>
        </w:tc>
        <w:tc>
          <w:tcPr>
            <w:tcW w:w="5740" w:type="dxa"/>
            <w:vAlign w:val="bottom"/>
          </w:tcPr>
          <w:p>
            <w:pPr>
              <w:jc w:val="center"/>
              <w:ind w:right="2637"/>
              <w:spacing w:after="0"/>
              <w:rPr>
                <w:sz w:val="20"/>
                <w:szCs w:val="20"/>
                <w:color w:val="auto"/>
              </w:rPr>
            </w:pPr>
            <w:r>
              <w:rPr>
                <w:rFonts w:ascii="Arial" w:cs="Arial" w:eastAsia="Arial" w:hAnsi="Arial"/>
                <w:sz w:val="25"/>
                <w:szCs w:val="25"/>
                <w:b w:val="1"/>
                <w:bCs w:val="1"/>
                <w:color w:val="auto"/>
              </w:rPr>
              <w:t>TREE.COM, INC.</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57"/>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469"/>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Delaware</w:t>
            </w:r>
          </w:p>
        </w:tc>
        <w:tc>
          <w:tcPr>
            <w:tcW w:w="5740" w:type="dxa"/>
            <w:vAlign w:val="bottom"/>
            <w:vMerge w:val="restart"/>
          </w:tcPr>
          <w:p>
            <w:pPr>
              <w:jc w:val="center"/>
              <w:ind w:left="2637"/>
              <w:spacing w:after="0"/>
              <w:rPr>
                <w:sz w:val="20"/>
                <w:szCs w:val="20"/>
                <w:color w:val="auto"/>
              </w:rPr>
            </w:pPr>
            <w:r>
              <w:rPr>
                <w:rFonts w:ascii="Arial" w:cs="Arial" w:eastAsia="Arial" w:hAnsi="Arial"/>
                <w:sz w:val="16"/>
                <w:szCs w:val="16"/>
                <w:b w:val="1"/>
                <w:bCs w:val="1"/>
                <w:color w:val="auto"/>
                <w:w w:val="91"/>
              </w:rPr>
              <w:t>26-2414818</w:t>
            </w:r>
          </w:p>
        </w:tc>
        <w:tc>
          <w:tcPr>
            <w:tcW w:w="0" w:type="dxa"/>
            <w:vAlign w:val="bottom"/>
          </w:tcPr>
          <w:p>
            <w:pPr>
              <w:spacing w:after="0"/>
              <w:rPr>
                <w:sz w:val="1"/>
                <w:szCs w:val="1"/>
                <w:color w:val="auto"/>
              </w:rPr>
            </w:pPr>
          </w:p>
        </w:tc>
      </w:tr>
      <w:tr>
        <w:trPr>
          <w:trHeight w:val="203"/>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3"/>
              </w:rPr>
              <w:t>(State or other jurisdiction of</w:t>
            </w:r>
          </w:p>
        </w:tc>
        <w:tc>
          <w:tcPr>
            <w:tcW w:w="5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jc w:val="center"/>
              <w:ind w:right="79"/>
              <w:spacing w:after="0"/>
              <w:rPr>
                <w:sz w:val="20"/>
                <w:szCs w:val="20"/>
                <w:color w:val="auto"/>
              </w:rPr>
            </w:pPr>
            <w:r>
              <w:rPr>
                <w:rFonts w:ascii="Arial" w:cs="Arial" w:eastAsia="Arial" w:hAnsi="Arial"/>
                <w:sz w:val="16"/>
                <w:szCs w:val="16"/>
                <w:color w:val="auto"/>
                <w:w w:val="93"/>
              </w:rPr>
              <w:t>incorporation or organization)</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53"/>
        </w:trPr>
        <w:tc>
          <w:tcPr>
            <w:tcW w:w="8000" w:type="dxa"/>
            <w:vAlign w:val="bottom"/>
            <w:gridSpan w:val="2"/>
          </w:tcPr>
          <w:p>
            <w:pPr>
              <w:jc w:val="center"/>
              <w:ind w:right="377"/>
              <w:spacing w:after="0"/>
              <w:rPr>
                <w:sz w:val="20"/>
                <w:szCs w:val="20"/>
                <w:color w:val="auto"/>
              </w:rPr>
            </w:pPr>
            <w:r>
              <w:rPr>
                <w:rFonts w:ascii="Arial" w:cs="Arial" w:eastAsia="Arial" w:hAnsi="Arial"/>
                <w:sz w:val="16"/>
                <w:szCs w:val="16"/>
                <w:b w:val="1"/>
                <w:bCs w:val="1"/>
                <w:color w:val="auto"/>
                <w:w w:val="92"/>
              </w:rPr>
              <w:t>11115 Rushmore Drive, Charlotte, North Carolina 28277</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5740" w:type="dxa"/>
            <w:vAlign w:val="bottom"/>
          </w:tcPr>
          <w:p>
            <w:pPr>
              <w:jc w:val="center"/>
              <w:ind w:right="2637"/>
              <w:spacing w:after="0"/>
              <w:rPr>
                <w:sz w:val="20"/>
                <w:szCs w:val="20"/>
                <w:color w:val="auto"/>
              </w:rPr>
            </w:pPr>
            <w:r>
              <w:rPr>
                <w:rFonts w:ascii="Arial" w:cs="Arial" w:eastAsia="Arial" w:hAnsi="Arial"/>
                <w:sz w:val="16"/>
                <w:szCs w:val="16"/>
                <w:color w:val="auto"/>
                <w:w w:val="94"/>
              </w:rPr>
              <w:t>(Address of principal executive offices)</w:t>
            </w:r>
          </w:p>
        </w:tc>
        <w:tc>
          <w:tcPr>
            <w:tcW w:w="0" w:type="dxa"/>
            <w:vAlign w:val="bottom"/>
          </w:tcPr>
          <w:p>
            <w:pPr>
              <w:spacing w:after="0"/>
              <w:rPr>
                <w:sz w:val="1"/>
                <w:szCs w:val="1"/>
                <w:color w:val="auto"/>
              </w:rPr>
            </w:pPr>
          </w:p>
        </w:tc>
      </w:tr>
      <w:tr>
        <w:trPr>
          <w:trHeight w:val="253"/>
        </w:trPr>
        <w:tc>
          <w:tcPr>
            <w:tcW w:w="2260" w:type="dxa"/>
            <w:vAlign w:val="bottom"/>
          </w:tcPr>
          <w:p>
            <w:pPr>
              <w:spacing w:after="0"/>
              <w:rPr>
                <w:sz w:val="21"/>
                <w:szCs w:val="21"/>
                <w:color w:val="auto"/>
              </w:rPr>
            </w:pPr>
          </w:p>
        </w:tc>
        <w:tc>
          <w:tcPr>
            <w:tcW w:w="5740" w:type="dxa"/>
            <w:vAlign w:val="bottom"/>
          </w:tcPr>
          <w:p>
            <w:pPr>
              <w:jc w:val="right"/>
              <w:ind w:right="3637"/>
              <w:spacing w:after="0"/>
              <w:rPr>
                <w:sz w:val="20"/>
                <w:szCs w:val="20"/>
                <w:color w:val="auto"/>
              </w:rPr>
            </w:pPr>
            <w:r>
              <w:rPr>
                <w:rFonts w:ascii="Arial" w:cs="Arial" w:eastAsia="Arial" w:hAnsi="Arial"/>
                <w:sz w:val="16"/>
                <w:szCs w:val="16"/>
                <w:b w:val="1"/>
                <w:bCs w:val="1"/>
                <w:color w:val="auto"/>
              </w:rPr>
              <w:t>(704) 541-5351</w:t>
            </w:r>
          </w:p>
        </w:tc>
        <w:tc>
          <w:tcPr>
            <w:tcW w:w="0" w:type="dxa"/>
            <w:vAlign w:val="bottom"/>
          </w:tcPr>
          <w:p>
            <w:pPr>
              <w:spacing w:after="0"/>
              <w:rPr>
                <w:sz w:val="1"/>
                <w:szCs w:val="1"/>
                <w:color w:val="auto"/>
              </w:rPr>
            </w:pPr>
          </w:p>
        </w:tc>
      </w:tr>
      <w:tr>
        <w:trPr>
          <w:trHeight w:val="206"/>
        </w:trPr>
        <w:tc>
          <w:tcPr>
            <w:tcW w:w="8000" w:type="dxa"/>
            <w:vAlign w:val="bottom"/>
            <w:gridSpan w:val="2"/>
          </w:tcPr>
          <w:p>
            <w:pPr>
              <w:jc w:val="center"/>
              <w:ind w:right="377"/>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257"/>
        </w:trPr>
        <w:tc>
          <w:tcPr>
            <w:tcW w:w="8000" w:type="dxa"/>
            <w:vAlign w:val="bottom"/>
            <w:gridSpan w:val="2"/>
          </w:tcPr>
          <w:p>
            <w:pPr>
              <w:jc w:val="center"/>
              <w:ind w:right="357"/>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53"/>
        </w:trPr>
        <w:tc>
          <w:tcPr>
            <w:tcW w:w="22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Title of Each Class</w:t>
            </w:r>
          </w:p>
        </w:tc>
        <w:tc>
          <w:tcPr>
            <w:tcW w:w="5740" w:type="dxa"/>
            <w:vAlign w:val="bottom"/>
          </w:tcPr>
          <w:p>
            <w:pPr>
              <w:jc w:val="center"/>
              <w:ind w:left="2657"/>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6"/>
        </w:trPr>
        <w:tc>
          <w:tcPr>
            <w:tcW w:w="2260" w:type="dxa"/>
            <w:vAlign w:val="bottom"/>
          </w:tcPr>
          <w:p>
            <w:pPr>
              <w:jc w:val="center"/>
              <w:ind w:right="59"/>
              <w:spacing w:after="0"/>
              <w:rPr>
                <w:sz w:val="20"/>
                <w:szCs w:val="20"/>
                <w:color w:val="auto"/>
              </w:rPr>
            </w:pPr>
            <w:r>
              <w:rPr>
                <w:rFonts w:ascii="Arial" w:cs="Arial" w:eastAsia="Arial" w:hAnsi="Arial"/>
                <w:sz w:val="16"/>
                <w:szCs w:val="16"/>
                <w:color w:val="auto"/>
                <w:w w:val="90"/>
              </w:rPr>
              <w:t>Common Stock, $0.01 Par Value</w:t>
            </w:r>
          </w:p>
        </w:tc>
        <w:tc>
          <w:tcPr>
            <w:tcW w:w="5740" w:type="dxa"/>
            <w:vAlign w:val="bottom"/>
          </w:tcPr>
          <w:p>
            <w:pPr>
              <w:jc w:val="center"/>
              <w:ind w:left="2657"/>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-2353945</wp:posOffset>
            </wp:positionV>
            <wp:extent cx="900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0430" cy="44577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42" w:lineRule="exact"/>
        <w:rPr>
          <w:sz w:val="24"/>
          <w:szCs w:val="24"/>
          <w:color w:val="auto"/>
        </w:rPr>
      </w:pPr>
    </w:p>
    <w:p>
      <w:pPr>
        <w:ind w:left="290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w:t>
      </w:r>
    </w:p>
    <w:p>
      <w:pPr>
        <w:spacing w:after="0" w:line="19" w:lineRule="exact"/>
        <w:rPr>
          <w:sz w:val="24"/>
          <w:szCs w:val="24"/>
          <w:color w:val="auto"/>
        </w:rPr>
      </w:pPr>
    </w:p>
    <w:p>
      <w:pPr>
        <w:ind w:left="180" w:right="246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Indicated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ind w:right="620"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ind w:right="80"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ind w:firstLine="162"/>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ind w:right="140"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25" w:right="259" w:bottom="1440" w:gutter="0" w:footer="0" w:header="0"/>
        </w:sectPr>
      </w:pPr>
    </w:p>
    <w:p>
      <w:pPr>
        <w:spacing w:after="0" w:line="240" w:lineRule="exact"/>
        <w:rPr>
          <w:sz w:val="24"/>
          <w:szCs w:val="24"/>
          <w:color w:val="auto"/>
        </w:rPr>
      </w:pPr>
    </w:p>
    <w:p>
      <w:pPr>
        <w:ind w:left="2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02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2" w:lineRule="exact"/>
        <w:rPr>
          <w:sz w:val="24"/>
          <w:szCs w:val="24"/>
          <w:color w:val="auto"/>
        </w:rPr>
      </w:pPr>
    </w:p>
    <w:p>
      <w:pPr>
        <w:sectPr>
          <w:pgSz w:w="11900" w:h="16838" w:orient="portrait"/>
          <w:cols w:equalWidth="0" w:num="4">
            <w:col w:w="2180" w:space="720"/>
            <w:col w:w="2220" w:space="720"/>
            <w:col w:w="2520" w:space="720"/>
            <w:col w:w="2320"/>
          </w:cols>
          <w:pgMar w:left="240" w:top="225" w:right="259" w:bottom="1440" w:gutter="0" w:footer="0" w:header="0"/>
          <w:type w:val="continuous"/>
        </w:sectPr>
      </w:pPr>
    </w:p>
    <w:p>
      <w:pPr>
        <w:ind w:left="52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00"/>
          </w:cols>
          <w:pgMar w:left="240" w:top="225" w:right="259" w:bottom="1440" w:gutter="0" w:footer="0" w:header="0"/>
          <w:type w:val="continuous"/>
        </w:sectPr>
      </w:pPr>
    </w:p>
    <w:p>
      <w:pPr>
        <w:spacing w:after="0" w:line="4" w:lineRule="exact"/>
        <w:rPr>
          <w:sz w:val="24"/>
          <w:szCs w:val="24"/>
          <w:color w:val="auto"/>
        </w:rPr>
      </w:pPr>
    </w:p>
    <w:p>
      <w:pPr>
        <w:jc w:val="center"/>
        <w:ind w:left="1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38" w:orient="portrait"/>
          <w:cols w:equalWidth="0" w:num="2">
            <w:col w:w="7300" w:space="160"/>
            <w:col w:w="3940"/>
          </w:cols>
          <w:pgMar w:left="240" w:top="225" w:right="259" w:bottom="1440" w:gutter="0" w:footer="0" w:header="0"/>
          <w:type w:val="continuous"/>
        </w:sectPr>
      </w:pPr>
    </w:p>
    <w:p>
      <w:pPr>
        <w:jc w:val="both"/>
        <w:ind w:right="340" w:firstLine="162"/>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28, 2013 was $108,341,837. For the purposes of the forgoing calculation only, all directors and executive officers of the Registrant and third parties that own 5% or more of the voting common stock are assumed to be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March 14, 2014, there were 11,305,642 shares of the Registrant's common stock, par value $.01 per share, outstanding.</w:t>
      </w:r>
    </w:p>
    <w:p>
      <w:pPr>
        <w:spacing w:after="0" w:line="109"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its 2014 Annual Meeting of Stockholders 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180975</wp:posOffset>
            </wp:positionV>
            <wp:extent cx="6654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1714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95250</wp:posOffset>
            </wp:positionV>
            <wp:extent cx="6654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4380" w:type="dxa"/>
            <w:vAlign w:val="bottom"/>
            <w:gridSpan w:val="9"/>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4"/>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00" w:type="dxa"/>
            <w:vAlign w:val="bottom"/>
            <w:gridSpan w:val="3"/>
          </w:tcPr>
          <w:p>
            <w:pPr>
              <w:spacing w:after="0"/>
              <w:rPr>
                <w:sz w:val="22"/>
                <w:szCs w:val="22"/>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020" w:type="dxa"/>
            <w:vAlign w:val="bottom"/>
            <w:gridSpan w:val="4"/>
          </w:tcPr>
          <w:p>
            <w:pPr>
              <w:jc w:val="right"/>
              <w:ind w:right="26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b w:val="1"/>
                <w:bCs w:val="1"/>
                <w:color w:val="0000EE"/>
                <w:w w:val="91"/>
              </w:rPr>
            </w:pPr>
            <w:hyperlink w:anchor="page8">
              <w:r>
                <w:rPr>
                  <w:rFonts w:ascii="Arial" w:cs="Arial" w:eastAsia="Arial" w:hAnsi="Arial"/>
                  <w:sz w:val="18"/>
                  <w:szCs w:val="18"/>
                  <w:b w:val="1"/>
                  <w:bCs w:val="1"/>
                  <w:color w:val="0000EE"/>
                  <w:w w:val="91"/>
                </w:rPr>
                <w:t>Item 1A.</w:t>
              </w:r>
            </w:hyperlink>
          </w:p>
        </w:tc>
        <w:tc>
          <w:tcPr>
            <w:tcW w:w="460" w:type="dxa"/>
            <w:vAlign w:val="bottom"/>
          </w:tcPr>
          <w:p>
            <w:pPr>
              <w:spacing w:after="0"/>
              <w:rPr>
                <w:sz w:val="21"/>
                <w:szCs w:val="21"/>
                <w:color w:val="auto"/>
              </w:rPr>
            </w:pPr>
          </w:p>
        </w:tc>
        <w:tc>
          <w:tcPr>
            <w:tcW w:w="980" w:type="dxa"/>
            <w:vAlign w:val="bottom"/>
            <w:gridSpan w:val="3"/>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Risk Factors</w:t>
              </w:r>
            </w:hyperlink>
          </w:p>
        </w:tc>
        <w:tc>
          <w:tcPr>
            <w:tcW w:w="8240" w:type="dxa"/>
            <w:vAlign w:val="bottom"/>
            <w:gridSpan w:val="25"/>
          </w:tcPr>
          <w:p>
            <w:pPr>
              <w:spacing w:after="0"/>
              <w:rPr>
                <w:sz w:val="21"/>
                <w:szCs w:val="21"/>
                <w:color w:val="auto"/>
              </w:rPr>
            </w:pPr>
          </w:p>
        </w:tc>
        <w:tc>
          <w:tcPr>
            <w:tcW w:w="660" w:type="dxa"/>
            <w:vAlign w:val="bottom"/>
            <w:gridSpan w:val="2"/>
          </w:tcPr>
          <w:p>
            <w:pPr>
              <w:spacing w:after="0"/>
              <w:rPr>
                <w:sz w:val="21"/>
                <w:szCs w:val="21"/>
                <w:color w:val="auto"/>
              </w:rPr>
            </w:pPr>
          </w:p>
        </w:tc>
        <w:tc>
          <w:tcPr>
            <w:tcW w:w="360" w:type="dxa"/>
            <w:vAlign w:val="bottom"/>
            <w:gridSpan w:val="2"/>
          </w:tcPr>
          <w:p>
            <w:pPr>
              <w:jc w:val="right"/>
              <w:ind w:right="26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Item 1B.</w:t>
              </w:r>
            </w:hyperlink>
          </w:p>
        </w:tc>
        <w:tc>
          <w:tcPr>
            <w:tcW w:w="460" w:type="dxa"/>
            <w:vAlign w:val="bottom"/>
          </w:tcPr>
          <w:p>
            <w:pPr>
              <w:spacing w:after="0"/>
              <w:rPr>
                <w:sz w:val="21"/>
                <w:szCs w:val="21"/>
                <w:color w:val="auto"/>
              </w:rPr>
            </w:pPr>
          </w:p>
        </w:tc>
        <w:tc>
          <w:tcPr>
            <w:tcW w:w="216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Unresolved Staff Comments</w:t>
              </w:r>
            </w:hyperlink>
          </w:p>
        </w:tc>
        <w:tc>
          <w:tcPr>
            <w:tcW w:w="7060" w:type="dxa"/>
            <w:vAlign w:val="bottom"/>
            <w:gridSpan w:val="18"/>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c>
          <w:tcPr>
            <w:tcW w:w="280" w:type="dxa"/>
            <w:vAlign w:val="bottom"/>
          </w:tcPr>
          <w:p>
            <w:pPr>
              <w:spacing w:after="0"/>
              <w:rPr>
                <w:sz w:val="21"/>
                <w:szCs w:val="2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Item 2.</w:t>
              </w:r>
            </w:hyperlink>
          </w:p>
        </w:tc>
        <w:tc>
          <w:tcPr>
            <w:tcW w:w="600" w:type="dxa"/>
            <w:vAlign w:val="bottom"/>
            <w:gridSpan w:val="3"/>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Properties</w:t>
              </w:r>
            </w:hyperlink>
          </w:p>
        </w:tc>
        <w:tc>
          <w:tcPr>
            <w:tcW w:w="8420" w:type="dxa"/>
            <w:vAlign w:val="bottom"/>
            <w:gridSpan w:val="26"/>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c>
          <w:tcPr>
            <w:tcW w:w="280" w:type="dxa"/>
            <w:vAlign w:val="bottom"/>
          </w:tcPr>
          <w:p>
            <w:pPr>
              <w:spacing w:after="0"/>
              <w:rPr>
                <w:sz w:val="21"/>
                <w:szCs w:val="2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Item 3.</w:t>
              </w:r>
            </w:hyperlink>
          </w:p>
        </w:tc>
        <w:tc>
          <w:tcPr>
            <w:tcW w:w="600" w:type="dxa"/>
            <w:vAlign w:val="bottom"/>
            <w:gridSpan w:val="3"/>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Legal Proceedings</w:t>
              </w:r>
            </w:hyperlink>
          </w:p>
        </w:tc>
        <w:tc>
          <w:tcPr>
            <w:tcW w:w="7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28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4.</w:t>
              </w:r>
            </w:hyperlink>
          </w:p>
        </w:tc>
        <w:tc>
          <w:tcPr>
            <w:tcW w:w="600" w:type="dxa"/>
            <w:vAlign w:val="bottom"/>
            <w:gridSpan w:val="3"/>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Mine Safety Disclosures</w:t>
              </w:r>
            </w:hyperlink>
          </w:p>
        </w:tc>
        <w:tc>
          <w:tcPr>
            <w:tcW w:w="74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80" w:type="dxa"/>
            <w:vAlign w:val="bottom"/>
          </w:tcPr>
          <w:p>
            <w:pPr>
              <w:spacing w:after="0"/>
              <w:rPr>
                <w:sz w:val="21"/>
                <w:szCs w:val="21"/>
                <w:color w:val="auto"/>
              </w:rPr>
            </w:pPr>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5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Item 5.</w:t>
              </w:r>
            </w:hyperlink>
          </w:p>
        </w:tc>
        <w:tc>
          <w:tcPr>
            <w:tcW w:w="600" w:type="dxa"/>
            <w:vAlign w:val="bottom"/>
            <w:gridSpan w:val="3"/>
          </w:tcPr>
          <w:p>
            <w:pPr>
              <w:spacing w:after="0"/>
              <w:rPr>
                <w:sz w:val="21"/>
                <w:szCs w:val="21"/>
                <w:color w:val="auto"/>
              </w:rPr>
            </w:pPr>
          </w:p>
        </w:tc>
        <w:tc>
          <w:tcPr>
            <w:tcW w:w="8680" w:type="dxa"/>
            <w:vAlign w:val="bottom"/>
            <w:tcBorders>
              <w:bottom w:val="single" w:sz="8" w:color="0000EE"/>
            </w:tcBorders>
            <w:gridSpan w:val="27"/>
          </w:tcPr>
          <w:p>
            <w:pPr>
              <w:spacing w:after="0"/>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c>
          <w:tcPr>
            <w:tcW w:w="280" w:type="dxa"/>
            <w:vAlign w:val="bottom"/>
          </w:tcPr>
          <w:p>
            <w:pPr>
              <w:spacing w:after="0"/>
              <w:rPr>
                <w:sz w:val="21"/>
                <w:szCs w:val="2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Item 6.</w:t>
              </w:r>
            </w:hyperlink>
          </w:p>
        </w:tc>
        <w:tc>
          <w:tcPr>
            <w:tcW w:w="600" w:type="dxa"/>
            <w:vAlign w:val="bottom"/>
            <w:gridSpan w:val="3"/>
          </w:tcPr>
          <w:p>
            <w:pPr>
              <w:spacing w:after="0"/>
              <w:rPr>
                <w:sz w:val="21"/>
                <w:szCs w:val="21"/>
                <w:color w:val="auto"/>
              </w:rPr>
            </w:pPr>
          </w:p>
        </w:tc>
        <w:tc>
          <w:tcPr>
            <w:tcW w:w="182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Selected Financial Data</w:t>
              </w:r>
            </w:hyperlink>
          </w:p>
        </w:tc>
        <w:tc>
          <w:tcPr>
            <w:tcW w:w="7400" w:type="dxa"/>
            <w:vAlign w:val="bottom"/>
            <w:gridSpan w:val="22"/>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c>
          <w:tcPr>
            <w:tcW w:w="280" w:type="dxa"/>
            <w:vAlign w:val="bottom"/>
          </w:tcPr>
          <w:p>
            <w:pPr>
              <w:spacing w:after="0"/>
              <w:rPr>
                <w:sz w:val="21"/>
                <w:szCs w:val="2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7.</w:t>
              </w:r>
            </w:hyperlink>
          </w:p>
        </w:tc>
        <w:tc>
          <w:tcPr>
            <w:tcW w:w="600" w:type="dxa"/>
            <w:vAlign w:val="bottom"/>
            <w:gridSpan w:val="3"/>
          </w:tcPr>
          <w:p>
            <w:pPr>
              <w:spacing w:after="0"/>
              <w:rPr>
                <w:sz w:val="21"/>
                <w:szCs w:val="21"/>
                <w:color w:val="auto"/>
              </w:rPr>
            </w:pPr>
          </w:p>
        </w:tc>
        <w:tc>
          <w:tcPr>
            <w:tcW w:w="684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21</w:t>
              </w:r>
            </w:hyperlink>
          </w:p>
        </w:tc>
        <w:tc>
          <w:tcPr>
            <w:tcW w:w="280" w:type="dxa"/>
            <w:vAlign w:val="bottom"/>
          </w:tcPr>
          <w:p>
            <w:pPr>
              <w:spacing w:after="0"/>
              <w:rPr>
                <w:sz w:val="21"/>
                <w:szCs w:val="21"/>
                <w:color w:val="auto"/>
              </w:rPr>
            </w:pPr>
          </w:p>
        </w:tc>
      </w:tr>
      <w:tr>
        <w:trPr>
          <w:trHeight w:val="250"/>
        </w:trPr>
        <w:tc>
          <w:tcPr>
            <w:tcW w:w="680" w:type="dxa"/>
            <w:vAlign w:val="bottom"/>
            <w:gridSpan w:val="3"/>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7A.</w:t>
              </w:r>
            </w:hyperlink>
          </w:p>
        </w:tc>
        <w:tc>
          <w:tcPr>
            <w:tcW w:w="460" w:type="dxa"/>
            <w:vAlign w:val="bottom"/>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74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c>
          <w:tcPr>
            <w:tcW w:w="280" w:type="dxa"/>
            <w:vAlign w:val="bottom"/>
          </w:tcPr>
          <w:p>
            <w:pPr>
              <w:spacing w:after="0"/>
              <w:rPr>
                <w:sz w:val="21"/>
                <w:szCs w:val="21"/>
                <w:color w:val="auto"/>
              </w:rPr>
            </w:pPr>
          </w:p>
        </w:tc>
      </w:tr>
      <w:tr>
        <w:trPr>
          <w:trHeight w:val="25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2"/>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0"/>
              </w:rPr>
            </w:pPr>
            <w:hyperlink w:anchor="page33">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c>
          <w:tcPr>
            <w:tcW w:w="280" w:type="dxa"/>
            <w:vAlign w:val="bottom"/>
          </w:tcPr>
          <w:p>
            <w:pPr>
              <w:spacing w:after="0"/>
              <w:rPr>
                <w:sz w:val="21"/>
                <w:szCs w:val="2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68">
              <w:r>
                <w:rPr>
                  <w:rFonts w:ascii="Arial" w:cs="Arial" w:eastAsia="Arial" w:hAnsi="Arial"/>
                  <w:sz w:val="18"/>
                  <w:szCs w:val="18"/>
                  <w:b w:val="1"/>
                  <w:bCs w:val="1"/>
                  <w:color w:val="0000EE"/>
                  <w:w w:val="91"/>
                </w:rPr>
                <w:t>Item 9.</w:t>
              </w:r>
            </w:hyperlink>
          </w:p>
        </w:tc>
        <w:tc>
          <w:tcPr>
            <w:tcW w:w="600" w:type="dxa"/>
            <w:vAlign w:val="bottom"/>
            <w:gridSpan w:val="3"/>
          </w:tcPr>
          <w:p>
            <w:pPr>
              <w:spacing w:after="0"/>
              <w:rPr>
                <w:sz w:val="21"/>
                <w:szCs w:val="21"/>
                <w:color w:val="auto"/>
              </w:rPr>
            </w:pPr>
          </w:p>
        </w:tc>
        <w:tc>
          <w:tcPr>
            <w:tcW w:w="9220" w:type="dxa"/>
            <w:vAlign w:val="bottom"/>
            <w:gridSpan w:val="28"/>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Changes in and Disagreements With Accountants on Accounting and Financial Disclosure</w:t>
              </w:r>
            </w:hyperlink>
          </w:p>
        </w:tc>
        <w:tc>
          <w:tcPr>
            <w:tcW w:w="74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c>
          <w:tcPr>
            <w:tcW w:w="28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69">
              <w:r>
                <w:rPr>
                  <w:rFonts w:ascii="Arial" w:cs="Arial" w:eastAsia="Arial" w:hAnsi="Arial"/>
                  <w:sz w:val="18"/>
                  <w:szCs w:val="18"/>
                  <w:b w:val="1"/>
                  <w:bCs w:val="1"/>
                  <w:color w:val="0000EE"/>
                  <w:w w:val="91"/>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69">
              <w:r>
                <w:rPr>
                  <w:rFonts w:ascii="Arial" w:cs="Arial" w:eastAsia="Arial" w:hAnsi="Arial"/>
                  <w:sz w:val="18"/>
                  <w:szCs w:val="18"/>
                  <w:b w:val="1"/>
                  <w:bCs w:val="1"/>
                  <w:color w:val="0000EE"/>
                  <w:w w:val="88"/>
                </w:rPr>
                <w:t>Controls and Procedures</w:t>
              </w:r>
            </w:hyperlink>
          </w:p>
        </w:tc>
        <w:tc>
          <w:tcPr>
            <w:tcW w:w="7300" w:type="dxa"/>
            <w:vAlign w:val="bottom"/>
            <w:gridSpan w:val="19"/>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67</w:t>
              </w:r>
            </w:hyperlink>
          </w:p>
        </w:tc>
        <w:tc>
          <w:tcPr>
            <w:tcW w:w="280" w:type="dxa"/>
            <w:vAlign w:val="bottom"/>
          </w:tcPr>
          <w:p>
            <w:pPr>
              <w:spacing w:after="0"/>
              <w:rPr>
                <w:sz w:val="21"/>
                <w:szCs w:val="21"/>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9B.</w:t>
              </w:r>
            </w:hyperlink>
          </w:p>
        </w:tc>
        <w:tc>
          <w:tcPr>
            <w:tcW w:w="9220" w:type="dxa"/>
            <w:vAlign w:val="bottom"/>
            <w:gridSpan w:val="28"/>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74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280" w:type="dxa"/>
            <w:vAlign w:val="bottom"/>
          </w:tcPr>
          <w:p>
            <w:pPr>
              <w:spacing w:after="0"/>
              <w:rPr>
                <w:sz w:val="21"/>
                <w:szCs w:val="21"/>
                <w:color w:val="auto"/>
              </w:rPr>
            </w:pPr>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Item 10.</w:t>
              </w:r>
            </w:hyperlink>
          </w:p>
        </w:tc>
        <w:tc>
          <w:tcPr>
            <w:tcW w:w="9220" w:type="dxa"/>
            <w:vAlign w:val="bottom"/>
            <w:gridSpan w:val="28"/>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Directors, Executive Officers and Corporate Governance</w:t>
              </w:r>
            </w:hyperlink>
          </w:p>
        </w:tc>
        <w:tc>
          <w:tcPr>
            <w:tcW w:w="74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280" w:type="dxa"/>
            <w:vAlign w:val="bottom"/>
          </w:tcPr>
          <w:p>
            <w:pPr>
              <w:spacing w:after="0"/>
              <w:rPr>
                <w:sz w:val="21"/>
                <w:szCs w:val="21"/>
                <w:color w:val="auto"/>
              </w:rPr>
            </w:pPr>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w w:val="89"/>
              </w:rPr>
            </w:pPr>
            <w:hyperlink w:anchor="page71">
              <w:r>
                <w:rPr>
                  <w:rFonts w:ascii="Arial" w:cs="Arial" w:eastAsia="Arial" w:hAnsi="Arial"/>
                  <w:sz w:val="18"/>
                  <w:szCs w:val="18"/>
                  <w:b w:val="1"/>
                  <w:bCs w:val="1"/>
                  <w:color w:val="0000EE"/>
                  <w:w w:val="89"/>
                </w:rPr>
                <w:t>Item 11.</w:t>
              </w:r>
            </w:hyperlink>
          </w:p>
        </w:tc>
        <w:tc>
          <w:tcPr>
            <w:tcW w:w="520" w:type="dxa"/>
            <w:vAlign w:val="bottom"/>
            <w:gridSpan w:val="2"/>
          </w:tcPr>
          <w:p>
            <w:pPr>
              <w:spacing w:after="0"/>
              <w:rPr>
                <w:sz w:val="21"/>
                <w:szCs w:val="21"/>
                <w:color w:val="auto"/>
              </w:rPr>
            </w:pPr>
          </w:p>
        </w:tc>
        <w:tc>
          <w:tcPr>
            <w:tcW w:w="43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69</w:t>
              </w:r>
            </w:hyperlink>
          </w:p>
        </w:tc>
        <w:tc>
          <w:tcPr>
            <w:tcW w:w="280" w:type="dxa"/>
            <w:vAlign w:val="bottom"/>
          </w:tcPr>
          <w:p>
            <w:pPr>
              <w:spacing w:after="0"/>
              <w:rPr>
                <w:sz w:val="21"/>
                <w:szCs w:val="2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Item 12.</w:t>
              </w:r>
            </w:hyperlink>
          </w:p>
        </w:tc>
        <w:tc>
          <w:tcPr>
            <w:tcW w:w="9220" w:type="dxa"/>
            <w:vAlign w:val="bottom"/>
            <w:gridSpan w:val="28"/>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Security Ownership of Certain Beneficial Owners and Management and Related Stockholder Matters</w:t>
              </w:r>
            </w:hyperlink>
          </w:p>
        </w:tc>
        <w:tc>
          <w:tcPr>
            <w:tcW w:w="74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280" w:type="dxa"/>
            <w:vAlign w:val="bottom"/>
          </w:tcPr>
          <w:p>
            <w:pPr>
              <w:spacing w:after="0"/>
              <w:rPr>
                <w:sz w:val="21"/>
                <w:szCs w:val="2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Item 13.</w:t>
              </w:r>
            </w:hyperlink>
          </w:p>
        </w:tc>
        <w:tc>
          <w:tcPr>
            <w:tcW w:w="9220" w:type="dxa"/>
            <w:vAlign w:val="bottom"/>
            <w:gridSpan w:val="28"/>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Certain Relationships and Related Transactions, and Director Independence</w:t>
              </w:r>
            </w:hyperlink>
          </w:p>
        </w:tc>
        <w:tc>
          <w:tcPr>
            <w:tcW w:w="74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280" w:type="dxa"/>
            <w:vAlign w:val="bottom"/>
          </w:tcPr>
          <w:p>
            <w:pPr>
              <w:spacing w:after="0"/>
              <w:rPr>
                <w:sz w:val="21"/>
                <w:szCs w:val="2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80" w:type="dxa"/>
            <w:vAlign w:val="bottom"/>
            <w:tcBorders>
              <w:right w:val="single" w:sz="8" w:color="0000EE"/>
            </w:tcBorders>
            <w:gridSpan w:val="11"/>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Item 14.</w:t>
              </w:r>
            </w:hyperlink>
          </w:p>
        </w:tc>
        <w:tc>
          <w:tcPr>
            <w:tcW w:w="9220" w:type="dxa"/>
            <w:vAlign w:val="bottom"/>
            <w:gridSpan w:val="28"/>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Principal Accounting Fees and Services</w:t>
              </w:r>
            </w:hyperlink>
          </w:p>
        </w:tc>
        <w:tc>
          <w:tcPr>
            <w:tcW w:w="74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280" w:type="dxa"/>
            <w:vAlign w:val="bottom"/>
          </w:tcPr>
          <w:p>
            <w:pPr>
              <w:spacing w:after="0"/>
              <w:rPr>
                <w:sz w:val="21"/>
                <w:szCs w:val="21"/>
                <w:color w:val="auto"/>
              </w:rPr>
            </w:pPr>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5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1140" w:type="dxa"/>
            <w:vAlign w:val="bottom"/>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Item 15.</w:t>
              </w:r>
            </w:hyperlink>
          </w:p>
        </w:tc>
        <w:tc>
          <w:tcPr>
            <w:tcW w:w="420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74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c>
          <w:tcPr>
            <w:tcW w:w="28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Tree.com is the parent of LendingTree, LLC ("LendingTree") and several companies owned by LendingTree. LendingTree, Inc. was incorporated in the state of Delaware in June 1996 and commenced nationwide operations in July 1998. LendingTree, Inc. was acquired by IAC/InterActiveCorp ("IAC") in 2003 and converted to a Delaware limited liability company (LendingTree, LLC) in December 2004. On August 20, 2008, Tree.com, Inc. (along with its subsidiary, LendingTree) was spun off from IAC/InterActiveCorp into a separate publicly-traded company. We refer to the separation transaction as the "spin-off" in this report. Tree.com was incorporated as a Delaware corporation in April 2008 in anticipation of the spin-off.</w:t>
      </w:r>
    </w:p>
    <w:p>
      <w:pPr>
        <w:spacing w:after="0" w:line="64" w:lineRule="exact"/>
        <w:rPr>
          <w:sz w:val="20"/>
          <w:szCs w:val="20"/>
          <w:color w:val="auto"/>
        </w:rPr>
      </w:pPr>
    </w:p>
    <w:p>
      <w:pPr>
        <w:ind w:right="220" w:firstLine="324"/>
        <w:spacing w:after="0" w:line="223" w:lineRule="auto"/>
        <w:rPr>
          <w:sz w:val="20"/>
          <w:szCs w:val="20"/>
          <w:color w:val="auto"/>
        </w:rPr>
      </w:pPr>
      <w:r>
        <w:rPr>
          <w:rFonts w:ascii="Arial" w:cs="Arial" w:eastAsia="Arial" w:hAnsi="Arial"/>
          <w:sz w:val="17"/>
          <w:szCs w:val="17"/>
          <w:color w:val="auto"/>
        </w:rPr>
        <w:t>Tree.com is the owner of several brands and businesses that provide information, tools, advice, products and services for critical transactions in consumers' lives. Our family of brands includes: LendingTree®, GetSmart®, LendingTree Education</w:t>
      </w:r>
      <w:r>
        <w:rPr>
          <w:rFonts w:ascii="Arial" w:cs="Arial" w:eastAsia="Arial" w:hAnsi="Arial"/>
          <w:sz w:val="24"/>
          <w:szCs w:val="24"/>
          <w:color w:val="auto"/>
          <w:vertAlign w:val="superscript"/>
        </w:rPr>
        <w:t>SM</w:t>
      </w:r>
      <w:r>
        <w:rPr>
          <w:rFonts w:ascii="Arial" w:cs="Arial" w:eastAsia="Arial" w:hAnsi="Arial"/>
          <w:sz w:val="17"/>
          <w:szCs w:val="17"/>
          <w:color w:val="auto"/>
        </w:rPr>
        <w:t>, LendingTree Autos</w:t>
      </w:r>
      <w:r>
        <w:rPr>
          <w:rFonts w:ascii="Arial" w:cs="Arial" w:eastAsia="Arial" w:hAnsi="Arial"/>
          <w:sz w:val="24"/>
          <w:szCs w:val="24"/>
          <w:color w:val="auto"/>
          <w:vertAlign w:val="superscript"/>
        </w:rPr>
        <w:t>SM</w:t>
      </w:r>
      <w:r>
        <w:rPr>
          <w:rFonts w:ascii="Arial" w:cs="Arial" w:eastAsia="Arial" w:hAnsi="Arial"/>
          <w:sz w:val="17"/>
          <w:szCs w:val="17"/>
          <w:color w:val="auto"/>
        </w:rPr>
        <w:t>, LendingTree Home Pros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and InsuranceTree®. Together, these brands serve as an ally for consumers who are looking to comparison-shop for loans, educational programs, home services providers and other services from multiple businesses and professionals who will compete for their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operate as a branded performance marketer. In this capacity, we serve as an ally to consumers who are looking to comparison-shop and make informed purchase decisions for loans and other important transactions. We do so by providing consumers with a broad array of information and tools free of charge, conveniently located on our various websites. In addition, we provide consumers with access to offers from multiple providers that can compete for their business, usually through a single inquiry form. We also serve as a valued partner to businesses seeking customer acquisition support services with directly measurable benefits, by matching the consumer inquiries we generate with these businesses.</w:t>
      </w:r>
    </w:p>
    <w:p>
      <w:pPr>
        <w:spacing w:after="0" w:line="6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Through our strategically designed and executed advertising and marketing campaigns promoting our LendingTree and related brands and offerings, we attract consumers to our websites and toll-free telephone numbers. Many consumers then complete inquiry forms, providing detailed information about themselves and the products or services they are seeking. We refer to such consumer inquiries as leads. We then match these leads with businesses seeking to serve these consumers' needs, in a forum we refer to as an exchange. In so doing, we generate revenue from these businesses, generally at the time of transmitting a lead to them, for which we charge a match fee. In certain instances outside our mortgage business, such as our auto business, we charge other kinds of fees, such as a closed loan or closed sale fee.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7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At its inception, our original business was to serve consumers seeking home mortgage loans by matching them with various lenders. We launched the LendingTree brand nationally in 1998 and, over the last sixteen years, we believe this brand has gained widespread consumer recognition.</w:t>
      </w:r>
    </w:p>
    <w:p>
      <w:pPr>
        <w:spacing w:after="0" w:line="16" w:lineRule="exact"/>
        <w:rPr>
          <w:sz w:val="20"/>
          <w:szCs w:val="20"/>
          <w:color w:val="auto"/>
        </w:rPr>
      </w:pPr>
    </w:p>
    <w:p>
      <w:pPr>
        <w:ind w:right="60" w:firstLine="324"/>
        <w:spacing w:after="0" w:line="241" w:lineRule="auto"/>
        <w:rPr>
          <w:sz w:val="20"/>
          <w:szCs w:val="20"/>
          <w:color w:val="auto"/>
        </w:rPr>
      </w:pPr>
      <w:r>
        <w:rPr>
          <w:rFonts w:ascii="Arial" w:cs="Arial" w:eastAsia="Arial" w:hAnsi="Arial"/>
          <w:sz w:val="16"/>
          <w:szCs w:val="16"/>
          <w:color w:val="auto"/>
        </w:rPr>
        <w:t>Currently, in addition to mortgage, we are focused on other personal finance-related offerings, such as personal loans and credit cards, as well as the automotive industry, where we promote our LendingTree Autos</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brand, the education industry, where we promote our LendingTree Education</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brand and the home services industry, where we promote our LendingTree Home Pros</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brand. We believe that consumers will have a higher propensity to utilize our various services by virtue of their LendingTree-branded associations than those of other providers whose brands consumers may not recognize.</w:t>
      </w:r>
    </w:p>
    <w:p>
      <w:pPr>
        <w:spacing w:after="0" w:line="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Going forward, in addition to operating our core mortgage business, we intend to focus increasingly on growing our existing non-mortgage businesses, seeking to penetrate new industries and developing new product offerings and enhancements to improve the experiences that consumers and businesses have as they interact with us. By expanding our portfolio of product and service offerings, we are seeking to grow and diversify our business and sources of revenue. We intend to capitalize on our expertise in performance marketing, product development and technology, and leverage the widespread recognition of the LendingTree brand to pursue this strategy.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Segments</w:t>
      </w:r>
    </w:p>
    <w:p>
      <w:pPr>
        <w:spacing w:after="0" w:line="17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18—Segment Information to the consolidated financial statements included elsewhere in this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Lending</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Consumers seeking home mortgage loans can access our nationwide network of more than 300 banks, lenders and loan brokers online (via </w:t>
      </w:r>
      <w:r>
        <w:rPr>
          <w:rFonts w:ascii="Arial" w:cs="Arial" w:eastAsia="Arial" w:hAnsi="Arial"/>
          <w:sz w:val="18"/>
          <w:szCs w:val="18"/>
          <w:i w:val="1"/>
          <w:iCs w:val="1"/>
          <w:color w:val="auto"/>
        </w:rPr>
        <w:t xml:space="preserve">www.lendingtree.com </w:t>
      </w:r>
      <w:r>
        <w:rPr>
          <w:rFonts w:ascii="Arial" w:cs="Arial" w:eastAsia="Arial" w:hAnsi="Arial"/>
          <w:sz w:val="18"/>
          <w:szCs w:val="18"/>
          <w:color w:val="auto"/>
        </w:rPr>
        <w:t>or</w:t>
      </w:r>
      <w:r>
        <w:rPr>
          <w:rFonts w:ascii="Arial" w:cs="Arial" w:eastAsia="Arial" w:hAnsi="Arial"/>
          <w:sz w:val="18"/>
          <w:szCs w:val="18"/>
          <w:i w:val="1"/>
          <w:iCs w:val="1"/>
          <w:color w:val="auto"/>
        </w:rPr>
        <w:t xml:space="preserve"> www.getsmart.com</w:t>
      </w:r>
      <w:r>
        <w:rPr>
          <w:rFonts w:ascii="Arial" w:cs="Arial" w:eastAsia="Arial" w:hAnsi="Arial"/>
          <w:sz w:val="18"/>
          <w:szCs w:val="18"/>
          <w:color w:val="auto"/>
        </w:rPr>
        <w:t>) or by calling 1-800-555-TREE. We refer to these banks, lenders and loan brokers as our network lenders. Loan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offered by network lenders consist primarily of home mortgages (in connection with refinancings and purchases), home equity loans and reverse mortgages.</w:t>
      </w:r>
    </w:p>
    <w:p>
      <w:pPr>
        <w:spacing w:after="0" w:line="7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select lenders throughout the country in an effort to provide full geographic lending coverage and to offer a complete suite of loan offerings available in the market. To participate on our network,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network and have not been convicted of and/or penalized for fraudulent activity. For the year ended December 31, 2013, one customer accounted for 12% of total revenue and another accounted for 12% of total revenue. For the year ended December 31, 2012, one customer accounted for 14% of total revenue and another accounted for 11% of total revenue.</w:t>
      </w:r>
    </w:p>
    <w:p>
      <w:pPr>
        <w:spacing w:after="0" w:line="5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Consumers seeking mortgage loans through our lender network can receive multiple conditional loan offers from network lenders in response to a single loan request form. We refer to the process by which we match consumers and network lenders as the matching process. This matching process consists of the following steps:</w:t>
      </w:r>
    </w:p>
    <w:p>
      <w:pPr>
        <w:spacing w:after="0" w:line="69" w:lineRule="exact"/>
        <w:rPr>
          <w:sz w:val="20"/>
          <w:szCs w:val="20"/>
          <w:color w:val="auto"/>
        </w:rPr>
      </w:pPr>
    </w:p>
    <w:p>
      <w:pPr>
        <w:ind w:left="660" w:right="28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w:t>
      </w:r>
      <w:r>
        <w:rPr>
          <w:rFonts w:ascii="Arial" w:cs="Arial" w:eastAsia="Arial" w:hAnsi="Arial"/>
          <w:sz w:val="18"/>
          <w:szCs w:val="18"/>
          <w:color w:val="auto"/>
        </w:rPr>
        <w:t>Consumers complete a single loan request form with information regarding the type of home loan product they are seeking,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ind w:left="66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Form Matching and Transmission. </w:t>
      </w:r>
      <w:r>
        <w:rPr>
          <w:rFonts w:ascii="Arial" w:cs="Arial" w:eastAsia="Arial" w:hAnsi="Arial"/>
          <w:sz w:val="18"/>
          <w:szCs w:val="18"/>
          <w:color w:val="auto"/>
        </w:rPr>
        <w:t>Our proprietary systems and technology match a given consumer's loan request form data, self-reported credit profile and geographic location against certain pre-established criteria of network lenders, which may be modified from time to time. Once a given loan request passes through the matching process, the loan request is automatically transmitted to up to five participating network lenders.</w:t>
      </w:r>
    </w:p>
    <w:p>
      <w:pPr>
        <w:spacing w:after="0" w:line="71" w:lineRule="exact"/>
        <w:rPr>
          <w:rFonts w:ascii="Arial" w:cs="Arial" w:eastAsia="Arial" w:hAnsi="Arial"/>
          <w:sz w:val="18"/>
          <w:szCs w:val="18"/>
          <w:b w:val="1"/>
          <w:bCs w:val="1"/>
          <w:color w:val="auto"/>
        </w:rPr>
      </w:pPr>
    </w:p>
    <w:p>
      <w:pPr>
        <w:ind w:left="660" w:right="4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lenders that receive a loan request form evaluate the information contained in it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 conditional loan offer. If any of the network lenders initially receiving a loan request do not respond with a conditional loan offer, the loan request form is directed through the matching process a second time in an attempt to match the consumer with other network lenders, up to a maximum of five.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Communication of a Conditional Offer. </w:t>
      </w:r>
      <w:r>
        <w:rPr>
          <w:rFonts w:ascii="Arial" w:cs="Arial" w:eastAsia="Arial" w:hAnsi="Arial"/>
          <w:sz w:val="18"/>
          <w:szCs w:val="18"/>
          <w:color w:val="auto"/>
        </w:rPr>
        <w:t>If one or more network lenders make a conditional offer, the consumer is automatically notified via e-mail</w:t>
      </w:r>
      <w:r>
        <w:rPr>
          <w:rFonts w:ascii="Arial" w:cs="Arial" w:eastAsia="Arial" w:hAnsi="Arial"/>
          <w:sz w:val="18"/>
          <w:szCs w:val="18"/>
          <w:b w:val="1"/>
          <w:bCs w:val="1"/>
          <w:color w:val="auto"/>
        </w:rPr>
        <w:t xml:space="preserve"> </w:t>
      </w:r>
      <w:r>
        <w:rPr>
          <w:rFonts w:ascii="Arial" w:cs="Arial" w:eastAsia="Arial" w:hAnsi="Arial"/>
          <w:sz w:val="18"/>
          <w:szCs w:val="18"/>
          <w:color w:val="auto"/>
        </w:rPr>
        <w:t>to return to our website and log in to a web page that presents the customized loan offers ("My Account"). Through the My Account web page, consumers may access and compare the proposed terms of each conditional offer, including interest rates, closing costs, monthly payment amounts, lender fees and other information.</w:t>
      </w:r>
    </w:p>
    <w:p>
      <w:pPr>
        <w:spacing w:after="0" w:line="71" w:lineRule="exact"/>
        <w:rPr>
          <w:rFonts w:ascii="Arial" w:cs="Arial" w:eastAsia="Arial" w:hAnsi="Arial"/>
          <w:sz w:val="18"/>
          <w:szCs w:val="18"/>
          <w:b w:val="1"/>
          <w:bCs w:val="1"/>
          <w:color w:val="auto"/>
        </w:rPr>
      </w:pPr>
    </w:p>
    <w:p>
      <w:pPr>
        <w:ind w:left="660" w:right="280" w:hanging="328"/>
        <w:spacing w:after="0" w:line="347"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Processing. </w:t>
      </w:r>
      <w:r>
        <w:rPr>
          <w:rFonts w:ascii="Arial" w:cs="Arial" w:eastAsia="Arial" w:hAnsi="Arial"/>
          <w:sz w:val="16"/>
          <w:szCs w:val="16"/>
          <w:color w:val="auto"/>
        </w:rPr>
        <w:t>Consumers may then elect to work offline with relevant network lenders to provide property information and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bearing on their creditworthiness. If a network lender approves a consumer's application, it may then underwrite and originate a loan.</w:t>
      </w:r>
    </w:p>
    <w:p>
      <w:pPr>
        <w:spacing w:after="0" w:line="8" w:lineRule="exact"/>
        <w:rPr>
          <w:rFonts w:ascii="Arial" w:cs="Arial" w:eastAsia="Arial" w:hAnsi="Arial"/>
          <w:sz w:val="16"/>
          <w:szCs w:val="16"/>
          <w:b w:val="1"/>
          <w:bCs w:val="1"/>
          <w:color w:val="auto"/>
        </w:rPr>
      </w:pPr>
    </w:p>
    <w:p>
      <w:pPr>
        <w:ind w:left="660" w:right="40" w:hanging="328"/>
        <w:spacing w:after="0" w:line="347"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Ongoing Consumer and Lender Support. </w:t>
      </w:r>
      <w:r>
        <w:rPr>
          <w:rFonts w:ascii="Arial" w:cs="Arial" w:eastAsia="Arial" w:hAnsi="Arial"/>
          <w:sz w:val="16"/>
          <w:szCs w:val="16"/>
          <w:color w:val="auto"/>
        </w:rPr>
        <w:t>Active e-mail and telephone support are provided to both network lenders and consumers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loan transaction process. This support is designed to provide technical assistance and increase overall satisfaction of network lenders and consumers.</w:t>
      </w:r>
    </w:p>
    <w:p>
      <w:pPr>
        <w:spacing w:after="0" w:line="12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also offer consumers an alternative "short-form" matching process, which provides them with lender contact information rather than conditional offers from network lenders. This short-form process typically requires consumers to submit less data than required in connection with the matching process described above and does not involve consumer consent to an inquiry regarding credit.</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2013, we expanded our mortgage offerings by launching LoanExplorer, a "rate table" loan marketplace where consumers can enter their loan and credit profile and dynamically view real-time rates from lenders without entering their contact information. Consumers then have the option of calling lenders directly, clicking through to lenders' websites, or sending data requests for lenders to follow up with them directly. We developed this offering through internal product development efforts.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lending offerings include information, tools and access to:</w:t>
      </w:r>
    </w:p>
    <w:p>
      <w:pPr>
        <w:spacing w:after="0" w:line="117" w:lineRule="exact"/>
        <w:rPr>
          <w:sz w:val="20"/>
          <w:szCs w:val="20"/>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Reverse mortgage loans, a loan product available to qualifying homeowners age 62 or older; we launched this offering in the first quarter of 2013 through internal product development efforts,</w:t>
      </w:r>
    </w:p>
    <w:p>
      <w:pPr>
        <w:spacing w:after="0" w:line="62"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Personal loans, which are unsecured obligations generally carrying shorter terms and smaller loan amounts than mortgages; we have historically operated a personal loan offering, but launched an enhanced version of this offering in the third quarter of 2013, and</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cards offerings from all the major issuers; we launched this offering in the second quarter of 2013 through internal product development efforts.</w:t>
      </w:r>
    </w:p>
    <w:p>
      <w:pPr>
        <w:spacing w:after="0" w:line="6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intend to continue adding new lending offerings for consumers and lenders, in order to grow and diversify our sources of revenue. We may develop such new offerings through internal product development efforts, strategic business relationships with third parties and/or acquisitions.</w:t>
      </w:r>
    </w:p>
    <w:p>
      <w:pPr>
        <w:spacing w:after="0" w:line="3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LendingTree does not charge consumers for the use of our services. Substantially all revenues from our lender network are derived from upfront match fees paid by network lenders that receive a lead. Previously, network lenders also paid closing fees when they closed a transaction with a consumer, but this closing fee was eliminated in 2011 for all mortgage products, with the exception of home equity loans. The closing fee on home equity loan products was eliminated in January 2013. Because a given loan request form can be matched with more than one network lender, up to five match fees may be generated from a single consumer loan request form.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Segments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segments include our auto, education and home services businesses.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b w:val="1"/>
          <w:bCs w:val="1"/>
          <w:i w:val="1"/>
          <w:iCs w:val="1"/>
          <w:u w:val="single" w:color="auto"/>
          <w:color w:val="auto"/>
        </w:rPr>
        <w:t>Auto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variety of resources to consumers seeking loans for purchasing new and used automobiles and for refinancing existing auto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complete a loan request form and then we match those applications with a national platform of banks, brokers and credit unions seeking to serve these consumers. We also offer prospective automobile buyers the opportunity to search for new and used automobiles through access to more than 4,000 dealerships. We do not charge fees to consumers for use of our auto services; rather, substantially all revenues from our auto customers—banks, credit unions, dealerships and dealer groups—are derived from upfront match fees, closed loan and closed sale fees.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b w:val="1"/>
          <w:bCs w:val="1"/>
          <w:i w:val="1"/>
          <w:iCs w:val="1"/>
          <w:u w:val="single" w:color="auto"/>
          <w:color w:val="auto"/>
        </w:rPr>
        <w:t>Education</w:t>
      </w:r>
      <w:r>
        <w:rPr>
          <w:rFonts w:ascii="Arial" w:cs="Arial" w:eastAsia="Arial" w:hAnsi="Arial"/>
          <w:sz w:val="16"/>
          <w:szCs w:val="16"/>
          <w:color w:val="auto"/>
        </w:rPr>
        <w:t>. We offer referrals to more than 30 top-tier institutions and agencies for prospective students seeking institutions of higher education.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Supported programs include Associates, Bachelors and Masters degrees across a broad range of subject categories including Business, Education, Healthcare, Nursing, Psychology and Technology, among others. Our education websites provide information and a variety of resources related to educational opportunities for prospective students. We do not charge fees to prospective students for use of our education services; rather, substantially all our revenues are derived from educational institutions and agencies to whom we refer prospective students, in the form of upfront match fees.</w:t>
      </w:r>
    </w:p>
    <w:p>
      <w:pPr>
        <w:spacing w:after="0" w:line="158"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b w:val="1"/>
          <w:bCs w:val="1"/>
          <w:i w:val="1"/>
          <w:iCs w:val="1"/>
          <w:u w:val="single" w:color="auto"/>
          <w:color w:val="auto"/>
        </w:rPr>
        <w:t>Home Services</w:t>
      </w:r>
      <w:r>
        <w:rPr>
          <w:rFonts w:ascii="Arial" w:cs="Arial" w:eastAsia="Arial" w:hAnsi="Arial"/>
          <w:sz w:val="17"/>
          <w:szCs w:val="17"/>
          <w:color w:val="auto"/>
        </w:rPr>
        <w:t>. We offer consumers opportunities to research and find home improvement professional services through our network of both local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contractors. We have local coverage nationwide for many of the most popular home improvement categories, through our direct contractor relationships and partner network. We generate consumer awareness both by offering home improvement referrals during the core LendingTree mortgage loan request form process, as well as through dedicated marketing efforts. In the fall of 2013, we rebranded this business as LendingTree Home Pros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and launched a new, more user-friendly website. We do not charge fees to consumers for use of our home services offerings; rather, substantially all revenues from our home services customers—independent contractors, national home services and home improvement chains, other lead aggregators and other home services marketing services providers—are derived from upfront match fees.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 Products</w:t>
      </w:r>
      <w:r>
        <w:rPr>
          <w:rFonts w:ascii="Arial" w:cs="Arial" w:eastAsia="Arial" w:hAnsi="Arial"/>
          <w:sz w:val="18"/>
          <w:szCs w:val="18"/>
          <w:color w:val="auto"/>
        </w:rPr>
        <w:t>. Other also includes information, tools and access to:</w:t>
      </w:r>
    </w:p>
    <w:p>
      <w:pPr>
        <w:spacing w:after="0" w:line="117"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consumer insurance products, including home and automobile, through which consumers are matched with licensed insurance agents and insurance lead aggregators to obtain insurance offers;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Personal credit data, through which consumers can gain insights into how prospective lenders and other third parties view their credit profiles;</w:t>
      </w:r>
    </w:p>
    <w:p>
      <w:pPr>
        <w:spacing w:after="0" w:line="128"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repair and debt consolidation services, through which consumers can obtain assistance improving their credit profiles, in order to expand and improve loan and other financial product opportunities available to them; and</w:t>
      </w:r>
    </w:p>
    <w:p>
      <w:pPr>
        <w:spacing w:after="0" w:line="62" w:lineRule="exact"/>
        <w:rPr>
          <w:rFonts w:ascii="Arial" w:cs="Arial" w:eastAsia="Arial" w:hAnsi="Arial"/>
          <w:sz w:val="18"/>
          <w:szCs w:val="18"/>
          <w:color w:val="auto"/>
        </w:rPr>
      </w:pPr>
    </w:p>
    <w:p>
      <w:pPr>
        <w:ind w:left="340" w:right="120" w:hanging="8"/>
        <w:spacing w:after="0" w:line="434"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 estate brokerage services, through which consumers are matched with local realtors who can assist them in their home purchase or sale efforts. We refer to the various purchasers of leads from our other exchanges as lead purchasers.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Revenue in our lending business is subject to the cyclical and seasonal trends of the U.S. housing and credit markets. Home sales typically rise during the spring and summer months and decline during the fall and winter months, while refinancing and home equity activity is principally driven by mortgage interest rates as well as real estate values. Revenue in our personal loan and credit card businesses is driven by interest rates and availability of credit in the market.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our other businesses, our:</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 business tends to have a seasonal increase in the spring;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Education business tends to increase preceding the commencement of new semesters;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Home services business tends to increase during the summer.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these trends in our businesses are not absolute and there have been exceptions to them.</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lending and other businesses compete with other lead aggregators, including online intermediaries that operate network-type arrangements. We also face competition from lenders that source consumer loan originations directly through their owned and operated websites or by phone. These companies typically operate consumer-branded websites and attract consumers via online banner ads, keyword placement on search engines, partnerships with affiliates and business development arrangements with other properties, including major online portals.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7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businesses market and provide services in heavily regulated industries through a number of different online and offline channels across the United States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1A. Risk Factors—</w:t>
      </w:r>
      <w:r>
        <w:rPr>
          <w:rFonts w:ascii="Arial" w:cs="Arial" w:eastAsia="Arial" w:hAnsi="Arial"/>
          <w:sz w:val="18"/>
          <w:szCs w:val="18"/>
          <w:i w:val="1"/>
          <w:iCs w:val="1"/>
          <w:color w:val="auto"/>
        </w:rPr>
        <w:t>Failure to comply with past, existing or new laws, rules and regulations, or to obtain and maintain required licenses,</w:t>
      </w:r>
      <w:r>
        <w:rPr>
          <w:rFonts w:ascii="Arial" w:cs="Arial" w:eastAsia="Arial" w:hAnsi="Arial"/>
          <w:sz w:val="18"/>
          <w:szCs w:val="18"/>
          <w:color w:val="auto"/>
        </w:rPr>
        <w:t xml:space="preserve"> </w:t>
      </w:r>
      <w:r>
        <w:rPr>
          <w:rFonts w:ascii="Arial" w:cs="Arial" w:eastAsia="Arial" w:hAnsi="Arial"/>
          <w:sz w:val="18"/>
          <w:szCs w:val="18"/>
          <w:i w:val="1"/>
          <w:iCs w:val="1"/>
          <w:color w:val="auto"/>
        </w:rPr>
        <w:t>could adversely affect our business, financial condition and results of operations.</w:t>
      </w:r>
      <w:r>
        <w:rPr>
          <w:rFonts w:ascii="Arial" w:cs="Arial" w:eastAsia="Arial" w:hAnsi="Arial"/>
          <w:sz w:val="18"/>
          <w:szCs w:val="18"/>
          <w:color w:val="auto"/>
        </w:rPr>
        <w:t>"). As a result, they are subject to a variety of statutes, rules,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and procedures in various jurisdictions in the United States, including:</w:t>
      </w:r>
    </w:p>
    <w:p>
      <w:pPr>
        <w:spacing w:after="0" w:line="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Restrictions on the amount and nature of fees or interest that may be charged in connection with a loan, such as state usury and fee restrictions;</w:t>
      </w:r>
    </w:p>
    <w:p>
      <w:pPr>
        <w:spacing w:after="0" w:line="140" w:lineRule="exact"/>
        <w:rPr>
          <w:rFonts w:ascii="Arial" w:cs="Arial" w:eastAsia="Arial" w:hAnsi="Arial"/>
          <w:sz w:val="16"/>
          <w:szCs w:val="16"/>
          <w:color w:val="auto"/>
        </w:rPr>
      </w:pPr>
    </w:p>
    <w:p>
      <w:pPr>
        <w:jc w:val="both"/>
        <w:ind w:left="660" w:right="54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Restrictions imposed by the Dodd-Frank Wall Street Reform and Consumer Protection Act (the "Dodd Frank Act") and current or future rules promulgated thereunder, including, but not limited to, limitations on fees charged by mortgage lenders, mortgage broker disclosures and rules promulgated by the Consumer Financial Protection Bureau, or CFPB, which was created under the Dodd-Frank Act;</w:t>
      </w:r>
    </w:p>
    <w:p>
      <w:pPr>
        <w:spacing w:after="0" w:line="38"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78"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leads, such as RESPA;</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consumers for real estate brokerage transactions, including any incentives and rebates that may be offered to consumers by our businesses;</w:t>
      </w:r>
    </w:p>
    <w:p>
      <w:pPr>
        <w:spacing w:after="0" w:line="62"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Federal and State laws relating to the implementation of the Secure and Fair Enforcement of Mortgage Licensing Act of 2008 (the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57" w:lineRule="exact"/>
        <w:rPr>
          <w:rFonts w:ascii="Arial" w:cs="Arial" w:eastAsia="Arial" w:hAnsi="Arial"/>
          <w:sz w:val="17"/>
          <w:szCs w:val="17"/>
          <w:color w:val="auto"/>
        </w:rPr>
      </w:pPr>
    </w:p>
    <w:p>
      <w:pPr>
        <w:ind w:left="660" w:right="44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State and federal restrictions on the marketing activities conducted by telephone, mail, email, mobile device or the internet, including the Telemarketing Sales Rule ("TSR"), Telephone Consumer Protection Act ("TCPA"), state telemarketing laws, federal and state privacy laws, the CAN-SPAM Act, and the Federal Trade Commission Act and their accompanying regulations and guidelines;</w:t>
      </w:r>
    </w:p>
    <w:p>
      <w:pPr>
        <w:spacing w:after="0" w:line="57" w:lineRule="exact"/>
        <w:rPr>
          <w:rFonts w:ascii="Arial" w:cs="Arial" w:eastAsia="Arial" w:hAnsi="Arial"/>
          <w:sz w:val="17"/>
          <w:szCs w:val="17"/>
          <w:color w:val="auto"/>
        </w:rPr>
      </w:pPr>
    </w:p>
    <w:p>
      <w:pPr>
        <w:ind w:left="660" w:right="6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imposed by regulations promulgated by the Department of Education with respect to marketing activities and compensation and incentive payments in connection the recruitment and enrollment of students in higher education programs; and</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"Bird Dog" laws which restrict the amount and nature of fees, if any, that may be charged to consumers for automobile direct and indirect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We believe that our intellectual property rights are vital to our success. To protect our intellectual property rights in our technology, products, improvements and inventions, we rely on a combination of patents, trademarks, trade secret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two issued U.S. patents relating to our technologies, including those relating to the method and network for coordinating a loan over the internet, which expire in 2018. In March 2014, a federal jury found these two patents invalid. We are considering our legal alternatives with respect to this jury finding.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Legal Proceedings—LendingTree v. Zillow, Inc. et al." included elsewhere in this report. In addition to these two issued patents, we also have four pending U.S. patent applications.</w:t>
      </w:r>
    </w:p>
    <w:p>
      <w:pPr>
        <w:spacing w:after="0" w:line="5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 developed and used. We have 32 trademarks and service marks registered with the United States Patent and Trademark Office. These registrations can typically be renewed at 10-year intervals. We reserve and register domain names when and where we deem appropriate and we currently have approximately 1,300 registered domain names. We also have agreements with third parties that provide for the licensing of patented and proprietary technology used in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From time to time, we are subjected to legal proceedings and claims, or threatened legal proceedings or claims, including allegations of infringement of third-party trademarks, copyrights, patents and other intellectual property rights of third parties. In addition, the use of litigation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Legal Proceedings" included elsewhere in this report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December 31, 2013, we had approximately 192 employees, of which approximately 176 are full-time and 16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7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www.investor-relations.tree.com</w:t>
      </w:r>
      <w:r>
        <w:rPr>
          <w:rFonts w:ascii="Arial" w:cs="Arial" w:eastAsia="Arial" w:hAnsi="Arial"/>
          <w:sz w:val="18"/>
          <w:szCs w:val="18"/>
          <w:color w:val="auto"/>
        </w:rPr>
        <w:t>. None of the information on our website is incorporated by reference in this report, or in any other filings with, or in any information furnished or submitted to, the Securities and Exchange Commission (the "SEC").</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or at the SEC's public reference room located at 100 F Street, N.E., Washington, DC 20549. Please call the SEC at 1-800-SEC-0330 for further information on the operation of the public reference room.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Our code of business conduct and ethics, which applies to all employees, including all executive officers and senior financial officers and directors, is posted on our website at </w:t>
      </w:r>
      <w:r>
        <w:rPr>
          <w:rFonts w:ascii="Arial" w:cs="Arial" w:eastAsia="Arial" w:hAnsi="Arial"/>
          <w:sz w:val="18"/>
          <w:szCs w:val="18"/>
          <w:i w:val="1"/>
          <w:iCs w:val="1"/>
          <w:color w:val="auto"/>
        </w:rPr>
        <w:t>www.investor-relations.tree.com/governance.cfm</w:t>
      </w:r>
      <w:r>
        <w:rPr>
          <w:rFonts w:ascii="Arial" w:cs="Arial" w:eastAsia="Arial" w:hAnsi="Arial"/>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18"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financial condition and results of operations are subject to certain risks that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a history of incurring operating losses, including for the 2013 and 2012 years, and although our performance over the last few years has been improving, we have an accumulated deficit of $807.5 million at December 31, 2013. If we fail to maintain or grow our revenue and manage our expenses, we may incur significant losses in the future and not be able to maintain profitability.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economy generally, could materially and adversely affect our business, financial condition and results of operations.</w:t>
      </w:r>
    </w:p>
    <w:p>
      <w:pPr>
        <w:spacing w:after="0" w:line="11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primary and secondary mortgage markets have been experiencing continued constraints, which have in the past had, and may in the future have, an adverse effect on our business, financial condition and results of operations. These conditions, coupled with economic conditions that are still recovering and residential real estate prices which, despite recent improvements, are still at substantially reduced levels from their last peak in 2006, have resulted in and are expected to continue to result in decreased demand for purchase loans and greater difficulty qualifying for refinance and home equity loans. Generally, increases in interest rates adversely affect the ability of our network lenders to close loans, and adverse economic trends limit the ability of our network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network lenders have less incentive to use our networks, or in the case of sudden increases in consumer demand, our network lenders may lack the ability to support sudden increases in volume.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7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to other asset-backed securities, credit default swaps and other derivative and cash securities, in turn, caused many financial institutions to seek additional capital, merge with larger and stronger institutions and, in some cases, to fail.</w:t>
      </w:r>
    </w:p>
    <w:p>
      <w:pPr>
        <w:spacing w:after="0" w:line="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8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While conditions in the housing markets have improved during 2012 and 2013, the failure to sustain such improvements and, thereby, a worsening of these conditions could have adverse effects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in the past led to market-wide liquidity problems and could lead to disruptions in the mortgage industry. Any such disruption could have an adverse effect on our business, financial condition and results of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16"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 xml:space="preserve">Our lending business is historically subject to seasonal trends. These trends reflect the general patterns of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other businesses have various seasonality trends which may create further uncertainty in our quarterly operating results if these business become more significant components of our total revenue.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 Business—Seasonality" included elsewhere in this report for more information, Any of these seasonal trends, or the combination of them, may negatively impact the price of our common stock.</w:t>
      </w:r>
    </w:p>
    <w:p>
      <w:pPr>
        <w:spacing w:after="0" w:line="193"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b w:val="1"/>
          <w:bCs w:val="1"/>
          <w:i w:val="1"/>
          <w:iCs w:val="1"/>
          <w:color w:val="auto"/>
        </w:rPr>
        <w:t>Litigation and indemnification of secondary market purchasers could have a material adverse effect on our business, financial condition, results of operations and liquidity. If we cannot settle any then-existing and certain future contingent liabilities to secondary market purchasers, a substantial portion of the purchase price for the sale of LendingTree Loans' assets will remain in escrow indefinitely.</w:t>
      </w:r>
    </w:p>
    <w:p>
      <w:pPr>
        <w:spacing w:after="0" w:line="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connection with the sale of loans to secondary market purchasers, HLC may be liable for certain indemnification, repurchase and premium repayment obligations.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also agreed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HLC's origination of the loan). Further, HLC agreed to repay all or a portion of the initial premiums paid by secondary market purchasers in instances where the borrower prepays the loan within a specified period of time. HLC has made payments for these liabilities in the past and expects to make payments for these liabilities in the future.</w:t>
      </w:r>
    </w:p>
    <w:p>
      <w:pPr>
        <w:spacing w:after="0" w:line="5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continue to be liable for these indemnification obligations, repurchase obligations and premium repayment obligations following the sale of substantially all of the operating assets of our LendingTree Loans business. Approximately $21.2 million is being held in escrow pending resolution of certain of these contingent liabilities. We have in the past and intend to continue to negotiate in the future with secondary market purchasers to settle any 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adverse effect on our business, financial condition and results of operations.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asset purchase agreement for the sale of substantially all of the operating assets of our LendingTree Loans business may expose us to contingent liabilities.</w:t>
      </w:r>
    </w:p>
    <w:p>
      <w:pPr>
        <w:spacing w:after="0" w:line="11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Under the asset purchase agreement, 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Discover submitted a claim for indemnification relating to our sale prior to the closing of certain loans that were listed in the asset purchase agreement as to be conveyed to Discover at closing. In May 2013, the claim was resolved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16—Discontinued Operations to the consolidated financial statements included elsewhere in this report).</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cannot compete in the business of originating, funding or selling of mortgages until June 2015. These restrictions may prevent certain strategic transactions or discourage potential investors from purchasing our stock.</w:t>
      </w:r>
    </w:p>
    <w:p>
      <w:pPr>
        <w:spacing w:after="0" w:line="11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Subject to specified exceptions, we have agreed we will not establish, own, manage, operate, control, invest in or otherwise engage in the business of origination, funding or sales of mortgages within the United States for three years from the closing of the sale of substantially all of the operating assets of our LendingTree Loans business. Should market conditions or our strategic direction change, we will not be able to re-establish mortgage lending as part of our business during the restricted period. This non-compete restriction may bind an acquirer of more than fifty percent of our total outstanding voting securities unless such acquirer derives less than fifty percent of its revenue from the business of origination, funding or sales of mortgages.</w:t>
      </w:r>
    </w:p>
    <w:p>
      <w:pPr>
        <w:spacing w:after="0" w:line="5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This non-compete restriction could delay, defer or prevent a change of control, merger, consolidation, takeover or other business combination involving us that our board of directors or our stockholders may otherwise support, and could also discourage a potential investor from acquiring our common stock and might harm the market price of our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success depends in significant part on the financial strength of lenders participating on our networks. Network lenders could, for any reason, experience financial difficulties and cease participating on our lender network, fail to pay match and/or closing fees when due and/or drop the quality of their services to consumers. The occurrence of one or more of these events with a significant number of network lenders could, alone or in combination,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lenders affiliated with our networks are not precluded from offering products and services outside of our exchanges.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Because our businesses do not have exclusive relationships with network lenders, consumers may obtain loans directly from these third-party service providers without having to use our exchanges. Network lenders can offer loans directly to consumers through marketing campaigns or other traditional methods of distribution, such as referral arrangements, physical store-front operations or broker agreements. Network lenders may also offer loans and services to prospective customers online directly, through one or more online competitors of our businesses, or both. If a significant number of consumers seek loans and services directly from network lenders as opposed to through our exchanges, our business, financial condition and results of operations would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lending services are new to the market and may fail to achieve or maintain customer acceptance and profitability.</w:t>
      </w:r>
    </w:p>
    <w:p>
      <w:pPr>
        <w:spacing w:after="0" w:line="1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2013, we expanded our lending offerings by launching LoanExplorer, a “rate table” loan marketplace, and loan marketplaces for reverse mortgages, personal loans and credit card offerings. We do not have as much experience with these products as with the mortgage marketplaces. Accordingly, these new offerings may be subject to greater risks than our more mature mortgage marketplaces.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these and other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consumers and lead purchasers;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by consumers and lead purchasers;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lead purchasers.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Network lenders and lead purchasers on our exchanges may not provide competitive levels of service to consumers, which could adversely affect our brands and businesses and their ability to attract consumers.</w:t>
      </w:r>
    </w:p>
    <w:p>
      <w:pPr>
        <w:spacing w:after="0" w:line="11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exchanges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exchanges may decline, which could have a material adverse effect on our business, financial condition and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customers in a cost-effective manner could adversely affect our business, financial condition and results of operations.</w:t>
      </w:r>
    </w:p>
    <w:p>
      <w:pPr>
        <w:spacing w:after="0" w:line="11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order to attract visitors to our websites, convert these visitors into leads for our network lenders and lead purchasers and generate repeat visits from consumers, our businesses must promote and maintain their various brands successfully.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of operating capital on, and devote significant resources to, branding, advertising and other marketing initiatives, which may not be successful or cost-effective. The failure of our businesses to maintain the recognition of their respective brands and attract and retain customers in a cost-effective manner could adversely affect our business, financial condition and results of operations.</w:t>
      </w:r>
    </w:p>
    <w:p>
      <w:pPr>
        <w:spacing w:after="0" w:line="6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Adverse publicity from legal proceedings against us or our businesses, including governmental proceedings and consumer class action litigation, or from the disclosure of information security breaches, could negatively impact our various brands, which could adversely affect our business, financial condition and results of operations. In addition, the actions of our third-party marketing partners who engage in advertising on our behalf could negatively impact our various brands.</w:t>
      </w:r>
    </w:p>
    <w:p>
      <w:pPr>
        <w:spacing w:after="0" w:line="18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depend on search engines and other online sources to attract visitors to our websites, and if we are unable to attract these visitors and convert them into leads for our network lenders and lead purchasers in a cost-effective manner, our business and financial results may be harmed.</w:t>
      </w:r>
    </w:p>
    <w:p>
      <w:pPr>
        <w:spacing w:after="0" w:line="4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success depends on our ability to attract online consumers to our websites and convert them into customers in a cost-effective manner. We depend, in part, on search engines and other online sources for our website traffic. We are included in search results as a result of both paid search listings, where we purchase specific search terms that result in the inclusion of our listing, and algorithmic searches, that depend upon the searchable content on our sites. Search engines and other online sources revise their algorithms from time to time in an attempt to optimize their search results.</w:t>
      </w:r>
    </w:p>
    <w:p>
      <w:pPr>
        <w:spacing w:after="0" w:line="6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we are unable to continually enhance our products and services and adapt them to technological changes and consumer and customer needs, including the emergence of new computing devices and more sophisticated online services, we may lose market share and revenue and our business could suffer.</w:t>
      </w:r>
    </w:p>
    <w:p>
      <w:pPr>
        <w:spacing w:after="0" w:line="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personal digital assistants, mobile telephones,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we may lose market share, which could adversely affect our business, financial condition and results of operations.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adversely affect our business, financial condition and results of operations.</w:t>
      </w:r>
    </w:p>
    <w:p>
      <w:pPr>
        <w:spacing w:after="0" w:line="11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adversely affect our business, financial condition and results of operations and our brand.</w:t>
      </w:r>
    </w:p>
    <w:p>
      <w:pPr>
        <w:spacing w:after="0" w:line="64"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the Telephone Consumer Protection Act and the Federal Trade Commission Act and its accompanying regulations and guidelines, among others. Increased regulation by the U.S. Federal Trade Commission (FTC) and Federal Communications Commission (FCC) has resulted in restrictions on telephone calls to residential and wireless telephone subscribers.</w:t>
      </w:r>
    </w:p>
    <w:p>
      <w:pPr>
        <w:spacing w:after="0" w:line="8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Additional federal, state and in some instances, local, laws regulate residential lending activities. These laws generally regulate the manner in which lending and lending-related activities are marketed or made available, including advertising and other consumer disclosures, payments for services and record keeping requirements; these laws include the Real Estate Settlement Procedures Act (RESPA), the Fair Credit Reporting Act, the Truth in Lending Act, the Equal Credit Opportunity Act, the Fair Housing Act and various state laws. State laws often restrict the amount of interest and fees that may be charged by a lender or mortgage broker, or otherwise regulate the manner in which lenders or mortgage brokers operate or advertise.</w:t>
      </w:r>
    </w:p>
    <w:p>
      <w:pPr>
        <w:spacing w:after="0" w:line="64" w:lineRule="exact"/>
        <w:rPr>
          <w:sz w:val="20"/>
          <w:szCs w:val="20"/>
          <w:color w:val="auto"/>
        </w:rPr>
      </w:pPr>
    </w:p>
    <w:p>
      <w:pPr>
        <w:ind w:right="540" w:firstLine="324"/>
        <w:spacing w:after="0" w:line="286" w:lineRule="auto"/>
        <w:rPr>
          <w:sz w:val="20"/>
          <w:szCs w:val="20"/>
          <w:color w:val="auto"/>
        </w:rPr>
      </w:pPr>
      <w:r>
        <w:rPr>
          <w:rFonts w:ascii="Arial" w:cs="Arial" w:eastAsia="Arial" w:hAnsi="Arial"/>
          <w:sz w:val="17"/>
          <w:szCs w:val="17"/>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5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In 2008, Congress mandated that all states adopt certain minimum standards for the licensing of individuals involved in mortgage lending or loan brokering, and many state legislatures and state agencies are in the process of adopting or implementing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adversely affect our business, financial condition and results of operations.</w:t>
      </w:r>
    </w:p>
    <w:p>
      <w:pPr>
        <w:spacing w:after="0" w:line="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3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adverse effect on our business, results of operation and financial condition.</w:t>
      </w:r>
    </w:p>
    <w:p>
      <w:pPr>
        <w:spacing w:after="0" w:line="7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secondary market purchaser, website operator or other third party to comply with these laws or regulations could result in, among other things, claims of vicarious liability or a negative impact on our reputation and business.</w:t>
      </w:r>
    </w:p>
    <w:p>
      <w:pPr>
        <w:spacing w:after="0" w:line="6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real estate brokerage operation (which was subject to various state and local laws, rules and regulations). Even allegations that our activities have not complied or do not comply with all applicable laws and regulations may have an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could negatively affect our business.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or operating expenses and expose us to significant liabilities.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Dodd-Frank Wall Street Reform and Consumer Protection Act and related legislative and regulatory actions may have a significant impact on our business, results of operations and financial condition.</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July 2010, the President signed into law the Dodd-Frank Act, which contains a comprehensive set of provisions designed to govern the practices and oversight of financial institutions and other participants in the financial markets. The Dodd-Frank Act requires various federal agencies to adopt a broad range of new rules and regulations, and to prepare numerous studies and reports for Congress, which could result in additional legislative or regulatory action. The federal agencies are given significant discretion in drafting the rules and regulations and, consequently, many of the details and much of the impact of the Dodd-Frank Act may not be known for many months or years.</w:t>
      </w:r>
    </w:p>
    <w:p>
      <w:pPr>
        <w:spacing w:after="0" w:line="8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Dodd-Frank Act, as well as other legislative and regulatory changes, could have a significant impact on us by, for example, requiring us to change our business practices, limiting our ability to pursue business opportunities, imposing additional costs on us, limiting fees we can charge, impacting the value of our assets, or otherwise adversely affecting our businesses. Among other things, the Dodd-Frank Act established the Bureau of Consumer Financial Protection to regulate consumer financial services and products, including credit, savings and payment products. The effect of the Dodd-Frank Act on our business and operations could be significant, depending upon final implementing regulations, the actions of our competitors and the behavior of other marketplace participants. In addition, we may be required to invest significant management time and resources to address the various provisions of the Dodd-Frank Act and the numerous regulations that are required to be issued under 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light of recent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network lenders fail to produce required documents for examination by, or other affiliated parties fail to make certain filings with, state regulators, we may be subject to fines, forfeitures and the revocation of required licenses.</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adverse effect on our business, financial condition and results of operations.</w:t>
      </w:r>
    </w:p>
    <w:p>
      <w:pPr>
        <w:spacing w:after="0" w:line="6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adverse effect on our business, financial condition and results of operations.</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 breach of our network security or the misappropriation or misuse of personal consumer information may have an adverse impact on our business, financial condition and results of operations.</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Any penetration of network security or other misappropriation or misuse of personal consumer information maintained by us or our third-party marketing partners could cause interruptions in the operations of our businesses and subject us to increased costs, litigation and other liabilities. Claims could also be made against us or our third-party marketing partners for other misuse of personal information, such as for unauthorized purposes or identity theft, which could result in litigation and financial liabilities, as well as administrative action from governmental authorities. Real or perceived security breaches could also significantly damage our reputation with consumers and third parties with whom we do business. In that regard, in 2008, we announced that several mortgage companies had gained unauthorized access to our customer information database and had used the information to solicit mortgage loans directly from our customers. We promptly reported the situation to the Federal Bureau of Investigation and have been cooperating fully with the FBI's investigation. While we do not believe this situation resulted in any fraud on the consumer or identity theft, we notified affected consumers as required by applicable law. Notwithstanding the foregoing, following our announcement, several putative class action lawsuits were filed against 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seeking to recover damages for consumers allegedly injured by this incident. All of these lawsuits have been dismissed or withdrawn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Legal Proceedings" in our 2011 Form 10-K).</w:t>
      </w:r>
    </w:p>
    <w:p>
      <w:pPr>
        <w:spacing w:after="0" w:line="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adequately protect our intellectual property rights or may be accused of infringing intellectual property rights of third parties.</w:t>
      </w:r>
    </w:p>
    <w:p>
      <w:pPr>
        <w:spacing w:after="0" w:line="183"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7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copyrighted intellectual property without authorization which, if discovered, might require legal action to correct. In addition, third parties may independently and lawfully develop substantially similar intellectual properties.</w:t>
      </w:r>
    </w:p>
    <w:p>
      <w:pPr>
        <w:spacing w:after="0" w:line="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We have been granted patents and we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March 2014, a federal jury found our two issued patents invalid. We are considering our legal alternatives with respect to this jury finding.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Legal Proceedings—LendingTree v. Zillow, Inc. et al." included elsewhere in this report. In addition, third parties may create new products or methods that achieve similar results without infringing upon patents that we own.</w:t>
      </w:r>
    </w:p>
    <w:p>
      <w:pPr>
        <w:spacing w:after="0" w:line="8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6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From time to time, in the ordinary course of business we are subjected to legal proceedings, claims and counterclaims, or threatened legal proceedings, claims or counterclaims, including allegations of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 During the first quarter of 2014, we participated in a jury trial for the litigation described in Item 3. Legal Proceedings—LendingTree v. Zillow, Inc. et al. The legal expenses associated with this jury trial were material, and will negatively affect our operating income or loss for such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Management of our risks in some cases depends upon the use of analytical and/or forecasting models. If the models that we use to mitigate these risks are inadequate, we may incur increased losses. In addition, there may be risks that exist, or that develop in the future, that we have not appropriately anticipated, identified or mitigated. If our risk management framework does not effectively identify or mitigate our risks, we could suffer unexpected losses and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or strategic investments that we pursue may not be successful and could disrupt our business and harm our financial condition.</w:t>
      </w:r>
    </w:p>
    <w:p>
      <w:pPr>
        <w:spacing w:after="0" w:line="19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it would reduce our cash balances, which may have an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an adverse effect on our financial condition. There may also be litigation or other claims arising in connection with an acquisition itself.</w:t>
      </w:r>
    </w:p>
    <w:p>
      <w:pPr>
        <w:spacing w:after="0" w:line="11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market price for our common stock has been volatile since our spin-off. The market price for our common stock could continue to fluctuate significantly for many reasons, including the risks identified in this report or reasons unrelated to our performance. These factors may result in short- or long-term negative pressure on the value of our common stock.</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trading market for internet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March 14, 2014, Douglas Lebda, our Chairman and Chief Executive Officer, and Liberty Interactive Corporation beneficially owned approximately 17% and 25%, respectively, of our outstanding common stock. Liberty Interactive also has the right to nominate 20% of the total number of directors serving on the board, rounded up. Liberty Interactive has nominated one director, Neal Dermer, and presently has the right to nominate a second director if it chooses to do so.</w:t>
      </w:r>
    </w:p>
    <w:p>
      <w:pPr>
        <w:spacing w:after="0" w:line="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The interests of Mr. Lebda or Liberty Interactive may not necessarily align with the interests of our other stockholders.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shareholders to replace or remove our management and affect the market price of our common stock.</w:t>
      </w:r>
    </w:p>
    <w:p>
      <w:pPr>
        <w:spacing w:after="0" w:line="11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our shareholders, up to five million shares of undesignated preferred stock;</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In addition, because we are incorporated in the State of Delaware, we are governed by the provisions of the Delaware General Corporation Law, which prohibits certain business combinations between us and certain significant shareholders unless specified conditions are met. These provisions may also have the effect of delaying or preventing a change of control of our company, even if stockholders support such a change of control.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principal executive offices are currently located in approximately 37,800 square feet of office space in Charlotte, North Carolina under a lease that expires in July 2015. Personnel for our lending segment are located in both our office space in Charlotte, North Carolina, as well as approximately 6,100 square feet of office space in Burlingame, California under a lease that expires in March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the ordinary course of business, we are party to litigation involving property, contract, intellectual property and a variety of other claims. The amounts that may be recovered in such matters may be subject to insurance coverage.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w:t>
      </w:r>
    </w:p>
    <w:p>
      <w:pPr>
        <w:spacing w:after="0" w:line="17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b w:val="1"/>
          <w:bCs w:val="1"/>
          <w:i w:val="1"/>
          <w:iCs w:val="1"/>
          <w:color w:val="auto"/>
        </w:rPr>
        <w:t xml:space="preserve">LendingTree v. Zillow, Inc., et al. Civil Action No. 3:10-cv-439. </w:t>
      </w:r>
      <w:r>
        <w:rPr>
          <w:rFonts w:ascii="Arial" w:cs="Arial" w:eastAsia="Arial" w:hAnsi="Arial"/>
          <w:sz w:val="16"/>
          <w:szCs w:val="16"/>
          <w:color w:val="auto"/>
        </w:rPr>
        <w:t>On September 8, 2010, we filed an action for patent infringement in the US District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Court for the Western District of NC against Zillow, Inc., Nextag, Inc., Quinstreet, Inc., Quinstreet Media, Inc., and Adchemy, Inc. The complaint was amended to include Leadpoint, Inc. d/b/a Securerights on September 24, 2010. The complaint alleges that each of the defendants infringe one or both of 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us, including the assertion by certain of the defendants of counterclaims alleging illegal monopolization via our maintenance of the asserted patents. In July 2011, we reached a settlement agreement with Leadpoint, Inc., pursuant to which all claims against Leadpoint, Inc. and all counter-claims against us by Leadpoint, Inc. were dismissed. In November 2012, we reached a settlement agreement with Quinstreet, Inc. and Quinstreet Media, Inc. (collectively, the "Quinstreet Parties"), pursuant to which all claims against the QuinStreet Parties and all counterclaims against us by the Quinstreet Parties were dismissed. This matter went to trial beginning in February 2014, and on March 12, 2014, the jury returned a verdict. The jury found that the defendants Zillow, Inc., Adchemy, Inc. and NexTag, Inc. did not infringe the two patents referenced above and determined that those patents are invalid due to inventorship defects. The jury found in our favor on the defendants' counterclaims alleging inequitable conduct and antitrust violations. As of March 13, 2014, a formal judgment had not yet been entered in the case and certain issues not before the jury remain to be resolved. We believe we have strong grounds for appeal; however, we have not yet determined what actions we will take with respect to the verdict or the findings of patent invalidity. The verdict will not impact our ability to offer our current suite of products and services, and we do not expect the verdict to affect our business prospects.</w:t>
      </w:r>
    </w:p>
    <w:p>
      <w:pPr>
        <w:spacing w:after="0" w:line="124"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b w:val="1"/>
          <w:bCs w:val="1"/>
          <w:i w:val="1"/>
          <w:iCs w:val="1"/>
          <w:color w:val="auto"/>
        </w:rPr>
        <w:t xml:space="preserve">Internet Patents Corporation f/k/a InsWeb v. Tree.com, Inc., No. C-12-6505 (U.S. Dist. Ct., N.D. Cal.). </w:t>
      </w:r>
      <w:r>
        <w:rPr>
          <w:rFonts w:ascii="Arial" w:cs="Arial" w:eastAsia="Arial" w:hAnsi="Arial"/>
          <w:sz w:val="16"/>
          <w:szCs w:val="16"/>
          <w:color w:val="auto"/>
        </w:rPr>
        <w:t>In December 2012, the plaintiff filed a patent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infringement lawsuit against us seeking a judgment that we had infringed a patent held by the plaintiff. Process was formally served with respect to this matter in April 2013. The plaintiff sought injunctive relief, damages, costs, expenses, pre- and post-judgment interest, punitive damages and attorneys'</w:t>
      </w:r>
    </w:p>
    <w:p>
      <w:pPr>
        <w:ind w:right="20"/>
        <w:spacing w:after="0" w:line="254" w:lineRule="auto"/>
        <w:rPr>
          <w:sz w:val="20"/>
          <w:szCs w:val="20"/>
          <w:color w:val="auto"/>
        </w:rPr>
      </w:pPr>
      <w:r>
        <w:rPr>
          <w:rFonts w:ascii="Arial" w:cs="Arial" w:eastAsia="Arial" w:hAnsi="Arial"/>
          <w:sz w:val="18"/>
          <w:szCs w:val="18"/>
          <w:color w:val="auto"/>
        </w:rPr>
        <w:t>fees. The plaintiff alleged that we infringe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We believe the plaintiff's allegations lack merit and intend to defend against this action vigorously.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The Money Suite Company v. LendingTree, LLC, No. 1:13-ev-986 (U.S. Dist. Ct, D Del.). </w:t>
      </w:r>
      <w:r>
        <w:rPr>
          <w:rFonts w:ascii="Arial" w:cs="Arial" w:eastAsia="Arial" w:hAnsi="Arial"/>
          <w:sz w:val="16"/>
          <w:szCs w:val="16"/>
          <w:color w:val="auto"/>
        </w:rPr>
        <w:t>In June 2013, the plaintiff filed a patent infringement lawsuit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LendingTree seeking a judgment that we infringed a patent held by plaintiff. The plaintiff alleges that LendingTree infringes U.S. Patent No.</w:t>
      </w:r>
    </w:p>
    <w:p>
      <w:pPr>
        <w:spacing w:after="0"/>
        <w:rPr>
          <w:sz w:val="20"/>
          <w:szCs w:val="20"/>
          <w:color w:val="auto"/>
        </w:rPr>
      </w:pPr>
      <w:r>
        <w:rPr>
          <w:rFonts w:ascii="Arial" w:cs="Arial" w:eastAsia="Arial" w:hAnsi="Arial"/>
          <w:sz w:val="16"/>
          <w:szCs w:val="16"/>
          <w:color w:val="auto"/>
        </w:rPr>
        <w:t>6,684,189 for "an apparatus and method using front end network gateways and search criteria for efficient quoting at a remote location". The plaintiff seeks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(including pre- and post- judgment interest thereon), costs and attorneys' fees. In December 2013, the court stayed this case pending review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by the United States Patent and Trademark Office. We believe the plaintiff's allegations lack merit and intend to defend against this action vigorously.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b w:val="1"/>
          <w:bCs w:val="1"/>
          <w:i w:val="1"/>
          <w:iCs w:val="1"/>
          <w:color w:val="auto"/>
        </w:rPr>
        <w:t xml:space="preserve">Boschma v. Home Loan Center, Inc., No. SACV07-613 (U.S. Dist. Ct., C.D. Cal.). </w:t>
      </w:r>
      <w:r>
        <w:rPr>
          <w:rFonts w:ascii="Arial" w:cs="Arial" w:eastAsia="Arial" w:hAnsi="Arial"/>
          <w:sz w:val="16"/>
          <w:szCs w:val="16"/>
          <w:color w:val="auto"/>
        </w:rPr>
        <w:t>On May 25, 2007, the plaintiffs filed this putative class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an option ARM loan through HLC on their primary residence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2013, the parties agreed to a $450,000 settlement, which was approved in the fourth quarter of 2013. We expect administration of the settlement to be completed by the third quarter of 2014.</w:t>
      </w:r>
    </w:p>
    <w:p>
      <w:pPr>
        <w:spacing w:after="0" w:line="12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Mortgage Store, Inc. and Castleview Home Loans, Inc. filed this putative class action against HLC in the California Superior Court for Orange County. The plaintiffs, two former network lenders, alleged that HLC interfered with LendingTree's contracts with network lenders by taking referrals from LendingTree without adequately disclosing the relationship between them and that HLC charged the plaintiffs higher rates and fees than they otherwise would have been charged. Based upon these factual allegations, the plaintiffs assert claims for intentional interference with contractual relations, intentional interference with prospective economic advantage, and violation of the California Unfair Competition Law and California Business and Professions</w:t>
      </w:r>
    </w:p>
    <w:p>
      <w:pPr>
        <w:spacing w:after="0" w:line="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Code §17500. The plaintiffs purport to represent all network lenders from December 14, 2004 to date, and seek damages, restitution, attorneys' fees and punitive damages.</w:t>
      </w:r>
    </w:p>
    <w:p>
      <w:pPr>
        <w:spacing w:after="0" w:line="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plaintiffs' motion for class certification was granted April 29, 2010. On October 17, 2011, the court granted HLC's motion for summary judgment. Judgment was entered in favor of HLC on April 9, 2012. On June 15, 2012, the plaintiffs filed a Notice of Appeal. The plaintiffs filed their opening appellate brief on December 17, 2012. We filed HLC's opposition to the plaintiffs' appellate brief in April 2013. Oral arguments were heard on this matter on September 25, 2013. On December 11, 2013, the Court of Appeal affirmed the grant of summary judgment in favor of HLC and the time for plaintiffs to further appeal such decision has expired.</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Lijkel Dijkstra v. Harry Carenbauer, Home Loan Center, Inc. et al., No. 5:11-cv-152-JPB (U.S. Dist. Ct., N.D.WV). </w:t>
      </w:r>
      <w:r>
        <w:rPr>
          <w:rFonts w:ascii="Arial" w:cs="Arial" w:eastAsia="Arial" w:hAnsi="Arial"/>
          <w:sz w:val="16"/>
          <w:szCs w:val="16"/>
          <w:color w:val="auto"/>
        </w:rPr>
        <w:t>On November 7, 2008,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plaintiff filed this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 asserts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On February 26, 2014, the court granted and denied certain of each party's motions for summary judgment. With respect to the claims subject to class certification, the court granted plaintiff's motions for summary judgment with respect to declaratory judgment, unjust enrichment and violation of the CCPA. The court granted HLC's motion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have reached a tentative settlement agreement with respect to the remaining Individual Claims. The trial for the claims subject to class certification has not yet been scheduled by the court. We believe that the plaintiffs' allegations lack merit and intend to defend against this action vigorously.</w:t>
      </w:r>
    </w:p>
    <w:p>
      <w:pPr>
        <w:spacing w:after="0" w:line="10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Massachusetts Division of Banks. </w:t>
      </w:r>
      <w:r>
        <w:rPr>
          <w:rFonts w:ascii="Arial" w:cs="Arial" w:eastAsia="Arial" w:hAnsi="Arial"/>
          <w:sz w:val="16"/>
          <w:szCs w:val="16"/>
          <w:color w:val="auto"/>
        </w:rPr>
        <w:t>On February 11, 2011, the Massachusetts Division of Banks (the "Division") delivered a Report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Examination/Inspection to LendingTree, which identified various alleged violations of Massachusetts and federal laws, including the alleged insufficient delivery by LendingTree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would enter into the Consent Agreement and Order, they would agree not to pursue any analogous allegations that they otherwise might assert. As of the date of this report, none of the Joining Regulators have asserted any such allegations.</w:t>
      </w:r>
    </w:p>
    <w:p>
      <w:pPr>
        <w:spacing w:after="0" w:line="192" w:lineRule="exact"/>
        <w:rPr>
          <w:sz w:val="20"/>
          <w:szCs w:val="20"/>
          <w:color w:val="auto"/>
        </w:rPr>
      </w:pPr>
    </w:p>
    <w:p>
      <w:pPr>
        <w:ind w:right="20" w:firstLine="366"/>
        <w:spacing w:after="0" w:line="276" w:lineRule="auto"/>
        <w:rPr>
          <w:sz w:val="20"/>
          <w:szCs w:val="20"/>
          <w:color w:val="auto"/>
        </w:rPr>
      </w:pPr>
      <w:r>
        <w:rPr>
          <w:rFonts w:ascii="Arial" w:cs="Arial" w:eastAsia="Arial" w:hAnsi="Arial"/>
          <w:sz w:val="17"/>
          <w:szCs w:val="17"/>
          <w:color w:val="auto"/>
        </w:rPr>
        <w:t>The proposed Consent Agreement and Order calls for a fine to be allocated among the Division and the Joining Regulators and for LendingTree to adopt various new procedures and practices. We commenced negotiations toward an acceptable Consent Agreement and Order. We do not believe our mortgage exchange business violated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7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Tree.com common stock is quoted on the NASDAQ Global Select Market under the ticker symbol "TREE". The table below sets forth, for the calendar periods indicated, the high and low sales prices per share for Tree.com common stock as reported on the NASDAQ Stock Market. The stock price information is based on published financial sources.</w:t>
      </w:r>
    </w:p>
    <w:p>
      <w:pPr>
        <w:spacing w:after="0" w:line="276" w:lineRule="exact"/>
        <w:rPr>
          <w:sz w:val="20"/>
          <w:szCs w:val="20"/>
          <w:color w:val="auto"/>
        </w:rPr>
      </w:pPr>
    </w:p>
    <w:p>
      <w:pPr>
        <w:ind w:left="40"/>
        <w:spacing w:after="0"/>
        <w:tabs>
          <w:tab w:leader="none" w:pos="9700" w:val="left"/>
          <w:tab w:leader="none" w:pos="10980" w:val="left"/>
        </w:tabs>
        <w:rPr>
          <w:sz w:val="20"/>
          <w:szCs w:val="20"/>
          <w:color w:val="auto"/>
        </w:rPr>
      </w:pPr>
      <w:r>
        <w:rPr>
          <w:rFonts w:ascii="Arial" w:cs="Arial" w:eastAsia="Arial" w:hAnsi="Arial"/>
          <w:sz w:val="16"/>
          <w:szCs w:val="16"/>
          <w:b w:val="1"/>
          <w:bCs w:val="1"/>
          <w:color w:val="auto"/>
        </w:rPr>
        <w:t>Year Ended December 31, 2012</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7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w:t>
            </w:r>
          </w:p>
        </w:tc>
        <w:tc>
          <w:tcPr>
            <w:tcW w:w="4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78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11.66</w:t>
            </w:r>
          </w:p>
        </w:tc>
        <w:tc>
          <w:tcPr>
            <w:tcW w:w="4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7.21</w:t>
            </w:r>
          </w:p>
        </w:tc>
      </w:tr>
      <w:tr>
        <w:trPr>
          <w:trHeight w:val="27"/>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17.00</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78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18.05</w:t>
            </w:r>
          </w:p>
        </w:tc>
        <w:tc>
          <w:tcPr>
            <w:tcW w:w="4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13.02</w:t>
            </w:r>
          </w:p>
        </w:tc>
      </w:tr>
      <w:tr>
        <w:trPr>
          <w:trHeight w:val="27"/>
        </w:trPr>
        <w:tc>
          <w:tcPr>
            <w:tcW w:w="5640" w:type="dxa"/>
            <w:vAlign w:val="bottom"/>
            <w:tcBorders>
              <w:bottom w:val="single" w:sz="8" w:color="999999"/>
            </w:tcBorders>
          </w:tcPr>
          <w:p>
            <w:pPr>
              <w:spacing w:after="0"/>
              <w:rPr>
                <w:sz w:val="2"/>
                <w:szCs w:val="2"/>
                <w:color w:val="auto"/>
              </w:rPr>
            </w:pPr>
          </w:p>
        </w:tc>
        <w:tc>
          <w:tcPr>
            <w:tcW w:w="3780" w:type="dxa"/>
            <w:vAlign w:val="bottom"/>
            <w:tcBorders>
              <w:bottom w:val="single" w:sz="8" w:color="999999"/>
            </w:tcBorders>
          </w:tcPr>
          <w:p>
            <w:pPr>
              <w:spacing w:after="0"/>
              <w:rPr>
                <w:sz w:val="2"/>
                <w:szCs w:val="2"/>
                <w:color w:val="auto"/>
              </w:rPr>
            </w:pPr>
          </w:p>
        </w:tc>
        <w:tc>
          <w:tcPr>
            <w:tcW w:w="780" w:type="dxa"/>
            <w:vAlign w:val="bottom"/>
            <w:tcBorders>
              <w:bottom w:val="single" w:sz="8" w:color="999999"/>
            </w:tcBorders>
          </w:tcPr>
          <w:p>
            <w:pPr>
              <w:spacing w:after="0"/>
              <w:rPr>
                <w:sz w:val="2"/>
                <w:szCs w:val="2"/>
                <w:color w:val="auto"/>
              </w:rPr>
            </w:pPr>
          </w:p>
        </w:tc>
        <w:tc>
          <w:tcPr>
            <w:tcW w:w="460" w:type="dxa"/>
            <w:vAlign w:val="bottom"/>
            <w:tcBorders>
              <w:bottom w:val="single" w:sz="8" w:color="999999"/>
            </w:tcBorders>
          </w:tcPr>
          <w:p>
            <w:pPr>
              <w:spacing w:after="0"/>
              <w:rPr>
                <w:sz w:val="2"/>
                <w:szCs w:val="2"/>
                <w:color w:val="auto"/>
              </w:rPr>
            </w:pPr>
          </w:p>
        </w:tc>
        <w:tc>
          <w:tcPr>
            <w:tcW w:w="760" w:type="dxa"/>
            <w:vAlign w:val="bottom"/>
            <w:tcBorders>
              <w:bottom w:val="single" w:sz="8" w:color="999999"/>
            </w:tcBorders>
          </w:tcPr>
          <w:p>
            <w:pPr>
              <w:spacing w:after="0"/>
              <w:rPr>
                <w:sz w:val="2"/>
                <w:szCs w:val="2"/>
                <w:color w:val="auto"/>
              </w:rPr>
            </w:pPr>
          </w:p>
        </w:tc>
      </w:tr>
      <w:tr>
        <w:trPr>
          <w:trHeight w:val="366"/>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2013</w:t>
            </w:r>
          </w:p>
        </w:tc>
        <w:tc>
          <w:tcPr>
            <w:tcW w:w="3780" w:type="dxa"/>
            <w:vAlign w:val="bottom"/>
          </w:tcPr>
          <w:p>
            <w:pPr>
              <w:spacing w:after="0"/>
              <w:rPr>
                <w:sz w:val="24"/>
                <w:szCs w:val="24"/>
                <w:color w:val="auto"/>
              </w:rPr>
            </w:pPr>
          </w:p>
        </w:tc>
        <w:tc>
          <w:tcPr>
            <w:tcW w:w="780" w:type="dxa"/>
            <w:vAlign w:val="bottom"/>
          </w:tcPr>
          <w:p>
            <w:pPr>
              <w:jc w:val="right"/>
              <w:ind w:right="51"/>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6"/>
                <w:szCs w:val="16"/>
                <w:b w:val="1"/>
                <w:bCs w:val="1"/>
                <w:color w:val="auto"/>
              </w:rPr>
              <w:t>Low</w:t>
            </w:r>
          </w:p>
        </w:tc>
      </w:tr>
      <w:tr>
        <w:trPr>
          <w:trHeight w:val="33"/>
        </w:trPr>
        <w:tc>
          <w:tcPr>
            <w:tcW w:w="56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78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21.49</w:t>
            </w:r>
          </w:p>
        </w:tc>
        <w:tc>
          <w:tcPr>
            <w:tcW w:w="4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16.33</w:t>
            </w:r>
          </w:p>
        </w:tc>
      </w:tr>
      <w:tr>
        <w:trPr>
          <w:trHeight w:val="27"/>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26.84</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78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33.24</w:t>
            </w:r>
          </w:p>
        </w:tc>
        <w:tc>
          <w:tcPr>
            <w:tcW w:w="4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26.30</w:t>
            </w:r>
          </w:p>
        </w:tc>
      </w:tr>
      <w:tr>
        <w:trPr>
          <w:trHeight w:val="27"/>
        </w:trPr>
        <w:tc>
          <w:tcPr>
            <w:tcW w:w="5640" w:type="dxa"/>
            <w:vAlign w:val="bottom"/>
            <w:tcBorders>
              <w:bottom w:val="single" w:sz="8" w:color="999999"/>
            </w:tcBorders>
          </w:tcPr>
          <w:p>
            <w:pPr>
              <w:spacing w:after="0"/>
              <w:rPr>
                <w:sz w:val="2"/>
                <w:szCs w:val="2"/>
                <w:color w:val="auto"/>
              </w:rPr>
            </w:pPr>
          </w:p>
        </w:tc>
        <w:tc>
          <w:tcPr>
            <w:tcW w:w="3780" w:type="dxa"/>
            <w:vAlign w:val="bottom"/>
            <w:tcBorders>
              <w:bottom w:val="single" w:sz="8" w:color="999999"/>
            </w:tcBorders>
          </w:tcPr>
          <w:p>
            <w:pPr>
              <w:spacing w:after="0"/>
              <w:rPr>
                <w:sz w:val="2"/>
                <w:szCs w:val="2"/>
                <w:color w:val="auto"/>
              </w:rPr>
            </w:pPr>
          </w:p>
        </w:tc>
        <w:tc>
          <w:tcPr>
            <w:tcW w:w="780" w:type="dxa"/>
            <w:vAlign w:val="bottom"/>
            <w:tcBorders>
              <w:bottom w:val="single" w:sz="8" w:color="999999"/>
            </w:tcBorders>
          </w:tcPr>
          <w:p>
            <w:pPr>
              <w:spacing w:after="0"/>
              <w:rPr>
                <w:sz w:val="2"/>
                <w:szCs w:val="2"/>
                <w:color w:val="auto"/>
              </w:rPr>
            </w:pPr>
          </w:p>
        </w:tc>
        <w:tc>
          <w:tcPr>
            <w:tcW w:w="460" w:type="dxa"/>
            <w:vAlign w:val="bottom"/>
            <w:tcBorders>
              <w:bottom w:val="single" w:sz="8" w:color="999999"/>
            </w:tcBorders>
          </w:tcPr>
          <w:p>
            <w:pPr>
              <w:spacing w:after="0"/>
              <w:rPr>
                <w:sz w:val="2"/>
                <w:szCs w:val="2"/>
                <w:color w:val="auto"/>
              </w:rPr>
            </w:pPr>
          </w:p>
        </w:tc>
        <w:tc>
          <w:tcPr>
            <w:tcW w:w="760" w:type="dxa"/>
            <w:vAlign w:val="bottom"/>
            <w:tcBorders>
              <w:bottom w:val="single" w:sz="8" w:color="999999"/>
            </w:tcBorders>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14, 2014, there were approximately 1,000 holders of record of our common stock and the closing price of the common stock was $31.71.</w:t>
      </w:r>
    </w:p>
    <w:p>
      <w:pPr>
        <w:spacing w:after="0" w:line="14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December 26, 2012, we paid a special dividend of $1.00 per share to our shareholders of record on December 17, 2012. Other than the special dividend, we have not declared or paid a cash dividend on our common stock during the two most recent fiscal years. We have no current intention to declare or pay cash dividends on our common stock in the foreseeable future. The declaration, payment and amount of future cash dividends, if any, will be at the discretion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rules and regulations of the SEC, as a smaller reporting company, we are not required to provide the information required by this item.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During the year ended December 31, 2013, we did not issue or sell any shares of our common stock or other equity securities in transactions that were not registered under the Securities Act of 1933.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did not repurchase any equity securities during the quarter ended December 31, 2013; however, we do have a stock repurchase program that was approved by our board of directors on January 11, 2010. Under this program, we can repurchase stock for an amount up to $10 million in the open market or through privately-negotiated transactions. We began this program in February 2010 and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At December 31, 2013, approximately $0.8 million remains authorized for share repurchase.</w:t>
      </w:r>
    </w:p>
    <w:p>
      <w:pPr>
        <w:spacing w:after="0" w:line="8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Additionally, the Tree.com Second Amended and Restated 2008 Stock and Award Incentive Plan allows employees to forfeit shares of our common stock to satisfy federal and state withholding obligations upon the vesting of restricted stock awards granted to those individuals under this plan. The withholding of those shares does not affect the dollar amount or number of shares that may be purchased under the stock repurchase program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rules and regulations of the SEC, as a smaller reporting company, we are not required to provide the information required by this item.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together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60" w:firstLine="324"/>
        <w:spacing w:after="0" w:line="219"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InsuranceTree</w:t>
      </w:r>
      <w:r>
        <w:rPr>
          <w:rFonts w:ascii="Arial" w:cs="Arial" w:eastAsia="Arial" w:hAnsi="Arial"/>
          <w:sz w:val="12"/>
          <w:szCs w:val="12"/>
          <w:color w:val="auto"/>
        </w:rPr>
        <w:t>®</w:t>
      </w:r>
      <w:r>
        <w:rPr>
          <w:rFonts w:ascii="Arial" w:cs="Arial" w:eastAsia="Arial" w:hAnsi="Arial"/>
          <w:sz w:val="18"/>
          <w:szCs w:val="18"/>
          <w:color w:val="auto"/>
        </w:rPr>
        <w:t>. Together, these brands serve as an ally for consumers who are looking to comparison-shop for loans and other services from multiple businesses and professionals that will compete for their business.</w:t>
      </w:r>
    </w:p>
    <w:p>
      <w:pPr>
        <w:spacing w:after="0" w:line="97" w:lineRule="exact"/>
        <w:rPr>
          <w:sz w:val="20"/>
          <w:szCs w:val="20"/>
          <w:color w:val="auto"/>
        </w:rPr>
      </w:pPr>
    </w:p>
    <w:p>
      <w:pPr>
        <w:jc w:val="both"/>
        <w:ind w:right="840" w:firstLine="324"/>
        <w:spacing w:after="0" w:line="320" w:lineRule="auto"/>
        <w:rPr>
          <w:sz w:val="20"/>
          <w:szCs w:val="20"/>
          <w:color w:val="auto"/>
        </w:rPr>
      </w:pPr>
      <w:r>
        <w:rPr>
          <w:rFonts w:ascii="Arial" w:cs="Arial" w:eastAsia="Arial" w:hAnsi="Arial"/>
          <w:sz w:val="16"/>
          <w:szCs w:val="16"/>
          <w:color w:val="auto"/>
        </w:rPr>
        <w:t>The businesses of RealEstate.com and RealEstate.com, REALTORS</w:t>
      </w:r>
      <w:r>
        <w:rPr>
          <w:rFonts w:ascii="Arial" w:cs="Arial" w:eastAsia="Arial" w:hAnsi="Arial"/>
          <w:sz w:val="11"/>
          <w:szCs w:val="11"/>
          <w:color w:val="auto"/>
        </w:rPr>
        <w:t>®</w:t>
      </w:r>
      <w:r>
        <w:rPr>
          <w:rFonts w:ascii="Arial" w:cs="Arial" w:eastAsia="Arial" w:hAnsi="Arial"/>
          <w:sz w:val="16"/>
          <w:szCs w:val="16"/>
          <w:color w:val="auto"/>
        </w:rPr>
        <w:t xml:space="preserve"> and LendingTree Loans are presented as discontinued operations in the accompanying consolidated balance sheets and consolidated statements of operations and cash flows for all periods presented. The analysis within Management's Discussion and Analysis of Financial Condition and Results of Operations reflects our continuing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Our four operating segments are lending, auto, education and home services. We sometimes refer to these operating segments as our “businesses”. Of these, only our lending operating segment meets the criteria for a reportable segment. We formerly referred to this reportable segment as our mortgage segment. The auto, education and home services operating segments are reported in the "Other" category in our segment reconciling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18 —Segment Information to the consolidated financial statements included elsewhere in this report.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50" w:lineRule="exact"/>
        <w:rPr>
          <w:sz w:val="20"/>
          <w:szCs w:val="20"/>
          <w:color w:val="auto"/>
        </w:rPr>
      </w:pPr>
    </w:p>
    <w:p>
      <w:pPr>
        <w:jc w:val="both"/>
        <w:ind w:right="400" w:firstLine="324"/>
        <w:spacing w:after="0" w:line="288" w:lineRule="auto"/>
        <w:rPr>
          <w:sz w:val="20"/>
          <w:szCs w:val="20"/>
          <w:color w:val="auto"/>
        </w:rPr>
      </w:pPr>
      <w:r>
        <w:rPr>
          <w:rFonts w:ascii="Arial" w:cs="Arial" w:eastAsia="Arial" w:hAnsi="Arial"/>
          <w:sz w:val="16"/>
          <w:szCs w:val="16"/>
          <w:color w:val="auto"/>
        </w:rPr>
        <w:t>According to Freddie Mac, 2012 began the year at what were then record low mortgage interest rates of approximately 3.92% on 30-year fixed rate mortgages. Mortgage interest rates declined throughout the year to new lows, reaching an average of 3.35% in December 2012. As a result, according to Mortgage Bankers Association ("MBA") data, mortgage originations were estimated to have increased by 22% during 2012 as compared with 2011.</w:t>
      </w:r>
    </w:p>
    <w:p>
      <w:pPr>
        <w:ind w:right="340"/>
        <w:spacing w:after="0" w:line="261" w:lineRule="auto"/>
        <w:rPr>
          <w:sz w:val="20"/>
          <w:szCs w:val="20"/>
          <w:color w:val="auto"/>
        </w:rPr>
      </w:pPr>
      <w:r>
        <w:rPr>
          <w:rFonts w:ascii="Arial" w:cs="Arial" w:eastAsia="Arial" w:hAnsi="Arial"/>
          <w:sz w:val="18"/>
          <w:szCs w:val="18"/>
          <w:color w:val="auto"/>
        </w:rPr>
        <w:t>However, stringent qualification guidelines on the part of lenders and governmental agencies had made it difficult for many consumers seeking mortgage financings to obtain them, notwithstanding the favorable interest rate environment.</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Beginning in January 2013, the trend of declining mortgage interest rates reversed and rates rose gradually through the first five months of the year. In June 2013, mortgage interest rates increased more significantly, peaking at 4.49% in September 2013, then dropped more than a quarter-point early in the fourth quarter of 2013 and then increased again to 4.46% by the end of 2013. On average, mortgage interest rates were 3.98% in 2013 as compared to 3.66% in 2012, according to Freddie Mac.</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This increase in mortgage interest rates during 2013 resulted in a 14% decline in the total dollar volume of mortgage originations in 2013 as compared to 2012, according to MBA data. During the first nine months of 2013, the total dollar volume of mortgage originations was estimated to have increased 1% as compared to the same period in 2012; however, the total dollar volume of mortgage originations declined sharply in the fourth quarter of 2013, by 27% and 51% as compared to the third quarter of 2013 and the fourth quarter of period in 2012, respectively, resulting in the 14% year-over-year decline, according to MBA data.</w:t>
      </w:r>
    </w:p>
    <w:p>
      <w:pPr>
        <w:spacing w:after="0" w:line="80"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In 2014, MBA is projecting the dollar volume of mortgage originations to continue to decline in the first quarter, before rebounding to fourth quarter 2013 levels, on average, for the remainder of 2014. In addition, the mix of mortgage originations will continue to move towards purchase, with estimated refinance share of originations of 63% in 2013 dropping to 39% in 2014, according to MBA data.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2012, the average nationwide seasonally adjusted annual rate of existing homes sales rose by 9% compared with 2011, according to the National Association of Realtors, while total housing inventory tightened. The demand for homes generally increased, as mortgage interest rates dropped to their lowest levels in the preceding 60 years, whereas the number of homes for sale did not keep pace with actual sales during 2012. Accordingly, prices of existing home sales increased during 2012, with the national median existing home price up 11.5% in December 2012 as compared with the year prior. According to the S&amp;P/Case-Schiller U.S. National Home Price Index, average home prices were similar to levels last seen in the fall of 2003. While distressed homes continued to account for a significant portion of overall home sales in 2012, representing 24% in December 2012, this figure was down from 32% as compared with the year prior period.</w:t>
      </w:r>
    </w:p>
    <w:p>
      <w:pPr>
        <w:spacing w:after="0" w:line="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2013, nationwide sales of existing homes increased another 9% over 2012, according to the National Association of Realtors, as job growth improved and demand drove the market, despite rising mortgage interest rates. In fact, existing home sales for all of 2013 were the highest since 2006 and median prices maintained strong growth, up 11.5% from 2012, partially attributable to the shrinking share of distressed home sales. Although home prices as of December 2013 were up 24% from their March 2012 lows, they were still approximately 20% below their mid-2006 peaks. Additionally, with mortgage interest rates on the rise in 2013, the number of homes for sale rose slightly from 4.5 months supply at December 2012 to 4.6 months at the end of 2013, according to the National Association of Realtors.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Assets of LendingTree Loans</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May 12, 2011, we entered into an asset purchase agreement with Discover, as amended on February 7, 2012, for the sale of substantially all of the operating assets of our LendingTree Loans business. The sale was completed on June 6, 2012.</w:t>
      </w:r>
    </w:p>
    <w:p>
      <w:pPr>
        <w:spacing w:after="0" w:line="6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was paid and recognized as a gain from sale of discontinued operations in the second quarter of 2013.</w:t>
      </w:r>
    </w:p>
    <w:p>
      <w:pPr>
        <w:spacing w:after="0" w:line="73"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as of December 31, 2013, $18.1 million is being held in escrow pending resolution of certain actual and/or contingent liabilities that remain with us following the sale. This escrowed amount is recorded as restricted cash at December 31, 2013.</w:t>
      </w:r>
    </w:p>
    <w:p>
      <w:pPr>
        <w:spacing w:after="0" w:line="3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Separate from the asset purchase agreement, Tree.com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our mortgage exchange following completion of the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2013 and 2012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48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71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60" w:type="dxa"/>
            <w:vAlign w:val="bottom"/>
            <w:gridSpan w:val="2"/>
          </w:tcPr>
          <w:p>
            <w:pPr>
              <w:jc w:val="right"/>
              <w:ind w:right="896"/>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127,985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66,809</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109 %</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61,176</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10,632</w:t>
            </w:r>
          </w:p>
        </w:tc>
        <w:tc>
          <w:tcPr>
            <w:tcW w:w="400" w:type="dxa"/>
            <w:vAlign w:val="bottom"/>
          </w:tcPr>
          <w:p>
            <w:pPr>
              <w:spacing w:after="0"/>
              <w:rPr>
                <w:sz w:val="21"/>
                <w:szCs w:val="21"/>
                <w:color w:val="auto"/>
              </w:rPr>
            </w:pPr>
          </w:p>
        </w:tc>
        <w:tc>
          <w:tcPr>
            <w:tcW w:w="1480" w:type="dxa"/>
            <w:vAlign w:val="bottom"/>
          </w:tcPr>
          <w:p>
            <w:pPr>
              <w:jc w:val="right"/>
              <w:ind w:right="278"/>
              <w:spacing w:after="0"/>
              <w:rPr>
                <w:sz w:val="20"/>
                <w:szCs w:val="20"/>
                <w:color w:val="auto"/>
              </w:rPr>
            </w:pPr>
            <w:r>
              <w:rPr>
                <w:rFonts w:ascii="Arial" w:cs="Arial" w:eastAsia="Arial" w:hAnsi="Arial"/>
                <w:sz w:val="18"/>
                <w:szCs w:val="18"/>
                <w:color w:val="auto"/>
              </w:rPr>
              <w:t>(3,988)</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w:t>
            </w:r>
          </w:p>
        </w:tc>
        <w:tc>
          <w:tcPr>
            <w:tcW w:w="4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rPr>
              <w:t>(1,024)</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139,240</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61,797</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80 %</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77,443</w:t>
            </w:r>
          </w:p>
        </w:tc>
        <w:tc>
          <w:tcPr>
            <w:tcW w:w="0" w:type="dxa"/>
            <w:vAlign w:val="bottom"/>
          </w:tcPr>
          <w:p>
            <w:pPr>
              <w:spacing w:after="0"/>
              <w:rPr>
                <w:sz w:val="1"/>
                <w:szCs w:val="1"/>
                <w:color w:val="auto"/>
              </w:rPr>
            </w:pPr>
          </w:p>
        </w:tc>
      </w:tr>
      <w:tr>
        <w:trPr>
          <w:trHeight w:val="34"/>
        </w:trPr>
        <w:tc>
          <w:tcPr>
            <w:tcW w:w="5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Following the June 6, 2012 closing of the sale of our LendingTree Loans business to Discover, leads that would previously have been provided to LendingTree Loans became available for sale on our mortgage exchange and such leads, therefore, added to revenue in our mortgage exchange business, with an associated increase in selling and marketing expense. Prior to the sale of our LendingTree Loans business, we did not record revenue in our mortgage exchange business for leads provided to LendingTree Loans. Instead, we used a cost-sharing approach for marketing expenses, whereby the mortgage exchange business and LendingTree Loans shared marketing expenses on a pro rata basis, based on the quantity of leads provided to network lenders versus matched with LendingTree Loans.</w:t>
      </w:r>
    </w:p>
    <w:p>
      <w:pPr>
        <w:spacing w:after="0" w:line="8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Revenue from our lending segment increased in 2013 compared to 2012 through an increase in the sales capacity of both new and existing lenders and the expansion of our marketing channels. In addition, 2013 revenue from our lending segment rose as a result of selling leads at market prices on our mortgage exchange that would have been provided to LendingTree Loans before completion of its sale in June 2012. Consumers matched on our mortgage exchange increased by 89% to 1.4 million in 2013 from 0.8 million in 2012. Additionally, as compared to 2012, our 2013 average revenue earned from network lenders per matched consumer increased by 11%.</w:t>
      </w:r>
    </w:p>
    <w:p>
      <w:pPr>
        <w:spacing w:after="0" w:line="80"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Other revenue, which includes our auto, education and home services businesses and other products, decreased in 2013 compared to 2012. The decrease in other revenue was due primarily to our education business, partially offset by an increase in our auto business. Our education business was impacted by the increased regulation affecting clients engaged in for-profit post-secondary education services which, in turn, affected their marketing practices. Revenue from our auto business increased in 2013, primarily as a result of the addition of new lending and marketing partners.</w:t>
      </w:r>
    </w:p>
    <w:p>
      <w:pPr>
        <w:spacing w:after="0" w:line="6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Corporate revenue was primarily related to fees for certain marketing-related services provided in connection with the sale of our LendingTree Loans business. We completed these services in the second quarter of 2013 and, therefore, do not anticipate additional such revenue in future periods.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4"/>
              </w:rPr>
              <w:t>5,469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2,231</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69 %</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613</w:t>
            </w:r>
          </w:p>
        </w:tc>
        <w:tc>
          <w:tcPr>
            <w:tcW w:w="360" w:type="dxa"/>
            <w:vAlign w:val="bottom"/>
          </w:tcPr>
          <w:p>
            <w:pPr>
              <w:spacing w:after="0"/>
              <w:rPr>
                <w:sz w:val="21"/>
                <w:szCs w:val="21"/>
                <w:color w:val="auto"/>
              </w:rPr>
            </w:pPr>
          </w:p>
        </w:tc>
        <w:tc>
          <w:tcPr>
            <w:tcW w:w="1460" w:type="dxa"/>
            <w:vAlign w:val="bottom"/>
          </w:tcPr>
          <w:p>
            <w:pPr>
              <w:jc w:val="right"/>
              <w:ind w:right="338"/>
              <w:spacing w:after="0"/>
              <w:rPr>
                <w:sz w:val="20"/>
                <w:szCs w:val="20"/>
                <w:color w:val="auto"/>
              </w:rPr>
            </w:pPr>
            <w:r>
              <w:rPr>
                <w:rFonts w:ascii="Arial" w:cs="Arial" w:eastAsia="Arial" w:hAnsi="Arial"/>
                <w:sz w:val="18"/>
                <w:szCs w:val="18"/>
                <w:color w:val="auto"/>
              </w:rPr>
              <w:t>77</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14 %</w:t>
            </w:r>
          </w:p>
        </w:tc>
        <w:tc>
          <w:tcPr>
            <w:tcW w:w="44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460</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rPr>
              <w:t>(61)</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 of revenue</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6,542</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2,247</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52 %</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4,295</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Lending cost of revenue increased in 2013 from 2012, primarily due to increases of $0.8 million in credit card fees, $0.4 million compensation and other employee-related costs, $0.4 million in third-party customer service fees, $0.2 million in credit scoring fees, and $0.1 million in server fees. In addition, cost of revenue in 2012 benefited by $0.3 million due to the discontinuance of certain consumer incentive rebates.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cost of revenue increased in 2013 from 2012, primarily due to increases in server fees.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Corporate cost of revenue decreased in 2013 from 2012, primarily due to reduced costs associated with the decreases in marketing-related services provided in connection with the sale of our LendingTree Loans business.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cost of revenue as a percentage of revenue for 2013 declined as compared to 2012.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146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83,694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48,444</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137 %</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35,250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7,449</w:t>
            </w:r>
          </w:p>
        </w:tc>
        <w:tc>
          <w:tcPr>
            <w:tcW w:w="360" w:type="dxa"/>
            <w:vAlign w:val="bottom"/>
          </w:tcPr>
          <w:p>
            <w:pPr>
              <w:spacing w:after="0"/>
              <w:rPr>
                <w:sz w:val="21"/>
                <w:szCs w:val="21"/>
                <w:color w:val="auto"/>
              </w:rPr>
            </w:pPr>
          </w:p>
        </w:tc>
        <w:tc>
          <w:tcPr>
            <w:tcW w:w="1460" w:type="dxa"/>
            <w:vAlign w:val="bottom"/>
          </w:tcPr>
          <w:p>
            <w:pPr>
              <w:jc w:val="right"/>
              <w:ind w:right="278"/>
              <w:spacing w:after="0"/>
              <w:rPr>
                <w:sz w:val="20"/>
                <w:szCs w:val="20"/>
                <w:color w:val="auto"/>
              </w:rPr>
            </w:pPr>
            <w:r>
              <w:rPr>
                <w:rFonts w:ascii="Arial" w:cs="Arial" w:eastAsia="Arial" w:hAnsi="Arial"/>
                <w:sz w:val="18"/>
                <w:szCs w:val="18"/>
                <w:color w:val="auto"/>
              </w:rPr>
              <w:t>(6,228)</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13,677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rPr>
              <w:t>(29)</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selling and marketing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91,121</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42,187</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86 %</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48,934</w:t>
            </w:r>
          </w:p>
        </w:tc>
        <w:tc>
          <w:tcPr>
            <w:tcW w:w="0" w:type="dxa"/>
            <w:vAlign w:val="bottom"/>
          </w:tcPr>
          <w:p>
            <w:pPr>
              <w:spacing w:after="0"/>
              <w:rPr>
                <w:sz w:val="1"/>
                <w:szCs w:val="1"/>
                <w:color w:val="auto"/>
              </w:rPr>
            </w:pPr>
          </w:p>
        </w:tc>
      </w:tr>
      <w:tr>
        <w:trPr>
          <w:trHeight w:val="34"/>
        </w:trPr>
        <w:tc>
          <w:tcPr>
            <w:tcW w:w="4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65%</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significant increase in total lending selling and marketing expense in 2013 compared to 2012 is primarily due to an increase of $46.0 million in advertising expense, which is discussed below. The increase in lending advertising expense, in turn, corresponds to the 89% increase in consumers matched with network lenders in 2013.</w:t>
      </w:r>
    </w:p>
    <w:p>
      <w:pPr>
        <w:spacing w:after="0" w:line="12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addition, lending selling and marketing expense increased immediately following the sale of substantially all of the operating assets of our LendingTree Loans business on June 6, 2012, due to our no longer sharing the cost of such expenses with the former LendingTree Loans business. Selling and marketing expense of $6.3 million was allocated to LendingTree Loans during 2012.</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Selling and marketing expense in our other businesses decreased in 2013 from 2012, primarily due to decreases in online and direct marketing.</w:t>
      </w:r>
    </w:p>
    <w:p>
      <w:pPr>
        <w:spacing w:after="0" w:line="1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Total selling and marketing expense as a percentage of revenue increased slightly in 2013, primarily due to the new national advertising campaign for our LendingTree brand launched in the second quarter of 2013, partially offset by a decrease in compensation and other employee-related costs as a percentage of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440" w:type="dxa"/>
            <w:vAlign w:val="bottom"/>
          </w:tcPr>
          <w:p>
            <w:pPr>
              <w:jc w:val="right"/>
              <w:ind w:right="87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61,861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8"/>
                <w:szCs w:val="18"/>
                <w:color w:val="auto"/>
              </w:rPr>
              <w:t>28,697</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33,164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Broadcast</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10,615</w:t>
            </w:r>
          </w:p>
        </w:tc>
        <w:tc>
          <w:tcPr>
            <w:tcW w:w="400" w:type="dxa"/>
            <w:vAlign w:val="bottom"/>
          </w:tcPr>
          <w:p>
            <w:pPr>
              <w:spacing w:after="0"/>
              <w:rPr>
                <w:sz w:val="21"/>
                <w:szCs w:val="21"/>
                <w:color w:val="auto"/>
              </w:rPr>
            </w:pPr>
          </w:p>
        </w:tc>
        <w:tc>
          <w:tcPr>
            <w:tcW w:w="1440" w:type="dxa"/>
            <w:vAlign w:val="bottom"/>
          </w:tcPr>
          <w:p>
            <w:pPr>
              <w:jc w:val="right"/>
              <w:ind w:right="298"/>
              <w:spacing w:after="0"/>
              <w:rPr>
                <w:sz w:val="20"/>
                <w:szCs w:val="20"/>
                <w:color w:val="auto"/>
              </w:rPr>
            </w:pPr>
            <w:r>
              <w:rPr>
                <w:rFonts w:ascii="Arial" w:cs="Arial" w:eastAsia="Arial" w:hAnsi="Arial"/>
                <w:sz w:val="18"/>
                <w:szCs w:val="18"/>
                <w:color w:val="auto"/>
              </w:rPr>
              <w:t>7,140</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8,204</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8"/>
                <w:szCs w:val="18"/>
                <w:color w:val="auto"/>
              </w:rPr>
              <w:t>4,088</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80,680</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39,925</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40,755</w:t>
            </w:r>
          </w:p>
        </w:tc>
        <w:tc>
          <w:tcPr>
            <w:tcW w:w="0" w:type="dxa"/>
            <w:vAlign w:val="bottom"/>
          </w:tcPr>
          <w:p>
            <w:pPr>
              <w:spacing w:after="0"/>
              <w:rPr>
                <w:sz w:val="1"/>
                <w:szCs w:val="1"/>
                <w:color w:val="auto"/>
              </w:rPr>
            </w:pPr>
          </w:p>
        </w:tc>
      </w:tr>
      <w:tr>
        <w:trPr>
          <w:trHeight w:val="34"/>
        </w:trPr>
        <w:tc>
          <w:tcPr>
            <w:tcW w:w="5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increased our advertising expenditures both online and in traditional media in order to generate additional mortgage lead volume to meet the demand of network lenders on our mortgage exchange. In addition, we further increased our broadcast spend to support the launch of our new national advertising campaign for our LendingTree brand, which commenced in the second quarter of 2013.</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146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3,629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159</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5 %</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2,245</w:t>
            </w:r>
          </w:p>
        </w:tc>
        <w:tc>
          <w:tcPr>
            <w:tcW w:w="360" w:type="dxa"/>
            <w:vAlign w:val="bottom"/>
          </w:tcPr>
          <w:p>
            <w:pPr>
              <w:spacing w:after="0"/>
              <w:rPr>
                <w:sz w:val="21"/>
                <w:szCs w:val="21"/>
                <w:color w:val="auto"/>
              </w:rPr>
            </w:pPr>
          </w:p>
        </w:tc>
        <w:tc>
          <w:tcPr>
            <w:tcW w:w="1460" w:type="dxa"/>
            <w:vAlign w:val="bottom"/>
          </w:tcPr>
          <w:p>
            <w:pPr>
              <w:jc w:val="right"/>
              <w:ind w:right="278"/>
              <w:spacing w:after="0"/>
              <w:rPr>
                <w:sz w:val="20"/>
                <w:szCs w:val="20"/>
                <w:color w:val="auto"/>
              </w:rPr>
            </w:pPr>
            <w:r>
              <w:rPr>
                <w:rFonts w:ascii="Arial" w:cs="Arial" w:eastAsia="Arial" w:hAnsi="Arial"/>
                <w:sz w:val="18"/>
                <w:szCs w:val="18"/>
                <w:color w:val="auto"/>
              </w:rPr>
              <w:t>(643)</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18,784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2,911</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18 %</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general and administrative expense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24,658</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2,427</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22,231</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 general and administrative expense was relatively consistent in 2013 and 2012.</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General and administrative expense in our other businesses decreased in 2013 from 2012 primarily due to a decrease in loss on disposal of assets of $0.3 million and a decrease in computer maintenance of $0.2 million.</w:t>
      </w:r>
    </w:p>
    <w:p>
      <w:pPr>
        <w:spacing w:after="0" w:line="11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Corporate general and administrative expense increased in 2013 due to a compensation charge of $0.9 million related to a discretionary cash bonus payment to employee stock option holders, increases in other compensation and employee-related costs, and a one-time contribution in the fourth quarter of 2013 of $0.4 million to an educational trust.</w:t>
      </w:r>
    </w:p>
    <w:p>
      <w:pPr>
        <w:spacing w:after="0" w:line="7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However, the increased general and administrative expense in 2013 was spread over proportionately greater revenue during the period, resulting in an improvement in general and administrative expense as a percentage of revenue.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69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4"/>
              </w:rPr>
              <w:t>4,302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89 %</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962</w:t>
            </w:r>
          </w:p>
        </w:tc>
        <w:tc>
          <w:tcPr>
            <w:tcW w:w="360" w:type="dxa"/>
            <w:vAlign w:val="bottom"/>
          </w:tcPr>
          <w:p>
            <w:pPr>
              <w:spacing w:after="0"/>
              <w:rPr>
                <w:sz w:val="21"/>
                <w:szCs w:val="21"/>
                <w:color w:val="auto"/>
              </w:rPr>
            </w:pPr>
          </w:p>
        </w:tc>
        <w:tc>
          <w:tcPr>
            <w:tcW w:w="1460" w:type="dxa"/>
            <w:vAlign w:val="bottom"/>
          </w:tcPr>
          <w:p>
            <w:pPr>
              <w:jc w:val="right"/>
              <w:ind w:right="278"/>
              <w:spacing w:after="0"/>
              <w:rPr>
                <w:sz w:val="20"/>
                <w:szCs w:val="20"/>
                <w:color w:val="auto"/>
              </w:rPr>
            </w:pPr>
            <w:r>
              <w:rPr>
                <w:rFonts w:ascii="Arial" w:cs="Arial" w:eastAsia="Arial" w:hAnsi="Arial"/>
                <w:sz w:val="18"/>
                <w:szCs w:val="18"/>
                <w:color w:val="auto"/>
              </w:rPr>
              <w:t>(296)</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6</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100 %</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product development</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5,264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1,735</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49 %</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3,529</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Product development expense increased in 2013 from 2012, primarily due to increases in compensation and other employee-related costs. We launched new offerings in 2013, such as our LoanExplorer rate table, reverse mortgage and credit card comparison offerings, as well as enhanced existing tools and products, such as our personal loan offering and mobile experience, through internal product development efforts.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Depreciation expense decreased to $3.5 million in 2013 from $4.1 million in 2012. The decrease was primarily due to certain fixed assets that fully depreciated in 2012.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Litigation settlements and contingencies consists of expenses related to actual or anticipated litigation settlements, in addition to legal fees incurred in connection with various patent litigation claims we pursue against others. During the year ended December 31, 2013, we recorded $9.0 million in expenses. The expenses in 2013 were due primarily to legal fees incurred in connection with patent litigation we were pursuing. In 2012, we recognized income of $3.1 million, a majority of which is attributable to the settlement or our estimation of loss on various legal cases.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the first quarter of 2014, we participated in a jury trial for the litigation described in "Item 3. Legal Proceedings— LendingTree v. Zillow, Inc. et al." included elsewhere in this report. The legal expenses associated with this jury trial will materially increase our litigation settlements and contingencies expense for the first quarter of 2014 and, therefore, negatively affect our operating income or loss for such quarter. We are unable to predict the effect of this litigation on full year 2014 litigation settlements and contingencies.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1460" w:type="dxa"/>
            <w:vAlign w:val="bottom"/>
          </w:tcPr>
          <w:p>
            <w:pPr>
              <w:jc w:val="right"/>
              <w:ind w:right="91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Change</w:t>
            </w:r>
          </w:p>
        </w:tc>
        <w:tc>
          <w:tcPr>
            <w:tcW w:w="14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2"/>
          </w:tcPr>
          <w:p>
            <w:pPr>
              <w:jc w:val="right"/>
              <w:ind w:right="856"/>
              <w:spacing w:after="0"/>
              <w:rPr>
                <w:sz w:val="20"/>
                <w:szCs w:val="20"/>
                <w:color w:val="auto"/>
              </w:rPr>
            </w:pPr>
            <w:r>
              <w:rPr>
                <w:rFonts w:ascii="Arial" w:cs="Arial" w:eastAsia="Arial" w:hAnsi="Arial"/>
                <w:sz w:val="14"/>
                <w:szCs w:val="14"/>
                <w:b w:val="1"/>
                <w:bCs w:val="1"/>
                <w:i w:val="1"/>
                <w:iCs w:val="1"/>
                <w:color w:val="auto"/>
              </w:rPr>
              <w:t>(Dollars in thousands)</w:t>
            </w: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29,360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8"/>
                <w:szCs w:val="18"/>
                <w:color w:val="auto"/>
              </w:rPr>
              <w:t>13,975</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91 %</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(2,503)</w:t>
            </w:r>
          </w:p>
        </w:tc>
        <w:tc>
          <w:tcPr>
            <w:tcW w:w="360" w:type="dxa"/>
            <w:vAlign w:val="bottom"/>
          </w:tcPr>
          <w:p>
            <w:pPr>
              <w:spacing w:after="0"/>
              <w:rPr>
                <w:sz w:val="21"/>
                <w:szCs w:val="21"/>
                <w:color w:val="auto"/>
              </w:rPr>
            </w:pPr>
          </w:p>
        </w:tc>
        <w:tc>
          <w:tcPr>
            <w:tcW w:w="1460" w:type="dxa"/>
            <w:vAlign w:val="bottom"/>
          </w:tcPr>
          <w:p>
            <w:pPr>
              <w:jc w:val="right"/>
              <w:ind w:right="338"/>
              <w:spacing w:after="0"/>
              <w:rPr>
                <w:sz w:val="20"/>
                <w:szCs w:val="20"/>
                <w:color w:val="auto"/>
              </w:rPr>
            </w:pPr>
            <w:r>
              <w:rPr>
                <w:rFonts w:ascii="Arial" w:cs="Arial" w:eastAsia="Arial" w:hAnsi="Arial"/>
                <w:sz w:val="18"/>
                <w:szCs w:val="18"/>
                <w:color w:val="auto"/>
              </w:rPr>
              <w:t>3,596</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59 %</w:t>
            </w:r>
          </w:p>
        </w:tc>
        <w:tc>
          <w:tcPr>
            <w:tcW w:w="4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(27,964)</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rPr>
              <w:t>(15,827)</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loss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(1,107)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1,744</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61 %</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(2,851)</w:t>
            </w:r>
          </w:p>
        </w:tc>
        <w:tc>
          <w:tcPr>
            <w:tcW w:w="0" w:type="dxa"/>
            <w:vAlign w:val="bottom"/>
          </w:tcPr>
          <w:p>
            <w:pPr>
              <w:spacing w:after="0"/>
              <w:rPr>
                <w:sz w:val="1"/>
                <w:szCs w:val="1"/>
                <w:color w:val="auto"/>
              </w:rPr>
            </w:pPr>
          </w:p>
        </w:tc>
      </w:tr>
      <w:tr>
        <w:trPr>
          <w:trHeight w:val="34"/>
        </w:trPr>
        <w:tc>
          <w:tcPr>
            <w:tcW w:w="4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Operating loss improved by $1.7 million in 2013 as compared with 2012, primarily due to the $61.8 million increase in revenue, a majority of which was offset by significant increases in selling and marketing expense of $42.2 million and in litigation settlements and contingencies of $12.1 million, as well as additional, less substantial increases in cost of revenue, general and administrative expense and product development expense, as discussed above.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Interest expense decreased to $19,000 in 2013 from $0.9 million in 2012. Interest expense in 2012 was primarily due to interest on the Series A Redeemable Preferred Stock of our wholly owned subsidiary LendingTree Holdings Corp. that was redeemed in 2012.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Adjusted EBITDA is the primary metric by which the chief operating decision maker evaluates the performance of our businesses, on which our internal budgets are based and by which management is compensated. Adjusted EBITDA is defined in "Tree.com's Principles of Financial Reporting" below. The following tables provide a reconciliation of Adjusted EBITDA to net income (loss) from continuing operations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 2013</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Other</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32,572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18,717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(1,642)</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contribution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453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w:t>
            </w:r>
          </w:p>
        </w:tc>
      </w:tr>
      <w:tr>
        <w:trPr>
          <w:trHeight w:val="27"/>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29,360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(27,530)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r>
      <w:tr>
        <w:trPr>
          <w:trHeight w:val="675"/>
        </w:trPr>
        <w:tc>
          <w:tcPr>
            <w:tcW w:w="5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811"/>
              <w:spacing w:after="0"/>
              <w:rPr>
                <w:sz w:val="20"/>
                <w:szCs w:val="20"/>
                <w:color w:val="auto"/>
              </w:rPr>
            </w:pPr>
            <w:r>
              <w:rPr>
                <w:rFonts w:ascii="Arial" w:cs="Arial" w:eastAsia="Arial" w:hAnsi="Arial"/>
                <w:sz w:val="18"/>
                <w:szCs w:val="18"/>
                <w:color w:val="auto"/>
              </w:rPr>
              <w:t>26</w:t>
            </w: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11"/>
        </w:trPr>
        <w:tc>
          <w:tcPr>
            <w:tcW w:w="110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92"/>
              </w:rPr>
              <w:t>Year Ended December 31, 2012</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11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Lending</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Other</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5"/>
              </w:rPr>
              <w:t>Corporate</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190"/>
        </w:trPr>
        <w:tc>
          <w:tcPr>
            <w:tcW w:w="1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2"/>
          </w:tcPr>
          <w:p>
            <w:pPr>
              <w:jc w:val="center"/>
              <w:ind w:left="654"/>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6"/>
        </w:trPr>
        <w:tc>
          <w:tcPr>
            <w:tcW w:w="11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18,316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(2,887)</w:t>
            </w:r>
          </w:p>
        </w:tc>
        <w:tc>
          <w:tcPr>
            <w:tcW w:w="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3,779</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(1,536)</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3,101</w:t>
            </w:r>
          </w:p>
        </w:tc>
        <w:tc>
          <w:tcPr>
            <w:tcW w:w="4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3,101</w:t>
            </w:r>
          </w:p>
        </w:tc>
      </w:tr>
      <w:tr>
        <w:trPr>
          <w:trHeight w:val="27"/>
        </w:trPr>
        <w:tc>
          <w:tcPr>
            <w:tcW w:w="1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1,483</w:t>
            </w:r>
          </w:p>
        </w:tc>
        <w:tc>
          <w:tcPr>
            <w:tcW w:w="4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1,483</w:t>
            </w:r>
          </w:p>
        </w:tc>
      </w:tr>
      <w:tr>
        <w:trPr>
          <w:trHeight w:val="27"/>
        </w:trPr>
        <w:tc>
          <w:tcPr>
            <w:tcW w:w="1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15,385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(6,099)</w:t>
            </w:r>
          </w:p>
        </w:tc>
        <w:tc>
          <w:tcPr>
            <w:tcW w:w="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r>
      <w:tr>
        <w:trPr>
          <w:trHeight w:val="432"/>
        </w:trPr>
        <w:tc>
          <w:tcPr>
            <w:tcW w:w="516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Income tax provision</w:t>
            </w: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32"/>
        </w:trPr>
        <w:tc>
          <w:tcPr>
            <w:tcW w:w="1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11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190"/>
        </w:trPr>
        <w:tc>
          <w:tcPr>
            <w:tcW w:w="1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3"/>
          </w:tcPr>
          <w:p>
            <w:pPr>
              <w:jc w:val="right"/>
              <w:ind w:right="473"/>
              <w:spacing w:after="0"/>
              <w:rPr>
                <w:sz w:val="20"/>
                <w:szCs w:val="20"/>
                <w:color w:val="auto"/>
              </w:rPr>
            </w:pPr>
            <w:r>
              <w:rPr>
                <w:rFonts w:ascii="Arial" w:cs="Arial" w:eastAsia="Arial" w:hAnsi="Arial"/>
                <w:sz w:val="14"/>
                <w:szCs w:val="14"/>
                <w:b w:val="1"/>
                <w:bCs w:val="1"/>
                <w:i w:val="1"/>
                <w:iCs w:val="1"/>
                <w:color w:val="auto"/>
                <w:w w:val="88"/>
              </w:rPr>
              <w:t>(in thousands, except percentages)</w:t>
            </w:r>
          </w:p>
        </w:tc>
      </w:tr>
      <w:tr>
        <w:trPr>
          <w:trHeight w:val="66"/>
        </w:trPr>
        <w:tc>
          <w:tcPr>
            <w:tcW w:w="110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453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i w:val="1"/>
                <w:iCs w:val="1"/>
                <w:color w:val="auto"/>
              </w:rPr>
              <w:t>40.2%</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39.7%</w:t>
            </w:r>
          </w:p>
        </w:tc>
      </w:tr>
      <w:tr>
        <w:trPr>
          <w:trHeight w:val="27"/>
        </w:trPr>
        <w:tc>
          <w:tcPr>
            <w:tcW w:w="1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both 2013 and 2012, the effective tax rate was higher than the 35% federal statutory rate due principally to the effect of state taxes.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both 2013 and 2012, income from discontinued operations of $4.6 million and $48.9 million, respectively, is primarily attributable to the LendingTree Loans business, the sale of which was completed on June 6, 2012. As a result, the 2012 results of discontinued operations include approximately five months of results of operations and a gain on the sale of the business of $24.4 million, net of tax. In 2013, the results of discontinued operations was primarily due to a pre-tax gain of $10.0 million for an additional purchase price payment made on the first anniversary of the sale of the business, offset by operating losses relating to the ongoing wind-down of the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Except for cash and cash equivalents, we have no material sources of liquidity.</w:t>
      </w:r>
    </w:p>
    <w:p>
      <w:pPr>
        <w:spacing w:after="0" w:line="6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As of December 31, 2013, we had $91.7 million of cash and cash equivalents and $26.0 million of restricted cash and cash equivalents, compared to $80.2 million of cash and cash equivalents and $29.4 million of restricted cash and cash equivalents as of December 31,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center"/>
              <w:ind w:left="14"/>
              <w:spacing w:after="0"/>
              <w:rPr>
                <w:sz w:val="20"/>
                <w:szCs w:val="20"/>
                <w:color w:val="auto"/>
              </w:rPr>
            </w:pPr>
            <w:r>
              <w:rPr>
                <w:rFonts w:ascii="Arial" w:cs="Arial" w:eastAsia="Arial" w:hAnsi="Arial"/>
                <w:sz w:val="14"/>
                <w:szCs w:val="14"/>
                <w:b w:val="1"/>
                <w:bCs w:val="1"/>
                <w:i w:val="1"/>
                <w:iCs w:val="1"/>
                <w:color w:val="auto"/>
                <w:w w:val="89"/>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10,238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647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(5,983)</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(11,923)</w:t>
            </w:r>
          </w:p>
        </w:tc>
      </w:tr>
      <w:tr>
        <w:trPr>
          <w:trHeight w:val="20"/>
        </w:trPr>
        <w:tc>
          <w:tcPr>
            <w:tcW w:w="8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740" w:firstLine="324"/>
        <w:spacing w:after="0" w:line="274" w:lineRule="auto"/>
        <w:rPr>
          <w:sz w:val="20"/>
          <w:szCs w:val="20"/>
          <w:color w:val="auto"/>
        </w:rPr>
      </w:pPr>
      <w:r>
        <w:rPr>
          <w:rFonts w:ascii="Arial" w:cs="Arial" w:eastAsia="Arial" w:hAnsi="Arial"/>
          <w:sz w:val="17"/>
          <w:szCs w:val="17"/>
          <w:color w:val="auto"/>
        </w:rPr>
        <w:t>Net cash provided by operating activities attributable to continuing operations in 2013 was $10.2 million and consisted primarily of losses from continuing operations of $0.7 million, positive adjustments for non-cash items of $9.8 million and cash provided by working capital of $1.2</w:t>
      </w:r>
    </w:p>
    <w:p>
      <w:pPr>
        <w:ind w:right="300"/>
        <w:spacing w:after="0" w:line="255" w:lineRule="auto"/>
        <w:rPr>
          <w:sz w:val="20"/>
          <w:szCs w:val="20"/>
          <w:color w:val="auto"/>
        </w:rPr>
      </w:pPr>
      <w:r>
        <w:rPr>
          <w:rFonts w:ascii="Arial" w:cs="Arial" w:eastAsia="Arial" w:hAnsi="Arial"/>
          <w:sz w:val="18"/>
          <w:szCs w:val="18"/>
          <w:color w:val="auto"/>
        </w:rPr>
        <w:t>million. Adjustments for non-cash items consisted primarily of $5.6 million in non-cash compensation expense and $3.5 million of depreciation. Accounts receivable increased $3.6 million primarily due to increases in revenue. Accounts payable, accrued expenses and other current liabilities increased $6.8 million, primarily due to increased marketing efforts and a new branding campaign.</w:t>
      </w:r>
    </w:p>
    <w:p>
      <w:pPr>
        <w:spacing w:after="0" w:line="8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Net cash used in operating activities attributable to continuing operations in 2012 was $4.7 million and consisted of losses from continuing operations of $2.2 million, positive adjustments for non-cash items of $9.7 million and cash used for working capital of $12.2 million. Adjustments for non-cash items primarily consisted of $4.6 million of non-cash compensation expense and $4.1 million of depreciation. Accounts receivable increased by $6.0 million, reflecting increased revenue primarily from leads that would formerly have been provided to LendingTree Loans becoming available for sale on our mortgage exchange. Accounts payable and other current liabilities decreased by $6.6 million, as we managed our net working capital position and paid previously incurred expenses from improved cash flow.</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2013 of $0.6 million consisted primarily of capital expenditures of $2.8 million, which was more than offset by a decrease in restricted cash of $3.4 million. The decrease in restricted cash is associated with a reduction in the collateral requirement for certain of our surety bonds, which are required by the various states in which we currently operate or previously operated. As a result, $4.0 million of cash previously held in escrow was released.</w:t>
      </w:r>
    </w:p>
    <w:p>
      <w:pPr>
        <w:spacing w:after="0" w:line="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2012 of $3.7 million resulted primarily from capital expenditures of $2.6 million and an increase in restricted cash of $1.1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Net cash used in financing activities attributable to continuing operations in 2013 of $6.0 million consisted primarily of the vesting and issuance of stock to employees (less withholding taxes) of $2.8 million and the repurchase of Tree.com stock of $3.3 million.</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Net cash used in financing activities 2012 of $11.9 million was primarily due to a special dividend of $11.4 million, the repurchase of Tree.com stock of $0.9 million and the issuance of common stock to employees (less withholding taxes) of $0.8 million, partially offset by a decrease in restricted cash requirements of $1.2 million related to warehouse lines of credit.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Warehouse Lines of Credit for LendingTree Loans</w:t>
      </w:r>
    </w:p>
    <w:p>
      <w:pPr>
        <w:spacing w:after="0" w:line="17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 xml:space="preserve">We do not have any other off-balance sheet arrangements other than our operating lease obligations and funding commitments pursuant to our surety bonds.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11—Commitments to the consolidated financial statements included elsewhere in the report for further details.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Loss Obligations</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documentation defects, early payment defaults and early loan payoffs occurred.</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HLC subsidiary continues to be liable for these indemnification obligations, repurchase obligations and premium repayment obligations following the sale of substantially all of the operating assets of our LendingTree Loans business on June 6, 2012. Approximately $21.2 million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estimate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We then apply a settlement discount factor to the result of the foregoing to reflect publicly announced bulk settlements for similar loan types and vintages, as well as LendingTree Loans' non-operating status, in order to estimate a range of the potential obligation. Changes to any one of these factors could significantly impact the estimate of the liability and could have a material adverse impact on our results of operations for any particular period.</w:t>
      </w:r>
    </w:p>
    <w:p>
      <w:pPr>
        <w:spacing w:after="0" w:line="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We have considered both objective and subjective factors in our estimation process, but given current general industry trends in mortgage loans as well as housing prices, market expectations and actual losses related to LendingTree Loans' obligations could vary significantly from the obligation recorded as of December 31, 2013 of $28.5 million or the range of remaining loan losses.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16—Discontinued Operations—LendingTree Loans—Loan Loss Obligations to the consolidated financial statements included elsewhere in this report for additional information on the loan loss reserve.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Goodwill and Indefinite-Lived Intangible Assets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review the carrying value of goodwill and indefinite-lived intangible assets on an annual basis as of October 1, or more frequently if an event occurs or circumstances change that would more likely than not reduce the fair value of a reporting unit below its carrying value. We determine the fair value of a reporting unit based upon an evaluation of its expected discounted cash flows and a market approach, with each method being equally weighted in the calculation. The discounted cash flow analysis requires us to make assumptions and judgments related to factors used in the calculation, including, but not limited to, management’s expectations for future operations and projected cash flows.</w:t>
      </w:r>
    </w:p>
    <w:p>
      <w:pPr>
        <w:spacing w:after="0" w:line="8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annual goodwill impairment test as of October 1, 2013 included the following key assumptions: a discounted cash flow model utilizing a discount rate of 13%-20%, a terminal growth rate of 3% and Adjusted EBITDA (</w:t>
      </w:r>
      <w:r>
        <w:rPr>
          <w:rFonts w:ascii="Arial" w:cs="Arial" w:eastAsia="Arial" w:hAnsi="Arial"/>
          <w:sz w:val="18"/>
          <w:szCs w:val="18"/>
          <w:i w:val="1"/>
          <w:iCs w:val="1"/>
          <w:color w:val="auto"/>
        </w:rPr>
        <w:t>See</w:t>
      </w:r>
      <w:r>
        <w:rPr>
          <w:rFonts w:ascii="Arial" w:cs="Arial" w:eastAsia="Arial" w:hAnsi="Arial"/>
          <w:sz w:val="18"/>
          <w:szCs w:val="18"/>
          <w:color w:val="auto"/>
        </w:rPr>
        <w:t xml:space="preserve"> "Tree.com's Principles of Financial Reporting" below for the definition of Adjusted EBITDA) margin rates of 10%-15% of revenue from 2014 through 2022. Results of testing indicated a fair value in excess of the carrying value of our goodwill by more than 150%.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material assumptions included in the annual indefinite-lived intangible assets impairment test as of October 1, 2013 were an assumed relief-from-royalty model, a discount rate of 13%-20%, a terminal growth rate of 3% and a royalty rate of 3%-6%. Results of testing indicated a fair value more than seven times the carrying value of our indefinite-lived intangible assets.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any material changes in the near term to the assumptions underlying these tests of impairment at October 1, 2013.</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value of goodwill and indefinite-lived intangible assets that is subject to assessment for impairment is $3.6 million and $10.1 million, respectively, at December 31,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Due to a history of operating losses, certain of our long-lived asset groups with an aggregate carrying value of $1.7 million were reviewed for impairment at December 31, 2013. Results of testing indicated undiscounted cash flows exceeded the aggregate carrying value of each asset group by a range of 100% to more than 400%. We do not expect any material changes in the near term to the assumptions underlying these tests of impairment. However, if changes in these assumptions do occur, and, should those changes be significant, they could have a material impact on our determination of whether or not there has been an impairment.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long-lived assets subject to assessment for impairment is $5.9 million at December 31,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9—Income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8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2013, we have recorded a valuation allowance of $49.7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forms of stock-based awards granted to our employees are principally restricted stock units ("RSUs"), restricted stock and stock options. The value of RSU and restricted stock awards is measured at their grant dates as the fair value of common stock and amortized ratably as non-cash compensation expense over the vesting term. The value of stock options issued, as discussed in Note 4—Stock-Based Compensation to the consolidated financial statements included elsewhere in this report, is estimated using a Black-Scholes option pricing model. We did not grant any stock options during 2013.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December 31, 2013, there was approximately $0.2 million, $5.6 million, $2.3 million and $0.1 million of unrecognized compensation cost, net of estimated forfeitures, related to stock options, RSUs, restricted stock and restricted stock with a market condition, respectively. These costs are expected to be recognized over a weighted-average period of approximately 1.0 year for stock options, 1.9 years for RSUs, 2.6 years for restricted stock, and 0.1 years for restricted stock with a market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Definition of Adjusted EBITDA</w:t>
      </w:r>
    </w:p>
    <w:p>
      <w:pPr>
        <w:spacing w:after="0" w:line="175" w:lineRule="exact"/>
        <w:rPr>
          <w:sz w:val="20"/>
          <w:szCs w:val="20"/>
          <w:color w:val="auto"/>
        </w:rPr>
      </w:pPr>
    </w:p>
    <w:p>
      <w:pPr>
        <w:jc w:val="both"/>
        <w:ind w:right="40"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intangible asset impairment charges, (3) gain/loss on disposal of assets,</w:t>
      </w:r>
    </w:p>
    <w:p>
      <w:pPr>
        <w:ind w:right="2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One-Time Items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$0.9 million related to a discretionary cash bonus payment to employee stock option holders and a one-time contribution of $0.4 million to an educational trust.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rules and regulations of the SEC, as a smaller reporting company, we are not required to provide the information required by this item.</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Tree.com, Inc.</w:t>
      </w:r>
    </w:p>
    <w:p>
      <w:pPr>
        <w:spacing w:after="0" w:line="17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shareholders' equity and cash flows present fairly, in all material respects, the financial position of Tree.com, Inc. and its subsidiaries at December 31, 2013 and 2012, and the results of their operations and their cash flows for the years then ended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Internal Control—Integrated Framework (1992)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audits (which was an integrated audit in 2013).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195"/>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3"/>
          </w:tcPr>
          <w:p>
            <w:pPr>
              <w:jc w:val="right"/>
              <w:ind w:right="291"/>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139,240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77,443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6,542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91,121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48,934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24,658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5,264</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3,501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8,955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140,347</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80,294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453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1,483</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from continuing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9,561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(loss) from operations of discontinued operations, net of tax</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24,501</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4,620</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48,874</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3,947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46,625</w:t>
            </w:r>
          </w:p>
        </w:tc>
      </w:tr>
      <w:tr>
        <w:trPr>
          <w:trHeight w:val="34"/>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11,035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10,695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 from discontinued operations: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0.42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0.36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r>
      <w:tr>
        <w:trPr>
          <w:trHeight w:val="20"/>
        </w:trPr>
        <w:tc>
          <w:tcPr>
            <w:tcW w:w="834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1280" w:type="dxa"/>
            <w:vAlign w:val="bottom"/>
            <w:shd w:val="clear" w:color="auto" w:fill="999999"/>
          </w:tcPr>
          <w:p>
            <w:pPr>
              <w:spacing w:after="0" w:line="20" w:lineRule="exact"/>
              <w:rPr>
                <w:sz w:val="1"/>
                <w:szCs w:val="1"/>
                <w:color w:val="auto"/>
              </w:rPr>
            </w:pPr>
          </w:p>
        </w:tc>
        <w:tc>
          <w:tcPr>
            <w:tcW w:w="420" w:type="dxa"/>
            <w:vAlign w:val="bottom"/>
            <w:shd w:val="clear" w:color="auto" w:fill="999999"/>
          </w:tcPr>
          <w:p>
            <w:pPr>
              <w:spacing w:after="0" w:line="20" w:lineRule="exact"/>
              <w:rPr>
                <w:sz w:val="1"/>
                <w:szCs w:val="1"/>
                <w:color w:val="auto"/>
              </w:rPr>
            </w:pPr>
          </w:p>
        </w:tc>
        <w:tc>
          <w:tcPr>
            <w:tcW w:w="1120" w:type="dxa"/>
            <w:vAlign w:val="bottom"/>
            <w:shd w:val="clear" w:color="auto" w:fill="999999"/>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2013</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2012</w:t>
            </w:r>
          </w:p>
        </w:tc>
      </w:tr>
      <w:tr>
        <w:trPr>
          <w:trHeight w:val="156"/>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3"/>
          </w:tcPr>
          <w:p>
            <w:pPr>
              <w:jc w:val="right"/>
              <w:ind w:right="511"/>
              <w:spacing w:after="0" w:line="157" w:lineRule="exact"/>
              <w:rPr>
                <w:sz w:val="20"/>
                <w:szCs w:val="20"/>
                <w:color w:val="auto"/>
              </w:rPr>
            </w:pPr>
            <w:r>
              <w:rPr>
                <w:rFonts w:ascii="Arial" w:cs="Arial" w:eastAsia="Arial" w:hAnsi="Arial"/>
                <w:sz w:val="14"/>
                <w:szCs w:val="14"/>
                <w:b w:val="1"/>
                <w:bCs w:val="1"/>
                <w:i w:val="1"/>
                <w:iCs w:val="1"/>
                <w:color w:val="auto"/>
              </w:rPr>
              <w:t>(in thousands, except par value</w:t>
            </w:r>
          </w:p>
        </w:tc>
      </w:tr>
      <w:tr>
        <w:trPr>
          <w:trHeight w:val="188"/>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tcPr>
          <w:p>
            <w:pPr>
              <w:jc w:val="right"/>
              <w:ind w:right="851"/>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91,667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80,190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26,017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$408 and $503, respectively</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12,850</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407</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132,744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122,272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5,344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6,155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10,684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10,831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152,644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143,171</w:t>
            </w:r>
          </w:p>
        </w:tc>
      </w:tr>
      <w:tr>
        <w:trPr>
          <w:trHeight w:val="243"/>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23,265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16)</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32,004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31,017</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60,199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54,366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65,636</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60,249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(Notes 11 and 12)</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$.01 par value; authorized 50,000,000 shares; issued 12,619,835 and 12,195,209 shares,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11,250,903 and 11,006,730 shares,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907,148</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903,692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(807,533)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1,368,932 and 1,188,479 shares, respectively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(12,733)</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(9,412)</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87,008</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82,922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152,644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143,171</w:t>
            </w:r>
          </w:p>
        </w:tc>
      </w:tr>
      <w:tr>
        <w:trPr>
          <w:trHeight w:val="34"/>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3"/>
              </w:rPr>
              <w:t>(in thousands)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45,471</w:t>
            </w:r>
          </w:p>
        </w:tc>
        <w:tc>
          <w:tcPr>
            <w:tcW w:w="108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12,169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911,987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(858,105)</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Revision (Note 1)</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2"/>
              </w:rPr>
              <w:t>Balance as of December 31, 2011 (Revised) $</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45,471</w:t>
            </w:r>
          </w:p>
        </w:tc>
        <w:tc>
          <w:tcPr>
            <w:tcW w:w="108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11,826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911,990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(858,105)</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for the year ended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2012</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46,625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46,625</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46,625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4,756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5"/>
              </w:rPr>
              <w:t>Issuance of common stock upon exercise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7"/>
              </w:rPr>
              <w:t>of stock options and vesting of restricted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stock units, net of withholding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w:t>
            </w:r>
          </w:p>
        </w:tc>
        <w:tc>
          <w:tcPr>
            <w:tcW w:w="1080" w:type="dxa"/>
            <w:vAlign w:val="bottom"/>
            <w:gridSpan w:val="2"/>
          </w:tcPr>
          <w:p>
            <w:pPr>
              <w:jc w:val="right"/>
              <w:ind w:right="75"/>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(12,236)</w:t>
            </w:r>
          </w:p>
        </w:tc>
        <w:tc>
          <w:tcPr>
            <w:tcW w:w="1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(12,236)</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Revision (Note 1)</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December 31, 2012</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(Revised)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82,922</w:t>
            </w:r>
          </w:p>
        </w:tc>
        <w:tc>
          <w:tcPr>
            <w:tcW w:w="108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12,195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122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b w:val="1"/>
                <w:bCs w:val="1"/>
                <w:color w:val="auto"/>
              </w:rPr>
              <w:t>903,692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(811,480)</w:t>
            </w: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1,188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Net income for the year ended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December 31, 2013</w:t>
            </w: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0"/>
                <w:szCs w:val="20"/>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3,947</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5,629</w:t>
            </w:r>
          </w:p>
        </w:tc>
        <w:tc>
          <w:tcPr>
            <w:tcW w:w="1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5,629</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stock upon exercise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of stock options and vesting of restricted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units, net of withholding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8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425</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(2,810)</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87,008</w:t>
            </w:r>
          </w:p>
        </w:tc>
        <w:tc>
          <w:tcPr>
            <w:tcW w:w="108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8"/>
                <w:szCs w:val="18"/>
                <w:b w:val="1"/>
                <w:bCs w:val="1"/>
                <w:color w:val="auto"/>
              </w:rPr>
              <w:t>12,620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907,148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(807,533)</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1,369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34"/>
        </w:trPr>
        <w:tc>
          <w:tcPr>
            <w:tcW w:w="3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b w:val="1"/>
                <w:bCs w:val="1"/>
                <w:color w:val="auto"/>
              </w:rPr>
              <w:t>3,947</w:t>
            </w: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46,625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(4,620)</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(48,874)</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loss from continuing operations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loss from continuing operations to net cash provided by (used in) operating</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 attributable to continuing operations:</w:t>
            </w:r>
          </w:p>
        </w:tc>
        <w:tc>
          <w:tcPr>
            <w:tcW w:w="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3,501</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4,105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5,627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 (benefit)</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(3,614)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6,832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7"/>
              </w:rPr>
              <w:t>10,238</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(2,750)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restricted cash</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3,397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647</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(3,717)</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net of withholding taxes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(2,806)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(3,321)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1,199</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(5,983)</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(11,923)</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4,902</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(20,362)</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(3,425)</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226,747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7"/>
              </w:rPr>
              <w:t>10,000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cash used in financing activities attributable to discontinued operations</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(197,659)</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provided by discontinued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6,575</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55,011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7"/>
              </w:rPr>
              <w:t>11,477</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34,649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7"/>
              </w:rPr>
              <w:t>80,190</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7"/>
              </w:rPr>
              <w:t>91,667</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80,190</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8"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Tree.com, Inc. ("Tree.com" or the "Company") is the parent of LendingTree, LLC, which owns several brands and businesses that provide information, tools, advice, products and services for critical transactions in consumers' lives. Its family of brands includes: LendingTree®, GetSmart®, LendingTree Autos</w:t>
      </w:r>
      <w:r>
        <w:rPr>
          <w:rFonts w:ascii="Arial" w:cs="Arial" w:eastAsia="Arial" w:hAnsi="Arial"/>
          <w:sz w:val="25"/>
          <w:szCs w:val="25"/>
          <w:color w:val="auto"/>
          <w:vertAlign w:val="superscript"/>
        </w:rPr>
        <w:t>SM</w:t>
      </w:r>
      <w:r>
        <w:rPr>
          <w:rFonts w:ascii="Arial" w:cs="Arial" w:eastAsia="Arial" w:hAnsi="Arial"/>
          <w:sz w:val="18"/>
          <w:szCs w:val="18"/>
          <w:color w:val="auto"/>
        </w:rPr>
        <w:t>, LendingTree Education</w:t>
      </w:r>
      <w:r>
        <w:rPr>
          <w:rFonts w:ascii="Arial" w:cs="Arial" w:eastAsia="Arial" w:hAnsi="Arial"/>
          <w:sz w:val="25"/>
          <w:szCs w:val="25"/>
          <w:color w:val="auto"/>
          <w:vertAlign w:val="superscript"/>
        </w:rPr>
        <w:t>SM</w:t>
      </w:r>
      <w:r>
        <w:rPr>
          <w:rFonts w:ascii="Arial" w:cs="Arial" w:eastAsia="Arial" w:hAnsi="Arial"/>
          <w:sz w:val="18"/>
          <w:szCs w:val="18"/>
          <w:color w:val="auto"/>
        </w:rPr>
        <w:t>, LendingTree Home Pros</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InsuranceTree®. Together, these brands serve as an ally for consumers who are looking to comparison-shop for loans, education programs, home services providers and other services from multiple businesses and professionals that will compete for their business.</w:t>
      </w:r>
    </w:p>
    <w:p>
      <w:pPr>
        <w:spacing w:after="0" w:line="15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Tree.com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17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On August 20, 2008, Tree.com was spun off from its parent company, IAC/InterActiveCorp ("IAC"), into a separate publicly-traded company. In connection with the spin-off, Tree.com was incorporated as a Delaware corporation in April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the Company's continuing operations and, unless otherwise noted, exclude information related to the discontinued operations.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 The Company exited all markets in which it previously operated by March 31, 2011. In September 2011, the remaining assets of RealEstate.com were sold, which consisted primarily of internet domain names and trademarks, for $8.3 million, resulting in a gain on sale of $7.8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12, 2011, the Company entered into an asset purchase agreement with Discover, as amended on February 7, 2012, for the sale of substantially all of the operating assets of its LendingTree Loans business. The sale was completed on June 6, 2012.</w:t>
      </w:r>
    </w:p>
    <w:p>
      <w:pPr>
        <w:spacing w:after="0" w:line="6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$10.0 million was paid and recognized as a gain from sale of discontinued operations in the second quarter of 2013.</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initial purchase price payment, as of December 31, 2013, $18.1 million is being held in escrow pending resolution of certain actual and/or contingent liabilities that remain with the Company following the sale. This escrowed amount is recorded as restricted cash at December 31, 2013.</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Separate from the asset purchase agreement, Tree.com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the Company's mortgage exchange following completion of the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53"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 of Prior Period Financial Statements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connection with the preparation of the consolidated financial statements for the first quarter of 2013, it was determined that the number of outstanding shares had been overstated in prior periods due to issuances of unrestricted shares upon satisfaction of vesting conditions on restricted shares from 2009 to 2012, without canceling the original restricted share certificates. This error resulted in double-counting of certain vested restricted shares in the calculation of shares outstanding. Management determined that unrestricted shares issued upon vesting of restricted shares should not have been considered validly issued or outstanding until the associated restricted shares were canceled. All of the restricted stock awards that were double-counted were issued to the Chairman and CEO. This error in shares was not reflected in the Chairman and CEO's filings made under Section 13(d) or Section 16 of the Securities Exchange Act of 1934 or in the disclosures of his holdings in public filings. In addition, the weighted average share calculation erroneously included restricted shares, resulting in errors in the previously reported weighted average shares and earnings per share.</w:t>
      </w:r>
    </w:p>
    <w:p>
      <w:pPr>
        <w:spacing w:after="0" w:line="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December 26, 2012, the Company paid a special dividend of $1.00 per share to its shareholders of record on December 17, 2012. The dividend was paid on all shares shown as outstanding in its records, including shares granted to the Chairman and CEO, which management has determined should not have been considered issued or outstanding. As a result, $0.4 million in dividends were unintentionally overpaid to the Chairman and CEO in 2012 and is presented as a financing cash outflow in the consolidated statement of cash flows for the year ended December 31, 2012. The dividend overpayment was repaid by the Chairman and CEO to the Company during 2013 and is presented as a financing cash inflow in the consolidated statement of cash flows for the year ended December 31, 2013. Other than that special dividend, no declarations or payments of any cash dividends on the common stock have occurred.</w:t>
      </w:r>
    </w:p>
    <w:p>
      <w:pPr>
        <w:spacing w:after="0" w:line="5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addition to the special dividend overpayment, there was also a related error in the dividend accrual recorded for nonvested shares entitled to the special dividend upon vesting, resulting in an over-accrual of $0.2 million in the consolidated balance sheet at December 31, 2012.</w:t>
      </w:r>
    </w:p>
    <w:p>
      <w:pPr>
        <w:spacing w:after="0" w:line="3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accordance with ASC 250-10, the Company assessed the materiality of these errors and concluded that the errors were not material to any of the previously issued financial statements. Accordingly, all previously issued 2012 interim financial statements were corrected for these share errors and revised prospectively in the 2013 quarterly SEC filings.</w:t>
      </w:r>
    </w:p>
    <w:p>
      <w:pPr>
        <w:spacing w:after="0" w:line="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The following table presents the effect of these corrections on the Company's annual consolidated statement of operations for the year ended December 31, 2012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 2012</w:t>
            </w:r>
          </w:p>
        </w:tc>
        <w:tc>
          <w:tcPr>
            <w:tcW w:w="100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As Reported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0"/>
              </w:rPr>
              <w:t>As Revised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11,313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11,313</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10,695</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per share from discontinuing operations: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0.24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4.36</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w:t>
            </w:r>
          </w:p>
        </w:tc>
      </w:tr>
      <w:tr>
        <w:trPr>
          <w:trHeight w:val="20"/>
        </w:trPr>
        <w:tc>
          <w:tcPr>
            <w:tcW w:w="7440" w:type="dxa"/>
            <w:vAlign w:val="bottom"/>
            <w:shd w:val="clear" w:color="auto" w:fill="999999"/>
          </w:tcPr>
          <w:p>
            <w:pPr>
              <w:spacing w:after="0" w:line="20" w:lineRule="exact"/>
              <w:rPr>
                <w:sz w:val="1"/>
                <w:szCs w:val="1"/>
                <w:color w:val="auto"/>
              </w:rPr>
            </w:pPr>
          </w:p>
        </w:tc>
        <w:tc>
          <w:tcPr>
            <w:tcW w:w="180" w:type="dxa"/>
            <w:vAlign w:val="bottom"/>
            <w:shd w:val="clear" w:color="auto" w:fill="999999"/>
          </w:tcPr>
          <w:p>
            <w:pPr>
              <w:spacing w:after="0" w:line="20" w:lineRule="exact"/>
              <w:rPr>
                <w:sz w:val="1"/>
                <w:szCs w:val="1"/>
                <w:color w:val="auto"/>
              </w:rPr>
            </w:pPr>
          </w:p>
        </w:tc>
        <w:tc>
          <w:tcPr>
            <w:tcW w:w="1120" w:type="dxa"/>
            <w:vAlign w:val="bottom"/>
            <w:shd w:val="clear" w:color="auto" w:fill="999999"/>
          </w:tcPr>
          <w:p>
            <w:pPr>
              <w:spacing w:after="0" w:line="20" w:lineRule="exact"/>
              <w:rPr>
                <w:sz w:val="1"/>
                <w:szCs w:val="1"/>
                <w:color w:val="auto"/>
              </w:rPr>
            </w:pPr>
          </w:p>
        </w:tc>
        <w:tc>
          <w:tcPr>
            <w:tcW w:w="260" w:type="dxa"/>
            <w:vAlign w:val="bottom"/>
            <w:shd w:val="clear" w:color="auto" w:fill="999999"/>
          </w:tcPr>
          <w:p>
            <w:pPr>
              <w:spacing w:after="0" w:line="20" w:lineRule="exact"/>
              <w:rPr>
                <w:sz w:val="1"/>
                <w:szCs w:val="1"/>
                <w:color w:val="auto"/>
              </w:rPr>
            </w:pPr>
          </w:p>
        </w:tc>
        <w:tc>
          <w:tcPr>
            <w:tcW w:w="1100" w:type="dxa"/>
            <w:vAlign w:val="bottom"/>
            <w:shd w:val="clear" w:color="auto" w:fill="999999"/>
          </w:tcPr>
          <w:p>
            <w:pPr>
              <w:spacing w:after="0" w:line="20" w:lineRule="exact"/>
              <w:rPr>
                <w:sz w:val="1"/>
                <w:szCs w:val="1"/>
                <w:color w:val="auto"/>
              </w:rPr>
            </w:pPr>
          </w:p>
        </w:tc>
        <w:tc>
          <w:tcPr>
            <w:tcW w:w="32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14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For the year ended December 31, 2012, the Company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 these errors had on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2012</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31, 2011</w:t>
            </w:r>
          </w:p>
        </w:tc>
        <w:tc>
          <w:tcPr>
            <w:tcW w:w="1280" w:type="dxa"/>
            <w:vAlign w:val="bottom"/>
            <w:tcBorders>
              <w:bottom w:val="single" w:sz="8" w:color="auto"/>
            </w:tcBorders>
          </w:tcPr>
          <w:p>
            <w:pPr>
              <w:spacing w:after="0"/>
              <w:rPr>
                <w:sz w:val="16"/>
                <w:szCs w:val="16"/>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As Reported</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Adjustment</w:t>
            </w: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Adjusted</w:t>
            </w: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As Reported</w:t>
            </w: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Adjustment</w:t>
            </w: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shares</w:t>
            </w:r>
          </w:p>
        </w:tc>
        <w:tc>
          <w:tcPr>
            <w:tcW w:w="1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12,625,678</w:t>
            </w:r>
          </w:p>
        </w:tc>
        <w:tc>
          <w:tcPr>
            <w:tcW w:w="1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(430,469)</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12,195,209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12,169,226</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(342,969)</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11,826,257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Outstanding shares</w:t>
            </w:r>
          </w:p>
        </w:tc>
        <w:tc>
          <w:tcPr>
            <w:tcW w:w="1440" w:type="dxa"/>
            <w:vAlign w:val="bottom"/>
          </w:tcPr>
          <w:p>
            <w:pPr>
              <w:jc w:val="right"/>
              <w:ind w:right="96"/>
              <w:spacing w:after="0"/>
              <w:rPr>
                <w:sz w:val="20"/>
                <w:szCs w:val="20"/>
                <w:color w:val="auto"/>
              </w:rPr>
            </w:pPr>
            <w:r>
              <w:rPr>
                <w:rFonts w:ascii="Arial" w:cs="Arial" w:eastAsia="Arial" w:hAnsi="Arial"/>
                <w:sz w:val="18"/>
                <w:szCs w:val="18"/>
                <w:color w:val="auto"/>
              </w:rPr>
              <w:t>11,437,199</w:t>
            </w:r>
          </w:p>
        </w:tc>
        <w:tc>
          <w:tcPr>
            <w:tcW w:w="1620" w:type="dxa"/>
            <w:vAlign w:val="bottom"/>
          </w:tcPr>
          <w:p>
            <w:pPr>
              <w:jc w:val="right"/>
              <w:ind w:right="159"/>
              <w:spacing w:after="0"/>
              <w:rPr>
                <w:sz w:val="20"/>
                <w:szCs w:val="20"/>
                <w:color w:val="auto"/>
              </w:rPr>
            </w:pPr>
            <w:r>
              <w:rPr>
                <w:rFonts w:ascii="Arial" w:cs="Arial" w:eastAsia="Arial" w:hAnsi="Arial"/>
                <w:sz w:val="18"/>
                <w:szCs w:val="18"/>
                <w:color w:val="auto"/>
              </w:rPr>
              <w:t>(430,469)</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11,006,730</w:t>
            </w:r>
          </w:p>
        </w:tc>
        <w:tc>
          <w:tcPr>
            <w:tcW w:w="120" w:type="dxa"/>
            <w:vAlign w:val="bottom"/>
          </w:tcPr>
          <w:p>
            <w:pPr>
              <w:spacing w:after="0"/>
              <w:rPr>
                <w:sz w:val="21"/>
                <w:szCs w:val="21"/>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11,045,965</w:t>
            </w:r>
          </w:p>
        </w:tc>
        <w:tc>
          <w:tcPr>
            <w:tcW w:w="1580" w:type="dxa"/>
            <w:vAlign w:val="bottom"/>
          </w:tcPr>
          <w:p>
            <w:pPr>
              <w:jc w:val="right"/>
              <w:ind w:right="139"/>
              <w:spacing w:after="0"/>
              <w:rPr>
                <w:sz w:val="20"/>
                <w:szCs w:val="20"/>
                <w:color w:val="auto"/>
              </w:rPr>
            </w:pPr>
            <w:r>
              <w:rPr>
                <w:rFonts w:ascii="Arial" w:cs="Arial" w:eastAsia="Arial" w:hAnsi="Arial"/>
                <w:sz w:val="18"/>
                <w:szCs w:val="18"/>
                <w:color w:val="auto"/>
              </w:rPr>
              <w:t>(342,969)</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10,702,996</w:t>
            </w:r>
          </w:p>
        </w:tc>
      </w:tr>
      <w:tr>
        <w:trPr>
          <w:trHeight w:val="27"/>
        </w:trPr>
        <w:tc>
          <w:tcPr>
            <w:tcW w:w="2640" w:type="dxa"/>
            <w:vAlign w:val="bottom"/>
            <w:tcBorders>
              <w:bottom w:val="single" w:sz="8" w:color="999999"/>
            </w:tcBorders>
          </w:tcPr>
          <w:p>
            <w:pPr>
              <w:spacing w:after="0"/>
              <w:rPr>
                <w:sz w:val="2"/>
                <w:szCs w:val="2"/>
                <w:color w:val="auto"/>
              </w:rPr>
            </w:pPr>
          </w:p>
        </w:tc>
        <w:tc>
          <w:tcPr>
            <w:tcW w:w="1440" w:type="dxa"/>
            <w:vAlign w:val="bottom"/>
            <w:tcBorders>
              <w:bottom w:val="single" w:sz="8" w:color="999999"/>
            </w:tcBorders>
          </w:tcPr>
          <w:p>
            <w:pPr>
              <w:spacing w:after="0"/>
              <w:rPr>
                <w:sz w:val="2"/>
                <w:szCs w:val="2"/>
                <w:color w:val="auto"/>
              </w:rPr>
            </w:pPr>
          </w:p>
        </w:tc>
        <w:tc>
          <w:tcPr>
            <w:tcW w:w="1620" w:type="dxa"/>
            <w:vAlign w:val="bottom"/>
            <w:tcBorders>
              <w:bottom w:val="single" w:sz="8" w:color="999999"/>
            </w:tcBorders>
          </w:tcPr>
          <w:p>
            <w:pPr>
              <w:spacing w:after="0"/>
              <w:rPr>
                <w:sz w:val="2"/>
                <w:szCs w:val="2"/>
                <w:color w:val="auto"/>
              </w:rPr>
            </w:pPr>
          </w:p>
        </w:tc>
        <w:tc>
          <w:tcPr>
            <w:tcW w:w="13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1420" w:type="dxa"/>
            <w:vAlign w:val="bottom"/>
            <w:tcBorders>
              <w:bottom w:val="single" w:sz="8" w:color="999999"/>
            </w:tcBorders>
          </w:tcPr>
          <w:p>
            <w:pPr>
              <w:spacing w:after="0"/>
              <w:rPr>
                <w:sz w:val="2"/>
                <w:szCs w:val="2"/>
                <w:color w:val="auto"/>
              </w:rPr>
            </w:pPr>
          </w:p>
        </w:tc>
        <w:tc>
          <w:tcPr>
            <w:tcW w:w="1580" w:type="dxa"/>
            <w:vAlign w:val="bottom"/>
            <w:tcBorders>
              <w:bottom w:val="single" w:sz="8" w:color="999999"/>
            </w:tcBorders>
          </w:tcPr>
          <w:p>
            <w:pPr>
              <w:spacing w:after="0"/>
              <w:rPr>
                <w:sz w:val="2"/>
                <w:szCs w:val="2"/>
                <w:color w:val="auto"/>
              </w:rPr>
            </w:pPr>
          </w:p>
        </w:tc>
        <w:tc>
          <w:tcPr>
            <w:tcW w:w="1280" w:type="dxa"/>
            <w:vAlign w:val="bottom"/>
            <w:tcBorders>
              <w:bottom w:val="single" w:sz="8" w:color="999999"/>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derives its revenue primarily from match fees, which are earned through the delivery of qualified leads that originated through one of its websites or affiliates. The Company recognizes revenue when persuasive evidence of an arrangement exists, delivery has occurred, the fee is fixed or determinable and collectability is reasonably assured. Delivery is deemed to have occurred at the time a qualified lead is delivered to the customer, provided that no significant obligations remain.</w:t>
      </w:r>
    </w:p>
    <w:p>
      <w:pPr>
        <w:spacing w:after="0" w:line="7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its auto business, the Company also derives revenues from lenders for closing fees on auto products when a transaction is closed with the consumer. Closed loan fees and closed sale fees are recognized at the time the lender reports the closed loan or closed sale to the Company, which could be several months after the original request form is transmitted.</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Prior to January 2013, the Company also derived revenue from lenders for closing fees on home equity loan products, which were recognized in the same manner as the closed loan fees on its auto loan products. During the years ended December 31, 2013 and 2012, the Company recognized $0.1 million and $0.6 million, respectively, in closed loan fee revenue on home equity loan products.</w:t>
      </w:r>
    </w:p>
    <w:p>
      <w:pPr>
        <w:spacing w:after="0" w:line="7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addition, during the years ended December 31, 2013 and December 31, 2012, the Company recognized approximately $0.6 million and $1.9 million of revenue, respectively, from marketing-related services provided to Discover as discussed in Note 1</w:t>
      </w:r>
      <w:r>
        <w:rPr>
          <w:rFonts w:ascii="Arial" w:cs="Arial" w:eastAsia="Arial" w:hAnsi="Arial"/>
          <w:sz w:val="18"/>
          <w:szCs w:val="18"/>
          <w:b w:val="1"/>
          <w:bCs w:val="1"/>
          <w:color w:val="auto"/>
        </w:rPr>
        <w:t>—</w:t>
      </w:r>
      <w:r>
        <w:rPr>
          <w:rFonts w:ascii="Arial" w:cs="Arial" w:eastAsia="Arial" w:hAnsi="Arial"/>
          <w:sz w:val="18"/>
          <w:szCs w:val="18"/>
          <w:color w:val="auto"/>
        </w:rPr>
        <w:t>Organization—Discontinued Operations—LendingTree Loans. Revenue from these services was recognized in the period the services were provided.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determines its allowance for doubtful accounts by considering a number of factors, including the length of time accounts receivable are past due, previous loss history, the specific customer's current ability to pay its obligation and the condition of the general economy and the customer's industry as a whole. Accounts receivable are considered past due when they are outstanding longer than the contractual payment terms.</w:t>
      </w:r>
    </w:p>
    <w:p>
      <w:pPr>
        <w:spacing w:after="0" w:line="3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Accounts receivable are written off when management deems them uncollectible. The Company's write-offs of accounts receivable during the year ended December 31, 2013 were $0.3 million and immaterial during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17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Company's HLC subsidiary, which during its period of active operation primarily conducted business as 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or there are early payment defaults, LendingTree Loans may be required to repurchase loans or indemnify the investors for any losses from borrower defaults. LendingTree Loans maintains a liability for the estimated exposure relating to such contingent obligations and changes to the estimate are recorded in income from discontinued operations in the periods they occur.</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The Company estimates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The Company then applies a settlement discount factor to the result of the foregoing to reflect publicly announced bulk settlements for similar loan types and vintages, as well as LendingTree Loans' non-operating status, in order to estimate a range of potential liability. Changes to any one of these factors could significantly impact the estimate of the liability and could have a material impact on the Company's results of operations for any particular period.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16—Discontinued Operations—LendingTree Loans—Loan Loss Obligations for additional information on the loan loss reserve.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has four operating segments: lending, auto, education and home services. The lending operating segment is in the Company's core business of lead generation in the lending marketplace, matching consumers looking for lending products with network lenders. Similarly, the auto, education and home services businesses match consumers with auto financing providers and dealers, prospective students with educational institutions and agencies, and homeowners with home improvement professionals, respectively.</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Company's review of these operating segments at December 31, 2013 indicates that only its lending operating segment meets the quantitative threshold to be reported as a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including internally-developed software and significant improvements, are recorded at cost less accumulated depreciation.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and any gains or losses on dispositions are recognized as incurred in current operations.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Borders>
              <w:bottom w:val="single" w:sz="8" w:color="auto"/>
            </w:tcBorders>
          </w:tcPr>
          <w:p>
            <w:pPr>
              <w:jc w:val="center"/>
              <w:ind w:left="1634"/>
              <w:spacing w:after="0"/>
              <w:rPr>
                <w:sz w:val="20"/>
                <w:szCs w:val="20"/>
                <w:color w:val="auto"/>
              </w:rPr>
            </w:pPr>
            <w:r>
              <w:rPr>
                <w:rFonts w:ascii="Arial" w:cs="Arial" w:eastAsia="Arial" w:hAnsi="Arial"/>
                <w:sz w:val="14"/>
                <w:szCs w:val="14"/>
                <w:b w:val="1"/>
                <w:bCs w:val="1"/>
                <w:color w:val="auto"/>
                <w:w w:val="91"/>
              </w:rPr>
              <w:t>Estimated Useful Lives</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1 to 5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jc w:val="center"/>
              <w:ind w:left="1654"/>
              <w:spacing w:after="0"/>
              <w:rPr>
                <w:sz w:val="20"/>
                <w:szCs w:val="20"/>
                <w:color w:val="auto"/>
              </w:rPr>
            </w:pPr>
            <w:r>
              <w:rPr>
                <w:rFonts w:ascii="Arial" w:cs="Arial" w:eastAsia="Arial" w:hAnsi="Arial"/>
                <w:sz w:val="18"/>
                <w:szCs w:val="18"/>
                <w:color w:val="auto"/>
                <w:w w:val="90"/>
              </w:rPr>
              <w:t>Lesser of asset life or life of lease</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5600" w:type="dxa"/>
            <w:vAlign w:val="bottom"/>
            <w:tcBorders>
              <w:bottom w:val="single" w:sz="8" w:color="CCEEFF"/>
            </w:tcBorders>
            <w:shd w:val="clear" w:color="auto" w:fill="CCEEFF"/>
          </w:tcPr>
          <w:p>
            <w:pPr>
              <w:jc w:val="center"/>
              <w:ind w:left="1634"/>
              <w:spacing w:after="0"/>
              <w:rPr>
                <w:sz w:val="20"/>
                <w:szCs w:val="20"/>
                <w:color w:val="auto"/>
              </w:rPr>
            </w:pPr>
            <w:r>
              <w:rPr>
                <w:rFonts w:ascii="Arial" w:cs="Arial" w:eastAsia="Arial" w:hAnsi="Arial"/>
                <w:sz w:val="18"/>
                <w:szCs w:val="18"/>
                <w:color w:val="auto"/>
                <w:w w:val="89"/>
              </w:rPr>
              <w:t>3 to 7 years</w:t>
            </w:r>
          </w:p>
        </w:tc>
      </w:tr>
      <w:tr>
        <w:trPr>
          <w:trHeight w:val="20"/>
        </w:trPr>
        <w:tc>
          <w:tcPr>
            <w:tcW w:w="58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on internal time sheets and external invoices (or time sheets), while costs incurred during the preliminary project stage and post-implementation/operation stage are expensed as incurred. Capitalized software development costs are amortized over an estimated useful life of one to three years.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Goodwill acquired in business combinations is assigned to the reporting units that are expected to benefit from the combination as of the acquisition date. Goodwill and indefinite-lived intangible assets, primarily the Company's trade names and trademarks, are not amortized. Rather, these assets are tested annually for impairment as of October 1, or more frequently upon the occurrence of certain events or substantive changes in circumstances.</w:t>
      </w:r>
    </w:p>
    <w:p>
      <w:pPr>
        <w:spacing w:after="0" w:line="3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5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For the October 1, 2013 annual impairment test of goodwill, the fair value of the lending reporting unit was estimated using a DCF analysis and a market comparable method, with each method being equally weighted in the calculation. Results of the October 1, 2013 annual impairment test for goodwill and the indefinite-lived intangible assets indicated that no impairments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Long-lived assets include property and equipment and intangible assets with definite lives. Amortization of definite-lived intangible assets is recorded on a straight-line basis over their estimated lives.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Due to a history of operating losses, certain of the long-lived assets were reviewed for impairment at December 31, 2013 and 2012. Neither of the reviews resulted in impairment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1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82" w:lineRule="exact"/>
        <w:rPr>
          <w:rFonts w:ascii="Arial" w:cs="Arial" w:eastAsia="Arial" w:hAnsi="Arial"/>
          <w:sz w:val="17"/>
          <w:szCs w:val="17"/>
          <w:color w:val="auto"/>
        </w:rPr>
      </w:pPr>
    </w:p>
    <w:p>
      <w:pPr>
        <w:ind w:left="660" w:right="14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53"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6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3</w:t>
      </w:r>
      <w:r>
        <w:rPr>
          <w:rFonts w:ascii="Arial" w:cs="Arial" w:eastAsia="Arial" w:hAnsi="Arial"/>
          <w:sz w:val="17"/>
          <w:szCs w:val="17"/>
          <w:color w:val="auto"/>
        </w:rPr>
        <w:t>: Unobservable inputs for which there is little or no market data and which require the Company to develop its own assumptions,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best information available under the circumstances, about the assumptions market participants would use in pricing the asset or liability.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17—Fair Value Measurements for a discussion of assets measured at fair value using Level 3 inputs.</w:t>
      </w:r>
    </w:p>
    <w:p>
      <w:pPr>
        <w:spacing w:after="0" w:line="5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when there is an indicator of impairment and recorded at fair value only when an impairment charge is recognized. Such fair value measurements are based predominantly on Level 3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customer call centers, credit scoring fees and website network hosting and server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$80.7 million and $40.8 million for the years ended December 31, 2013 and 2012, respectively, and is included in selling and marketing expense on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During 2012 and 2013, the Company reported losses from continuing operations and income from discontinued operations. As a result, the Company followed the accounting guidance prescribed in ASC 740-20-45-7, which provides an exception to the "with" and "without" approach to intraperiod tax allocation for determination of the amount of tax benefit to allocate to continuing operations in such circumstances.</w:t>
      </w:r>
    </w:p>
    <w:p>
      <w:pPr>
        <w:spacing w:after="0" w:line="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forms of stock-based awards granted to Tree.com employees are principally restricted stock units ("RSUs"), stock options and restricted stock.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The Company does not have a history of settling these awards in cash.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Tree.com recognizes as expenses non-cash compensation for all stock-based awards for which vesting is considered probable. The amount of non-cash compensation is reduced by estimated forfeitures, as the amount recorded to the consolidated statement of operations is based on awards ultimately expected to vest. The forfeiture rate is estimated at the grant date, based on historical experience and revised, if necessary, in subsequent periods if the actual forfeiture rate differs from the estimated rate.</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each stock option award is estimated using the Black-Scholes option pricing model, while the fair value of an RSU or restricted stock award is measured as the closing common stock price on the day preceding the grant date. For performance-based awards, the fair value is measured on the grant date as the fair value of the Company's common stock awarded and recognized as non-cash compensation, using a graded vesting attribution model that considers the probability of the targets being achieved.</w:t>
      </w:r>
    </w:p>
    <w:p>
      <w:pPr>
        <w:spacing w:after="0" w:line="8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Tax benefits resulting from tax deductions in excess of the non-cash compensation recognized in the consolidated statement of operations are reported as a component of financing cash flows. In 2012, while there were excess tax benefits from non-cash compensation, the tax benefits are not reflected in the consolidated statement of operations because of the utilization of NOLs.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Tree.com's business is subject to certain risks and concentrations including dependence on third-party technology providers, exposure to risks associated with online commerce security and credit card fraud.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53"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Financial instruments, which potentially subject us to concentration of credit risk at December 31, 2013,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network.</w:t>
      </w:r>
    </w:p>
    <w:p>
      <w:pPr>
        <w:spacing w:after="0" w:line="14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For the year ended December 31, 2013, one network lender accounted for revenue representing 12% of total revenue and another network lender accounted for 12% of total revenue. For the year ended December 31, 2012, one network lender accounted for revenue representing 14% of total revenue and another network lender accounted for 11% of total revenue.</w:t>
      </w:r>
    </w:p>
    <w:p>
      <w:pPr>
        <w:spacing w:after="0" w:line="73" w:lineRule="exact"/>
        <w:rPr>
          <w:sz w:val="20"/>
          <w:szCs w:val="20"/>
          <w:color w:val="auto"/>
        </w:rPr>
      </w:pPr>
    </w:p>
    <w:p>
      <w:pPr>
        <w:jc w:val="both"/>
        <w:ind w:right="240" w:firstLine="324"/>
        <w:spacing w:after="0" w:line="297" w:lineRule="auto"/>
        <w:rPr>
          <w:sz w:val="20"/>
          <w:szCs w:val="20"/>
          <w:color w:val="auto"/>
        </w:rPr>
      </w:pPr>
      <w:r>
        <w:rPr>
          <w:rFonts w:ascii="Arial" w:cs="Arial" w:eastAsia="Arial" w:hAnsi="Arial"/>
          <w:sz w:val="16"/>
          <w:szCs w:val="16"/>
          <w:color w:val="auto"/>
        </w:rPr>
        <w:t>Lenders participating on the Company's lender network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December 2011, the Financial Accounting Standards Board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is effective on a retrospective basis for all comparative periods presented beginning on January 1, 2013. The adoption of this guidance did not have a material impact on the consolidated financial statements.</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July 2012, the FASB issued new guidance which allows an entity to first assess qualitative factors to determine whether events and circumstances indicate that it is more likely than not that an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The adoption of this guidance did not have a material impact on the consolidated financial statements.</w:t>
      </w:r>
    </w:p>
    <w:p>
      <w:pPr>
        <w:spacing w:after="0" w:line="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February 2013, the FASB issued new accounting guidance that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also requires an entity to disclose the nature and amount of these obligations, as well as other information about them. The new accounting guidance is effective for fiscal years, and interim periods within those years, beginning after December 15, 2013. The Company is evaluating the impact that the adoption will have on its consolidated financial statements in fiscal 2014.</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July 2013, the FASB issued guidance on the financial statement presentation of an unrecognized tax benefit when a net operating loss carryforward, a similar tax loss, or a tax credit carryforward exists. The new accounting guidance is effective for interim and annual reporting periods beginning after December 15, 2013, with early adoption permitted. Prospective or retrospective application is permitted. The adoption of this guidance is not expected to have a material impact on the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53"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2013</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surety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800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sale of LTL (Note 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17,077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in escrow for earnout related to an acquisition</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1,956</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1,956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for loan loss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30</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29,414</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4—STOCK-BASED COMPENSATION</w:t>
      </w:r>
    </w:p>
    <w:p>
      <w:pPr>
        <w:spacing w:after="0" w:line="175"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Company currently has one active plan, the Third Amended and Restated Tree.com 2008 Stock and Annual Incentive Plan (the "Equity Award Plan"), under which future awards may be granted, which currently covers outstanding stock options to acquire shares of the Company's common stock and RSUs, and provides for the future grants of these and other equity awards. Under the Equity Award Plan, the Company is authorized to grant stock options, RSUs and other equity-based awards for up to 3.35 million shares of Tree.com common stock to employees, officers and directors. This Equity Award Plan also governs certain equity awards of IAC that were converted into equity awards of Tree.com in connection with the spin-off.</w:t>
      </w:r>
    </w:p>
    <w:p>
      <w:pPr>
        <w:spacing w:after="0" w:line="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Equity Award Plan has a stated term of ten years and provides that the exercise price of stock options granted will not be less than the market price of the common stock on the grant date. The Equity Award Plan itself does not specify grant dates or vesting schedules, as those determinations are delegated to the Compensation Committee of the board of directors. Each grant agreement reflects the vesting schedule for that particular grant, as determined by the Compensation Committee.</w:t>
      </w:r>
    </w:p>
    <w:p>
      <w:pPr>
        <w:spacing w:after="0" w:line="79"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Prior to the 2008 spin-off from IAC, employees received equity awards that were granted under various IAC stock and annual incentive plans. Upon spin-off, these IAC awards were converted into awards of both Tree.com and other former IAC companies, which vested in 2012.</w:t>
      </w:r>
    </w:p>
    <w:p>
      <w:pPr>
        <w:spacing w:after="0" w:line="3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 xml:space="preserve">Non-cash compensation expense related to equity awards is included in the following line items in the accompanying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931</w:t>
            </w:r>
          </w:p>
        </w:tc>
        <w:tc>
          <w:tcPr>
            <w:tcW w:w="9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750</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3,841</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3,205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842</w:t>
            </w:r>
          </w:p>
        </w:tc>
        <w:tc>
          <w:tcPr>
            <w:tcW w:w="9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626</w:t>
            </w:r>
          </w:p>
        </w:tc>
      </w:tr>
      <w:tr>
        <w:trPr>
          <w:trHeight w:val="27"/>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 expense before income taxes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5,627</w:t>
            </w:r>
          </w:p>
        </w:tc>
        <w:tc>
          <w:tcPr>
            <w:tcW w:w="9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4,587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(2,223)</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(1,812)</w:t>
            </w:r>
          </w:p>
        </w:tc>
      </w:tr>
      <w:tr>
        <w:trPr>
          <w:trHeight w:val="27"/>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 expense after income taxes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3,404</w:t>
            </w:r>
          </w:p>
        </w:tc>
        <w:tc>
          <w:tcPr>
            <w:tcW w:w="96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2,775</w:t>
            </w:r>
          </w:p>
        </w:tc>
      </w:tr>
      <w:tr>
        <w:trPr>
          <w:trHeight w:val="27"/>
        </w:trPr>
        <w:tc>
          <w:tcPr>
            <w:tcW w:w="8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December 31, 2013, there was approximately $0.2 million, $5.6 million, $2.3 million and $0.1 million of unrecognized compensation cost, net of estimated forfeitures, related to stock options, RSUs, restricted stock, and restricted stock with a market condition, respectively. These costs are expected to be recognized over a weighted-average period of approximately 1.0 year for stock options, 1.9 years for RSUs, 2.6 years for restricted stock and 0.1 years for restricted stock with a market condition.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vMerge w:val="restart"/>
          </w:tcPr>
          <w:p>
            <w:pPr>
              <w:jc w:val="center"/>
              <w:ind w:left="420"/>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jc w:val="center"/>
              <w:ind w:left="420"/>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112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6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w w:val="93"/>
              </w:rPr>
              <w:t>Price</w:t>
            </w: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gridSpan w:val="2"/>
          </w:tcPr>
          <w:p>
            <w:pPr>
              <w:jc w:val="center"/>
              <w:ind w:right="30"/>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2012</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1,072,503</w:t>
            </w:r>
          </w:p>
        </w:tc>
        <w:tc>
          <w:tcPr>
            <w:tcW w:w="11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5"/>
              </w:rPr>
              <w:t>8.97</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5"/>
                <w:szCs w:val="25"/>
                <w:color w:val="auto"/>
                <w:vertAlign w:val="superscript"/>
              </w:rPr>
              <w:t>(b)</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(31,642)</w:t>
            </w: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5"/>
              </w:rPr>
              <w:t>8.38</w:t>
            </w:r>
          </w:p>
        </w:tc>
        <w:tc>
          <w:tcPr>
            <w:tcW w:w="1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w:t>
            </w:r>
          </w:p>
        </w:tc>
        <w:tc>
          <w:tcPr>
            <w:tcW w:w="17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11.53</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2013</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1,038,999</w:t>
            </w:r>
          </w:p>
        </w:tc>
        <w:tc>
          <w:tcPr>
            <w:tcW w:w="1120" w:type="dxa"/>
            <w:vAlign w:val="bottom"/>
            <w:tcBorders>
              <w:top w:val="single" w:sz="8" w:color="auto"/>
            </w:tcBorders>
          </w:tcPr>
          <w:p>
            <w:pPr>
              <w:jc w:val="right"/>
              <w:ind w:right="8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5"/>
              </w:rPr>
              <w:t>8.98</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4.8</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24,788</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887,707</w:t>
            </w:r>
          </w:p>
        </w:tc>
        <w:tc>
          <w:tcPr>
            <w:tcW w:w="11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5"/>
              </w:rPr>
              <w:t>9.34</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4.2</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20,865</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$32.84 on the last trading day of 2013 and the exercise price, multiplied by the number of in-the-money options) that would have been received by the option holders had all option holders exercised their options on December 31, 2013. The intrinsic value changes based on the fair market value of the Company's common stock.</w:t>
      </w:r>
    </w:p>
    <w:p>
      <w:pPr>
        <w:spacing w:after="0" w:line="132"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2013 and 2012, the total intrinsic value of stock options that were exercised was $0.4 million and $0.3 million, respectively. Cash received from stock option exercises and the related actual tax benefit realized were $0.3 million and $0.2 million for the year ended December 31, 2013 and $0.7 million and $0.1 million for the year ended December 31, 2012.</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All stock options granted during 2012 were granted to the Chairman and CEO with a weighted average grant date fair value per share of $3.63 and vest over a period of three years from their respective grant date. For purposes of determining stock-based compensation expense, the grant date fair value per share of the stock options was estimated using the Black-Scholes option pricing model, which requires the use of various key assumptions, including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 years</w:t>
            </w:r>
          </w:p>
        </w:tc>
      </w:tr>
      <w:tr>
        <w:trPr>
          <w:trHeight w:val="270"/>
        </w:trPr>
        <w:tc>
          <w:tcPr>
            <w:tcW w:w="6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180" w:type="dxa"/>
            <w:vAlign w:val="bottom"/>
            <w:tcBorders>
              <w:bottom w:val="single" w:sz="8" w:color="999999"/>
            </w:tcBorders>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2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2.0%</w:t>
            </w:r>
          </w:p>
        </w:tc>
      </w:tr>
    </w:tbl>
    <w:p>
      <w:pPr>
        <w:spacing w:after="0" w:line="148" w:lineRule="exact"/>
        <w:rPr>
          <w:sz w:val="20"/>
          <w:szCs w:val="20"/>
          <w:color w:val="auto"/>
        </w:rPr>
      </w:pPr>
    </w:p>
    <w:p>
      <w:pPr>
        <w:ind w:left="660" w:right="6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term of stock options granted is based on analyses of historical employee termination rates and option exercise patterns, giving consideration to expectations of future employee behavior.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all stock options granted in 2012,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common stock of a peer group over the expected term.</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Substantially all options outstanding at December 31, 2013 are vested or are expected to vest over a weighted-average period of approximately 1.0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2013 and 2012, the total fair value of options vested was $3.2 million and $0.3 million, respectively.</w:t>
      </w:r>
    </w:p>
    <w:p>
      <w:pPr>
        <w:sectPr>
          <w:pgSz w:w="11900" w:h="16838" w:orient="portrait"/>
          <w:cols w:equalWidth="0" w:num="1">
            <w:col w:w="11420"/>
          </w:cols>
          <w:pgMar w:left="240" w:top="553"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53"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information about stock options outstanding and exercisable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5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Outstanding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5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(in years)</w:t>
            </w:r>
          </w:p>
        </w:tc>
        <w:tc>
          <w:tcPr>
            <w:tcW w:w="3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(per option)</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i w:val="1"/>
                <w:iCs w:val="1"/>
                <w:color w:val="auto"/>
                <w:w w:val="89"/>
              </w:rPr>
              <w:t>(per option)</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$0.01 to $4.99</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w:t>
            </w:r>
          </w:p>
        </w:tc>
        <w:tc>
          <w:tcPr>
            <w:tcW w:w="15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$5.00 to $7.45</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304,183</w:t>
            </w: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152,891</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$7.46 to $9.99</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601,783</w:t>
            </w:r>
          </w:p>
        </w:tc>
        <w:tc>
          <w:tcPr>
            <w:tcW w:w="15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601,783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$10.00 to $14.99</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6,081</w:t>
            </w: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6,081</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$15.00 to $19.99</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80,125</w:t>
            </w:r>
          </w:p>
        </w:tc>
        <w:tc>
          <w:tcPr>
            <w:tcW w:w="15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80,125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$20.00 to $20.19</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46,663</w:t>
            </w: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46,663</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at December 31, 2013</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1,038,999</w:t>
            </w:r>
          </w:p>
        </w:tc>
        <w:tc>
          <w:tcPr>
            <w:tcW w:w="15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887,707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r>
        <w:trPr>
          <w:trHeight w:val="27"/>
        </w:trPr>
        <w:tc>
          <w:tcPr>
            <w:tcW w:w="35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and restricted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RSUs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vMerge w:val="restart"/>
          </w:tcPr>
          <w:p>
            <w:pPr>
              <w:spacing w:after="0"/>
              <w:rPr>
                <w:sz w:val="14"/>
                <w:szCs w:val="14"/>
                <w:color w:val="auto"/>
              </w:rPr>
            </w:pPr>
          </w:p>
        </w:tc>
        <w:tc>
          <w:tcPr>
            <w:tcW w:w="2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Market Condition</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3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3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Grant</w:t>
            </w:r>
          </w:p>
        </w:tc>
        <w:tc>
          <w:tcPr>
            <w:tcW w:w="12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Grant</w:t>
            </w:r>
          </w:p>
        </w:tc>
        <w:tc>
          <w:tcPr>
            <w:tcW w:w="138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Date Fair</w:t>
            </w: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80" w:type="dxa"/>
            <w:vAlign w:val="bottom"/>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Shares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1"/>
              </w:rPr>
              <w:t>(per share)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8"/>
              </w:rPr>
              <w:t>(per share)</w:t>
            </w:r>
          </w:p>
        </w:tc>
        <w:tc>
          <w:tcPr>
            <w:tcW w:w="13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3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2012</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757,111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187,501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(a)(b)</w:t>
            </w: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310,445</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119,500</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3"/>
                <w:szCs w:val="23"/>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62,500</w:t>
            </w: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5"/>
                <w:szCs w:val="25"/>
                <w:color w:val="auto"/>
                <w:vertAlign w:val="superscript"/>
              </w:rPr>
              <w:t>(c)(d)</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(357,078)</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(187,501)</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(111,356)</w:t>
            </w:r>
          </w:p>
        </w:tc>
        <w:tc>
          <w:tcPr>
            <w:tcW w:w="3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2013</w:t>
            </w:r>
          </w:p>
        </w:tc>
        <w:tc>
          <w:tcPr>
            <w:tcW w:w="1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599,122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119,500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62,500</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7"/>
        </w:trPr>
        <w:tc>
          <w:tcPr>
            <w:tcW w:w="33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 date fair value per share of the RSUs and restricted stock is calculated as the closing market price of Tree.com's common stock the day preceding the grant date.</w:t>
      </w:r>
    </w:p>
    <w:p>
      <w:pPr>
        <w:spacing w:after="0" w:line="11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 date fair value per share of the restricted stock with an underlying market condition was calculated using a Monte Carlo simulation model. These shares vest based on the achievement of a market-based performance target within three years, but not earlier than one year from the grant date. The fair value on grant date is recognized over the requisite service period.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total fair value of RSUs that vested during the years ended December 31, 2013 and 2012 was $7.5 million and $4.3 million, respectively.</w:t>
      </w:r>
    </w:p>
    <w:p>
      <w:pPr>
        <w:spacing w:after="0" w:line="182"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fair value of restricted stock that vested during the years ended December 31, 2013 and 2012 was $3.2 million and $0.8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2013</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486,720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486,720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(483,088)</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3,632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3,632</w:t>
            </w:r>
          </w:p>
        </w:tc>
      </w:tr>
      <w:tr>
        <w:trPr>
          <w:trHeight w:val="324"/>
        </w:trPr>
        <w:tc>
          <w:tcPr>
            <w:tcW w:w="8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689</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10,684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10,831</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Company's goodwill is associated with its one reporting unit, lending. There were no changes in the carrying amount of goodwill during the years ended December 31, 2013 and 2012. Results of the annual impairment test as of October 1, 2013 indicated that no impairment had occurred.</w:t>
      </w:r>
    </w:p>
    <w:p>
      <w:pPr>
        <w:spacing w:after="0" w:line="3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2013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5.0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(25,194)</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2.5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(1,515)</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4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(33,087)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450"/>
        </w:trPr>
        <w:tc>
          <w:tcPr>
            <w:tcW w:w="5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5.0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25,194</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(25,158)</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2.5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(1,511)</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14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33,629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(32,940)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459"/>
        </w:trPr>
        <w:tc>
          <w:tcPr>
            <w:tcW w:w="5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rPr>
              <w:t>48</w:t>
            </w: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2013,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ending December 31, 2015</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216</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542</w:t>
            </w:r>
          </w:p>
        </w:tc>
      </w:tr>
      <w:tr>
        <w:trPr>
          <w:trHeight w:val="486"/>
        </w:trPr>
        <w:tc>
          <w:tcPr>
            <w:tcW w:w="8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6—PROPERTY AND EQUIPMENT</w:t>
            </w: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78"/>
        </w:trPr>
        <w:tc>
          <w:tcPr>
            <w:tcW w:w="8320" w:type="dxa"/>
            <w:vAlign w:val="bottom"/>
          </w:tcPr>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83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18,130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2,096</w:t>
            </w: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2,055</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14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23,352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29,449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(18,008)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(23,294)</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5,344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6,155</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Unamortized capitalized software development costs, in service or under development, total $4.3 million and $4.8 million at December 31, 2013 and 2012, respectively. Capitalized software development depreciation expense was $3.0 million and $3.1 million for the years ended December 31, 2013 and 2012,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2013</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accruals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8,837</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6,638</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3,378</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1,399</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restructuring costs </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4,279</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2,101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3,936</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6,103</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23,265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19,960</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$0.2 million and $0.5 million of accrued restructuring liability is classified in other long term liabilities on the consolidated balance sheets at December 31, 2013 and December 31, 2012, respectively.</w:t>
      </w:r>
    </w:p>
    <w:p>
      <w:pPr>
        <w:sectPr>
          <w:pgSz w:w="11900" w:h="16838" w:orient="portrait"/>
          <w:cols w:equalWidth="0" w:num="1">
            <w:col w:w="11400"/>
          </w:cols>
          <w:pgMar w:left="240" w:top="553"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553" w:right="25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basic and diluted earnings per share were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gridSpan w:val="2"/>
          </w:tcPr>
          <w:p>
            <w:pPr>
              <w:ind w:left="8940"/>
              <w:spacing w:after="0"/>
              <w:rPr>
                <w:sz w:val="20"/>
                <w:szCs w:val="20"/>
                <w:color w:val="auto"/>
              </w:rPr>
            </w:pPr>
            <w:r>
              <w:rPr>
                <w:rFonts w:ascii="Arial" w:cs="Arial" w:eastAsia="Arial" w:hAnsi="Arial"/>
                <w:sz w:val="14"/>
                <w:szCs w:val="14"/>
                <w:b w:val="1"/>
                <w:bCs w:val="1"/>
                <w:color w:val="auto"/>
                <w:w w:val="89"/>
              </w:rPr>
              <w:t>2013</w:t>
            </w:r>
          </w:p>
        </w:tc>
        <w:tc>
          <w:tcPr>
            <w:tcW w:w="88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3"/>
              </w:rPr>
              <w:t>11,035</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10,695</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Effect of stock options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9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3"/>
              </w:rPr>
              <w:t>11,035</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10,695</w:t>
            </w:r>
          </w:p>
        </w:tc>
      </w:tr>
      <w:tr>
        <w:trPr>
          <w:trHeight w:val="34"/>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the years ended December 31, 2013 and 2012, the Company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earnings per share amounts for these periods. For the years ended December 31, 2013 and 2012, approximately 0.7 million and 0.6 million shares, respectively, related to potentially dilutive securities were excluded from the calculation of diluted earnings per share, because their inclusion would have been anti-dilutive.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4—Stock-Based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On January 11, 2010, the board of directors authorized the repurchase of up to $10 million of Tree.com's common stock. During 2013, the Company purchased 180,453 shares of its common stock for aggregate consideration of $3.3 million. During 2012, the Company purchased 65,218 shares of its common stock for aggregate consideration of $0.9 million. At December 31, 2013, approximately $0.8 million remains authorized for share repurchase.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17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On December 6, 2012, the Company announced a special cash dividend of $1.00 per share. The dividend was paid on December 26, 2012 to shareholders of record on December 17, 2012. The total amount of the dividend was approximately $11.6 million, giving effect to a 2013 correction to the overpayment of dividends totaling $0.4 million, and has been presented as a reduction of additional paid-in capital in the consolidated financial statements.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 Organization—Revisions of Prior Period Financial Statements for additional details regarding the overpayment of dividends in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96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(1,358)</w:t>
            </w:r>
          </w:p>
        </w:tc>
      </w:tr>
      <w:tr>
        <w:trPr>
          <w:trHeight w:val="27"/>
        </w:trPr>
        <w:tc>
          <w:tcPr>
            <w:tcW w:w="8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Current income tax benefit</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(517)</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(1,391)</w:t>
            </w:r>
          </w:p>
        </w:tc>
      </w:tr>
      <w:tr>
        <w:trPr>
          <w:trHeight w:val="27"/>
        </w:trPr>
        <w:tc>
          <w:tcPr>
            <w:tcW w:w="8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9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147</w:t>
            </w:r>
          </w:p>
        </w:tc>
      </w:tr>
      <w:tr>
        <w:trPr>
          <w:trHeight w:val="27"/>
        </w:trPr>
        <w:tc>
          <w:tcPr>
            <w:tcW w:w="8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income tax provision (benefit)</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64</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r>
      <w:tr>
        <w:trPr>
          <w:trHeight w:val="27"/>
        </w:trPr>
        <w:tc>
          <w:tcPr>
            <w:tcW w:w="8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(453)</w:t>
            </w:r>
          </w:p>
        </w:tc>
        <w:tc>
          <w:tcPr>
            <w:tcW w:w="96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(1,483)</w:t>
            </w:r>
          </w:p>
        </w:tc>
      </w:tr>
      <w:tr>
        <w:trPr>
          <w:trHeight w:val="27"/>
        </w:trPr>
        <w:tc>
          <w:tcPr>
            <w:tcW w:w="8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53"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A reconciliation of the income tax benefit to the amounts computed by applying the statutory federal income tax rate to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the federal statutory rate of 35%</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96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State income taxes, net of effect of federal tax benefit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tax benefit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96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(1,483)</w:t>
            </w:r>
          </w:p>
        </w:tc>
      </w:tr>
      <w:tr>
        <w:trPr>
          <w:trHeight w:val="34"/>
        </w:trPr>
        <w:tc>
          <w:tcPr>
            <w:tcW w:w="8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13,009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26,365</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Non-cash compensations expense</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2,753</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1,825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and other assets</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45,126</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5"/>
                <w:szCs w:val="25"/>
                <w:color w:val="auto"/>
                <w:vertAlign w:val="superscript"/>
              </w:rPr>
              <w:t>(b)</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(49,674)</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(4,548)</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(4,509)</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deferred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(4,742)</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(4,678)</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right="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December 31, 2013 and 2012, the Company had pre-tax consolidated federal net operating losses ("NOLs") of $30.1 million and $24.2 million, respectively. The 2013 carryforward amount excludes $8.0 million of windfall tax benefits, which will be recorded to additional paid in capital when realized. The federal NOLs will expire between 2031 and 2033. In addition, the Company has separate state NOLs of approximately $300.7 million at December 31, 2013 that will expire at various times between 2014 and 2033.</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(4,849)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(4,694)</w:t>
            </w:r>
          </w:p>
        </w:tc>
      </w:tr>
      <w:tr>
        <w:trPr>
          <w:trHeight w:val="27"/>
        </w:trPr>
        <w:tc>
          <w:tcPr>
            <w:tcW w:w="8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(4,742)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(4,678)</w:t>
            </w:r>
          </w:p>
        </w:tc>
      </w:tr>
      <w:tr>
        <w:trPr>
          <w:trHeight w:val="27"/>
        </w:trPr>
        <w:tc>
          <w:tcPr>
            <w:tcW w:w="8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53"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 xml:space="preserve">The Company had a valuation allowance recorded at December 31, 2013 and 2012 related to the portion of tax operating loss carryforwards and other deferred tax assets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 During 2013, the valuation allowance decreased by $5.3 million to $49.7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of prior years</w:t>
            </w:r>
          </w:p>
        </w:tc>
        <w:tc>
          <w:tcPr>
            <w:tcW w:w="106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36</w:t>
            </w:r>
          </w:p>
        </w:tc>
        <w:tc>
          <w:tcPr>
            <w:tcW w:w="11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4"/>
        </w:trPr>
        <w:tc>
          <w:tcPr>
            <w:tcW w:w="8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2013 and 2012 is immaterial. There are no significant accruals for interest and penalties at December 31, 2013 and 2012.</w:t>
      </w:r>
    </w:p>
    <w:p>
      <w:pPr>
        <w:spacing w:after="0" w:line="7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December 31, 2013 and 2012, the accrual for unrecognized tax benefits, including interest, was $40,000 and $0, respectively, all of which would benefit the effective tax rate if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Tree.com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us are recorded in the period they become known. As of December 31, 2013, the Company is subject to a federal income tax examination for the tax years 2010 through 2012. In addition, the Company is subject to state and local tax examinations for the tax years 2009 through 2012.</w:t>
      </w:r>
    </w:p>
    <w:p>
      <w:pPr>
        <w:spacing w:after="0" w:line="24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was indemnified by its previous owner for any federal and/or combined state income tax liabilities resulting from years prior to the spin-off in 2008. The Joint Committee of Taxation has completed its review of IAC/InterActiveCorp's tax returns and approved the audit settlement previously agreed to with the Internal Revenue Services for the years ended December 31, 2001 through 2008. The statute of limitations for the years 2001 through 2008 expires on July 1, 2014. Various state and local jurisdictions are also currently under examination, the most significant of which are California, New York and New York City for various tax years beginning with 2006.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10—SUPPLEMENTAL CASH FLOW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Cash paid (received) by the Company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5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20"/>
                <w:szCs w:val="20"/>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576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1,308</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4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1,238</w:t>
            </w:r>
          </w:p>
        </w:tc>
      </w:tr>
      <w:tr>
        <w:trPr>
          <w:trHeight w:val="27"/>
        </w:trPr>
        <w:tc>
          <w:tcPr>
            <w:tcW w:w="36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refunds</w:t>
            </w:r>
          </w:p>
        </w:tc>
        <w:tc>
          <w:tcPr>
            <w:tcW w:w="47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453"/>
        </w:trPr>
        <w:tc>
          <w:tcPr>
            <w:tcW w:w="3600" w:type="dxa"/>
            <w:vAlign w:val="bottom"/>
            <w:tcBorders>
              <w:top w:val="single" w:sz="8" w:color="999999"/>
            </w:tcBorders>
          </w:tcPr>
          <w:p>
            <w:pPr>
              <w:spacing w:after="0"/>
              <w:rPr>
                <w:sz w:val="24"/>
                <w:szCs w:val="24"/>
                <w:color w:val="auto"/>
              </w:rPr>
            </w:pPr>
          </w:p>
        </w:tc>
        <w:tc>
          <w:tcPr>
            <w:tcW w:w="4740" w:type="dxa"/>
            <w:vAlign w:val="bottom"/>
            <w:tcBorders>
              <w:top w:val="single" w:sz="8" w:color="999999"/>
            </w:tcBorders>
          </w:tcPr>
          <w:p>
            <w:pPr>
              <w:jc w:val="right"/>
              <w:ind w:right="2453"/>
              <w:spacing w:after="0"/>
              <w:rPr>
                <w:sz w:val="20"/>
                <w:szCs w:val="20"/>
                <w:color w:val="auto"/>
              </w:rPr>
            </w:pPr>
            <w:r>
              <w:rPr>
                <w:rFonts w:ascii="Arial" w:cs="Arial" w:eastAsia="Arial" w:hAnsi="Arial"/>
                <w:sz w:val="18"/>
                <w:szCs w:val="18"/>
                <w:color w:val="auto"/>
              </w:rPr>
              <w:t>52</w:t>
            </w:r>
          </w:p>
        </w:tc>
        <w:tc>
          <w:tcPr>
            <w:tcW w:w="1020" w:type="dxa"/>
            <w:vAlign w:val="bottom"/>
            <w:tcBorders>
              <w:top w:val="single" w:sz="8" w:color="999999"/>
            </w:tcBorders>
          </w:tcPr>
          <w:p>
            <w:pPr>
              <w:spacing w:after="0"/>
              <w:rPr>
                <w:sz w:val="24"/>
                <w:szCs w:val="24"/>
                <w:color w:val="auto"/>
              </w:rPr>
            </w:pPr>
          </w:p>
        </w:tc>
        <w:tc>
          <w:tcPr>
            <w:tcW w:w="520" w:type="dxa"/>
            <w:vAlign w:val="bottom"/>
            <w:tcBorders>
              <w:top w:val="single" w:sz="8" w:color="999999"/>
            </w:tcBorders>
          </w:tcPr>
          <w:p>
            <w:pPr>
              <w:spacing w:after="0"/>
              <w:rPr>
                <w:sz w:val="24"/>
                <w:szCs w:val="24"/>
                <w:color w:val="auto"/>
              </w:rPr>
            </w:pPr>
          </w:p>
        </w:tc>
        <w:tc>
          <w:tcPr>
            <w:tcW w:w="1000" w:type="dxa"/>
            <w:vAlign w:val="bottom"/>
            <w:tcBorders>
              <w:top w:val="single" w:sz="8" w:color="999999"/>
            </w:tcBorders>
          </w:tcPr>
          <w:p>
            <w:pPr>
              <w:spacing w:after="0"/>
              <w:rPr>
                <w:sz w:val="24"/>
                <w:szCs w:val="24"/>
                <w:color w:val="auto"/>
              </w:rPr>
            </w:pPr>
          </w:p>
        </w:tc>
        <w:tc>
          <w:tcPr>
            <w:tcW w:w="540" w:type="dxa"/>
            <w:vAlign w:val="bottom"/>
            <w:tcBorders>
              <w:top w:val="single" w:sz="8" w:color="999999"/>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leases office space, equipment and services used in connection with its operations under various operating leases, many of which contain escalation clauses. The Company's primary operating leases relate to our office space in Charlotte, North Carolina and Burlingame, California, each of which expire in 2015.</w:t>
      </w:r>
    </w:p>
    <w:p>
      <w:pPr>
        <w:spacing w:after="0" w:line="7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2013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jc w:val="center"/>
              <w:ind w:right="5112"/>
              <w:spacing w:after="0"/>
              <w:rPr>
                <w:sz w:val="20"/>
                <w:szCs w:val="20"/>
                <w:color w:val="auto"/>
              </w:rPr>
            </w:pPr>
            <w:r>
              <w:rPr>
                <w:rFonts w:ascii="Arial" w:cs="Arial" w:eastAsia="Arial" w:hAnsi="Arial"/>
                <w:sz w:val="18"/>
                <w:szCs w:val="18"/>
                <w:color w:val="auto"/>
                <w:w w:val="89"/>
              </w:rPr>
              <w:t>2014</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w:t>
            </w:r>
          </w:p>
        </w:tc>
      </w:tr>
      <w:tr>
        <w:trPr>
          <w:trHeight w:val="243"/>
        </w:trPr>
        <w:tc>
          <w:tcPr>
            <w:tcW w:w="5920" w:type="dxa"/>
            <w:vAlign w:val="bottom"/>
          </w:tcPr>
          <w:p>
            <w:pPr>
              <w:jc w:val="center"/>
              <w:ind w:right="5112"/>
              <w:spacing w:after="0"/>
              <w:rPr>
                <w:sz w:val="20"/>
                <w:szCs w:val="20"/>
                <w:color w:val="auto"/>
              </w:rPr>
            </w:pPr>
            <w:r>
              <w:rPr>
                <w:rFonts w:ascii="Arial" w:cs="Arial" w:eastAsia="Arial" w:hAnsi="Arial"/>
                <w:sz w:val="18"/>
                <w:szCs w:val="18"/>
                <w:color w:val="auto"/>
                <w:w w:val="89"/>
              </w:rPr>
              <w:t>2015</w:t>
            </w:r>
          </w:p>
        </w:tc>
        <w:tc>
          <w:tcPr>
            <w:tcW w:w="4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1,003</w:t>
            </w:r>
          </w:p>
        </w:tc>
      </w:tr>
      <w:tr>
        <w:trPr>
          <w:trHeight w:val="27"/>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1"/>
        </w:trPr>
        <w:tc>
          <w:tcPr>
            <w:tcW w:w="5920" w:type="dxa"/>
            <w:vAlign w:val="bottom"/>
            <w:tcBorders>
              <w:bottom w:val="single" w:sz="8" w:color="auto"/>
            </w:tcBorders>
            <w:shd w:val="clear" w:color="auto" w:fill="CCEEFF"/>
          </w:tcPr>
          <w:p>
            <w:pPr>
              <w:jc w:val="center"/>
              <w:ind w:right="5172"/>
              <w:spacing w:after="0" w:line="264" w:lineRule="exact"/>
              <w:rPr>
                <w:sz w:val="20"/>
                <w:szCs w:val="20"/>
                <w:color w:val="auto"/>
              </w:rPr>
            </w:pPr>
            <w:r>
              <w:rPr>
                <w:rFonts w:ascii="Arial" w:cs="Arial" w:eastAsia="Arial" w:hAnsi="Arial"/>
                <w:sz w:val="18"/>
                <w:szCs w:val="18"/>
                <w:b w:val="1"/>
                <w:bCs w:val="1"/>
                <w:color w:val="auto"/>
                <w:w w:val="84"/>
              </w:rPr>
              <w:t xml:space="preserve">Total </w:t>
            </w:r>
            <w:r>
              <w:rPr>
                <w:rFonts w:ascii="Arial" w:cs="Arial" w:eastAsia="Arial" w:hAnsi="Arial"/>
                <w:sz w:val="25"/>
                <w:szCs w:val="25"/>
                <w:b w:val="1"/>
                <w:bCs w:val="1"/>
                <w:color w:val="auto"/>
                <w:w w:val="84"/>
                <w:vertAlign w:val="superscript"/>
              </w:rPr>
              <w:t>(a)</w:t>
            </w:r>
          </w:p>
        </w:tc>
        <w:tc>
          <w:tcPr>
            <w:tcW w:w="4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2,812</w:t>
            </w:r>
          </w:p>
        </w:tc>
      </w:tr>
    </w:tbl>
    <w:p>
      <w:pPr>
        <w:spacing w:after="0" w:line="148" w:lineRule="exact"/>
        <w:rPr>
          <w:sz w:val="20"/>
          <w:szCs w:val="20"/>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subleases certain of its office space to third parties. These future minimum payments have not been reduced by the $0.4 million of minimum sublease rental income to be received in the future under non-cancelable subleases.</w:t>
      </w:r>
    </w:p>
    <w:p>
      <w:pPr>
        <w:spacing w:after="0" w:line="62"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Rental expense for all operating leases, except those with terms of a month or less that were not renewed, charged to continuing operations was $1.3 million and $1.1 million, net of $18,000 and $42,000 sublease rental income, for each of the years ended December 31, 2013 and 2012, respectively, and a majority of which is included in general and administrative expense in the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3"/>
          </w:tcPr>
          <w:p>
            <w:pPr>
              <w:jc w:val="center"/>
              <w:ind w:left="817"/>
              <w:spacing w:after="0"/>
              <w:rPr>
                <w:sz w:val="20"/>
                <w:szCs w:val="20"/>
                <w:color w:val="auto"/>
              </w:rPr>
            </w:pPr>
            <w:r>
              <w:rPr>
                <w:rFonts w:ascii="Arial" w:cs="Arial" w:eastAsia="Arial" w:hAnsi="Arial"/>
                <w:sz w:val="16"/>
                <w:szCs w:val="16"/>
                <w:b w:val="1"/>
                <w:bCs w:val="1"/>
                <w:color w:val="auto"/>
                <w:w w:val="92"/>
              </w:rPr>
              <w:t>Commitments Due By Period</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0"/>
              </w:rPr>
              <w:t>Less Than</w:t>
            </w: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ind w:right="176"/>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5"/>
              </w:rPr>
              <w:t>1 year</w:t>
            </w:r>
          </w:p>
        </w:tc>
        <w:tc>
          <w:tcPr>
            <w:tcW w:w="380" w:type="dxa"/>
            <w:vAlign w:val="bottom"/>
          </w:tcPr>
          <w:p>
            <w:pPr>
              <w:spacing w:after="0"/>
              <w:rPr>
                <w:sz w:val="18"/>
                <w:szCs w:val="18"/>
                <w:color w:val="auto"/>
              </w:rPr>
            </w:pPr>
          </w:p>
        </w:tc>
        <w:tc>
          <w:tcPr>
            <w:tcW w:w="1600" w:type="dxa"/>
            <w:vAlign w:val="bottom"/>
          </w:tcPr>
          <w:p>
            <w:pPr>
              <w:jc w:val="center"/>
              <w:ind w:right="614"/>
              <w:spacing w:after="0"/>
              <w:rPr>
                <w:sz w:val="20"/>
                <w:szCs w:val="20"/>
                <w:color w:val="auto"/>
              </w:rPr>
            </w:pPr>
            <w:r>
              <w:rPr>
                <w:rFonts w:ascii="Arial" w:cs="Arial" w:eastAsia="Arial" w:hAnsi="Arial"/>
                <w:sz w:val="16"/>
                <w:szCs w:val="16"/>
                <w:b w:val="1"/>
                <w:bCs w:val="1"/>
                <w:color w:val="auto"/>
                <w:w w:val="89"/>
              </w:rPr>
              <w:t>1-3 years</w:t>
            </w:r>
          </w:p>
        </w:tc>
        <w:tc>
          <w:tcPr>
            <w:tcW w:w="1520" w:type="dxa"/>
            <w:vAlign w:val="bottom"/>
          </w:tcPr>
          <w:p>
            <w:pPr>
              <w:ind w:left="120"/>
              <w:spacing w:after="0"/>
              <w:rPr>
                <w:sz w:val="20"/>
                <w:szCs w:val="20"/>
                <w:color w:val="auto"/>
              </w:rPr>
            </w:pPr>
            <w:r>
              <w:rPr>
                <w:rFonts w:ascii="Arial" w:cs="Arial" w:eastAsia="Arial" w:hAnsi="Arial"/>
                <w:sz w:val="16"/>
                <w:szCs w:val="16"/>
                <w:b w:val="1"/>
                <w:bCs w:val="1"/>
                <w:color w:val="auto"/>
              </w:rPr>
              <w:t>3-5 years</w:t>
            </w:r>
          </w:p>
        </w:tc>
        <w:tc>
          <w:tcPr>
            <w:tcW w:w="124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Surety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4,458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4,458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Tree.com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31, 2013 and 2012, the Company has a litigation settlement accrual of $0.5 million and $0.5 million, respectively. The litigation settlement accrual relates to litigation matters that were either settled or a firm offer for settlement was extended, thereby establishing an accrual amount that is both probable and reasonably estimable.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the Company, including the assertion by certain of the defendants of counterclaims alleging illegal monopolization via our maintenance of the asserted patents.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This matter went to trial beginning in February 2014, and on March 12, 2014, the jury returned a verdict. The jury found that the defendants Zillow, Inc., Adchemy, Inc., and NexTag, Inc. did not infringe the two patents referenced above and determined that those patents are invalid due to inventorship defects. The jury found in the Company’s favor on the defendants' counterclaims alleging inequitable conduct and antitrust violations. As of March 13, 2014, a formal judgment had not yet been entered in the case and certain issues not before the jury remain to be resolved. The Company believes it have strong grounds for appeal; however, the Company has not yet determined what actions it will take with respect to the verdict or the findings of patent invalidity. The verdict will not impact the Company’s ability to offer its current suite of products and services, and the Company does not expect the verdict to affect its business prospects.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Internet Patents Corporation f/k/a InsWeb v. Tree.com, Inc., No. C-12-6505 (U.S. Dist. Ct., N.D. Cal.). </w:t>
      </w:r>
      <w:r>
        <w:rPr>
          <w:rFonts w:ascii="Arial" w:cs="Arial" w:eastAsia="Arial" w:hAnsi="Arial"/>
          <w:sz w:val="18"/>
          <w:szCs w:val="18"/>
          <w:color w:val="auto"/>
        </w:rPr>
        <w:t>In December 2012, the plaintiff filed a patent</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infringes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The Company believes the plaintiff's allegations lack merit and intends to defend against this action vigorously.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The Money Suite Company v. LendingTree, LLC, No. 1:13-ev-986 (U.S. Dist. Ct, D Del.). </w:t>
      </w:r>
      <w:r>
        <w:rPr>
          <w:rFonts w:ascii="Arial" w:cs="Arial" w:eastAsia="Arial" w:hAnsi="Arial"/>
          <w:sz w:val="18"/>
          <w:szCs w:val="18"/>
          <w:color w:val="auto"/>
        </w:rPr>
        <w:t>In June 2013, the plaintiff filed a patent infringement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LLC ("LendingTree") seeking a judgment that it infringed a patent held by plaintiff. The plaintiff alleges that LendingTree infringes U.S. Patent No. 6,684,189 for "an apparatus and method using front end network gateways and search criteria for efficient quoting at a remote location". The plaintiff seeks damages (including pre- and post- judgment interest thereon), costs and attorneys' fees. In December 2013, the court stayed this case pending review of the patent by the United States Patent and Trademark Office. The Company believes the plaintiff's allegations lack merit and intends to defend against this action vigorously.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3" w:right="23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Boschma</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Boschma v. Home Loan Center, Inc., No. SACV7-613 (U.S. Dist. Ct., C.D. Cal.). </w:t>
      </w:r>
      <w:r>
        <w:rPr>
          <w:rFonts w:ascii="Arial" w:cs="Arial" w:eastAsia="Arial" w:hAnsi="Arial"/>
          <w:sz w:val="17"/>
          <w:szCs w:val="17"/>
          <w:color w:val="auto"/>
        </w:rPr>
        <w:t>On May 25, 2007, the plaintiffs filed this putative class action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Home Loan Center, Inc. ("HLC")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an option ARM loan through HLC on their primary residence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2013, the parties agreed to a $450,000 settlement, which was approved in 2013. A nominal payment into the settlement fund was made in late 2013. The Company expects administration of the settlement to be completed by the third quarter of 2014. A provision for the remaining $435,000 is included in current liabilities of discontinued operations at December 31, 2013. The impact of the settlement was not material.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Store, Inc.</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i w:val="1"/>
          <w:iCs w:val="1"/>
          <w:color w:val="auto"/>
        </w:rPr>
        <w:t xml:space="preserve">Mortgage Store, Inc. v. LendingTree Loans d/b/a Home Loan Center, Inc., No. 6CC250 (Cal. Super. Ct., Orange Cty.). </w:t>
      </w:r>
      <w:r>
        <w:rPr>
          <w:rFonts w:ascii="Arial" w:cs="Arial" w:eastAsia="Arial" w:hAnsi="Arial"/>
          <w:sz w:val="16"/>
          <w:szCs w:val="16"/>
          <w:color w:val="auto"/>
        </w:rPr>
        <w:t>On November 30, 2006, The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Store, Inc. and Castleview Home Loans, Inc. filed this putative class action against HLC in the California Superior Court for Orange County. The plaintiffs, two former network lenders, alleged that HLC interfered with LendingTree's contracts with network lenders by taking referrals from LendingTree without adequately disclosing the relationship between them and that HLC charged the plaintiffs higher rates and fees than they otherwise would have been charged. Based upon these factual allegations, the plaintiffs assert claims for intentional interference with contractual relations, intentional interference with prospective economic advantage, and violation of the California Unfair Competition Law and California Business and Professions Code §17500. The plaintiffs purport to represent all network lenders from December 14, 2004 to date, and seek damages, restitution, attorneys' fees and punitive damages.</w:t>
      </w:r>
    </w:p>
    <w:p>
      <w:pPr>
        <w:spacing w:after="0" w:line="5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plaintiffs' motion for class certification was granted April 29, 2010. On October 17, 2011, the court granted HLC's motion for summary judgment. Judgment was entered in favor of HLC on April 9, 2012. On June 15, 2012, the plaintiffs filed a Notice of Appeal. The plaintiffs filed their opening appellate brief on December 17, 2012. The Company filed its opposition to the plaintiffs' appellate brief in April 2013. Oral arguments were heard on this matter on September 25, 2013. On December 11, 2013, the Court of Appeal affirmed the grant of summary judgment in favor of HLC and the time for plaintiffs to further appeal such decision has expired.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Lijkel Dijkstra v. Harry Carenbauer, Home Loan Center, Inc. et al., No. 5:11-cv-152-JPB (U.S. Dist. Ct., N.D.WV). </w:t>
      </w:r>
      <w:r>
        <w:rPr>
          <w:rFonts w:ascii="Arial" w:cs="Arial" w:eastAsia="Arial" w:hAnsi="Arial"/>
          <w:sz w:val="17"/>
          <w:szCs w:val="17"/>
          <w:color w:val="auto"/>
        </w:rPr>
        <w:t>On November 7, 2008, the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filed this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553" w:right="2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the practice of law in West Virginia. On February 26,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have reached a tentative settlement agreement with respect to the remaining Individual Claims. The trial for the Class Claims has not yet been scheduled by the court. The Company believes that the plaintiffs' allegations lack merit and intends to defend against this action vigorously.</w:t>
      </w:r>
    </w:p>
    <w:p>
      <w:pPr>
        <w:spacing w:after="0" w:line="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range of possible loss is estimated to be between $0.6 million and $1.95 million, of which some or all may be covered by insurance. A reserve of $0.6 million and a corresponding insurance recoverable of $0.5 million have been established for this matter in the consolidated balance sheet as of December 31,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February 11, 2011, the Massachusetts Division of Banks (the "Division") delivered a Report of Examination/Inspection to LendingTree, which identified various alleged violations of Massachusetts and federal laws, including the alleged insufficient delivery by LendingTree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would enter into the Consent Agreement and Order, they would agree not to pursue any analogous allegations that they otherwise might assert. As of March 14, 2014, none of the Joining Regulators have asserted any such allegations.</w:t>
      </w:r>
    </w:p>
    <w:p>
      <w:pPr>
        <w:spacing w:after="0" w:line="70" w:lineRule="exact"/>
        <w:rPr>
          <w:sz w:val="20"/>
          <w:szCs w:val="20"/>
          <w:color w:val="auto"/>
        </w:rPr>
      </w:pPr>
    </w:p>
    <w:p>
      <w:pPr>
        <w:ind w:right="20" w:firstLine="366"/>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to adopt various new procedures and practices. The Company has commenced negotiations toward an acceptable Consent Agreement and Order. It does not believe its mortgage exchange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consolidated balance sheet as of December 31,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17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On November 7, 2012, the audit committee, compensation committee and board of directors approved an early redemption of 2,097.67 outstanding shares of Series A Redeemable Preferred Stock of the Company's wholly-owned subsidiary LendingTree Holdings Corp. owned by the Chairman and CEO, including all accrued dividends, for $3.3 million in cash. The redemption closed on November 30, 2012. The redemption value of the preferred stock was determined in part based on a valuation of the discounted remaining dividend stream through the mandatory redemption date of August 20, 2013.</w:t>
      </w:r>
    </w:p>
    <w:p>
      <w:pPr>
        <w:spacing w:after="0" w:line="10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During 2013, the Company made a contribution of $0.4 million to an educational trust. The Company's Chairman and CEO is the trustee. However, he will not receive compensation as trustee and neither he nor any of his family members are entitled to distributions from the trust.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14—BENEFIT PLANS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$17,500 for 2013 and $17,000 for 2012).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Tree.com stock is not included in the available investment options or the plan assets. Funds contributed to the plan vest according to the participant's years of service, with less than three years of service vesting at 0%, and three years or more of service vesting at 100%. Matching contributions were approximately $0.2 million and $0.3 million for the years ended December 31, 2013 and 2012,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53"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15—RESTRUCTURING EXPENSE</w:t>
      </w:r>
    </w:p>
    <w:p>
      <w:pPr>
        <w:spacing w:after="0" w:line="17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 xml:space="preserve">Accrued restructuring liabilities primarily relate to lease obligations for call center leases exited in 2010, which are expected to be completed by 2015, and severance for headcount reductions in corporate infrastructure departments. Restructuring expense and payments against liabilities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92"/>
              </w:rPr>
              <w:t>Employee</w:t>
            </w:r>
          </w:p>
        </w:tc>
        <w:tc>
          <w:tcPr>
            <w:tcW w:w="320" w:type="dxa"/>
            <w:vAlign w:val="bottom"/>
          </w:tcPr>
          <w:p>
            <w:pPr>
              <w:spacing w:after="0"/>
              <w:rPr>
                <w:sz w:val="17"/>
                <w:szCs w:val="17"/>
                <w:color w:val="auto"/>
              </w:rPr>
            </w:pPr>
          </w:p>
        </w:tc>
        <w:tc>
          <w:tcPr>
            <w:tcW w:w="1280" w:type="dxa"/>
            <w:vAlign w:val="bottom"/>
          </w:tcPr>
          <w:p>
            <w:pPr>
              <w:jc w:val="center"/>
              <w:ind w:right="173"/>
              <w:spacing w:after="0"/>
              <w:rPr>
                <w:sz w:val="20"/>
                <w:szCs w:val="20"/>
                <w:color w:val="auto"/>
              </w:rPr>
            </w:pPr>
            <w:r>
              <w:rPr>
                <w:rFonts w:ascii="Arial" w:cs="Arial" w:eastAsia="Arial" w:hAnsi="Arial"/>
                <w:sz w:val="16"/>
                <w:szCs w:val="16"/>
                <w:b w:val="1"/>
                <w:bCs w:val="1"/>
                <w:color w:val="auto"/>
                <w:w w:val="92"/>
              </w:rPr>
              <w:t>Continuing</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93"/>
              </w:rPr>
              <w:t>Termination</w:t>
            </w:r>
          </w:p>
        </w:tc>
        <w:tc>
          <w:tcPr>
            <w:tcW w:w="320" w:type="dxa"/>
            <w:vAlign w:val="bottom"/>
          </w:tcPr>
          <w:p>
            <w:pPr>
              <w:spacing w:after="0"/>
              <w:rPr>
                <w:sz w:val="17"/>
                <w:szCs w:val="17"/>
                <w:color w:val="auto"/>
              </w:rPr>
            </w:pPr>
          </w:p>
        </w:tc>
        <w:tc>
          <w:tcPr>
            <w:tcW w:w="1280" w:type="dxa"/>
            <w:vAlign w:val="bottom"/>
          </w:tcPr>
          <w:p>
            <w:pPr>
              <w:jc w:val="center"/>
              <w:ind w:right="193"/>
              <w:spacing w:after="0"/>
              <w:rPr>
                <w:sz w:val="20"/>
                <w:szCs w:val="20"/>
                <w:color w:val="auto"/>
              </w:rPr>
            </w:pPr>
            <w:r>
              <w:rPr>
                <w:rFonts w:ascii="Arial" w:cs="Arial" w:eastAsia="Arial" w:hAnsi="Arial"/>
                <w:sz w:val="16"/>
                <w:szCs w:val="16"/>
                <w:b w:val="1"/>
                <w:bCs w:val="1"/>
                <w:color w:val="auto"/>
                <w:w w:val="88"/>
              </w:rPr>
              <w:t>Lease</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85"/>
              </w:rPr>
              <w:t>Costs</w:t>
            </w:r>
          </w:p>
        </w:tc>
        <w:tc>
          <w:tcPr>
            <w:tcW w:w="320" w:type="dxa"/>
            <w:vAlign w:val="bottom"/>
          </w:tcPr>
          <w:p>
            <w:pPr>
              <w:spacing w:after="0"/>
              <w:rPr>
                <w:sz w:val="18"/>
                <w:szCs w:val="18"/>
                <w:color w:val="auto"/>
              </w:rPr>
            </w:pPr>
          </w:p>
        </w:tc>
        <w:tc>
          <w:tcPr>
            <w:tcW w:w="128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Obligations</w:t>
            </w:r>
          </w:p>
        </w:tc>
        <w:tc>
          <w:tcPr>
            <w:tcW w:w="400" w:type="dxa"/>
            <w:vAlign w:val="bottom"/>
          </w:tcPr>
          <w:p>
            <w:pPr>
              <w:spacing w:after="0"/>
              <w:rPr>
                <w:sz w:val="18"/>
                <w:szCs w:val="18"/>
                <w:color w:val="auto"/>
              </w:rPr>
            </w:pPr>
          </w:p>
        </w:tc>
        <w:tc>
          <w:tcPr>
            <w:tcW w:w="1180" w:type="dxa"/>
            <w:vAlign w:val="bottom"/>
          </w:tcPr>
          <w:p>
            <w:pPr>
              <w:jc w:val="right"/>
              <w:ind w:right="471"/>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income</w:t>
            </w:r>
          </w:p>
        </w:tc>
        <w:tc>
          <w:tcPr>
            <w:tcW w:w="2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906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906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462</w:t>
            </w:r>
          </w:p>
        </w:tc>
      </w:tr>
      <w:tr>
        <w:trPr>
          <w:trHeight w:val="27"/>
        </w:trPr>
        <w:tc>
          <w:tcPr>
            <w:tcW w:w="5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December 31, 2013, restructuring liabilities of $0.3 million are included in accrued expenses and other current liabilities and $0.2 million are included in other long-term liabilities in the accompanying consolidated balance sheet. At December 31, 2012, restructuring liabilities of $0.4 million are included in accrued expenses and other current liabilities and $0.5 million are included in other long-term liabilities in the accompanying consolidated balance sheet. We do not expect to incur significant additional costs related to the restructuring noted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 The Company exited all markets by March 31, 2011. In September 2011, the remaining assets of RealEstate.com were sold, which consisted primarily of internet domain names and trademarks. Accordingly, these real estate businesses are presented as discontinued operations in the accompanying consolidated financial statements for all periods presented. No significant future cash flows are anticipated from the disposition of this business.</w:t>
      </w:r>
    </w:p>
    <w:p>
      <w:pPr>
        <w:spacing w:after="0" w:line="8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 xml:space="preserve">The revenue and net loss for the real estate businesses that are reported as discontinued operations in the accompanying consolidated statements of operations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r>
      <w:tr>
        <w:trPr>
          <w:trHeight w:val="282"/>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r>
      <w:tr>
        <w:trPr>
          <w:trHeight w:val="324"/>
        </w:trPr>
        <w:tc>
          <w:tcPr>
            <w:tcW w:w="8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before income taxes </w:t>
            </w:r>
            <w:r>
              <w:rPr>
                <w:rFonts w:ascii="Arial" w:cs="Arial" w:eastAsia="Arial" w:hAnsi="Arial"/>
                <w:sz w:val="25"/>
                <w:szCs w:val="25"/>
                <w:color w:val="auto"/>
                <w:vertAlign w:val="superscript"/>
              </w:rPr>
              <w:t>(a)</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r>
      <w:tr>
        <w:trPr>
          <w:trHeight w:val="27"/>
        </w:trPr>
        <w:tc>
          <w:tcPr>
            <w:tcW w:w="8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loss before income taxes for the year ended December 31, 2012 includes restructuring expense of $0.2 million.</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The liabilities of real estate businesses that are reported as discontinued operations in the accompanying consolidated balance sheets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December 31, 2013</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2012</w:t>
            </w: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r>
      <w:tr>
        <w:trPr>
          <w:trHeight w:val="34"/>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53" w:right="2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May 12, 2011, the Company entered into an asset purchase agreement, later amended on February 7, 2012, that provided for the sale of substantially all of the operating assets of its LendingTree Loans business to Discover. The sale was completed on June 6, 2012. Discover has participated as a network lender since closing of the transaction. 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agreed to indemnify Discover for a breach or inaccuracy of any representation, warranty or covenant made by it in the asset purchase agreement, for any liability of LendingTree Loans that was not assumed, for any claims by its stockholders against Discover and for its failure to comply with any applicable bulk sales law, subject to certain limitations. Discover submitted a claim for indemnification relating to the sale prior to the closing of certain loans that were listed in the asset purchase agreement as to be conveyed to Discover at closing. In May 2013, this indemnification claim and other miscellaneous items were settled by agreeing to credit Discover for $1.3 million in future services. A majority of these credits were applied against services during the year ended December 31, 2013. The remaining liability for future services is included in current liabilities of discontinued operations in the accompanying consolidated balance sheet at December 31, 2013.</w:t>
      </w:r>
    </w:p>
    <w:p>
      <w:pPr>
        <w:spacing w:after="0" w:line="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The revenue and net income (loss) for LendingTree Loans that are reported as discontinued operations in the accompanying consolidated statements of operations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82"/>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(1,521)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86,740</w:t>
            </w:r>
          </w:p>
        </w:tc>
      </w:tr>
      <w:tr>
        <w:trPr>
          <w:trHeight w:val="324"/>
        </w:trPr>
        <w:tc>
          <w:tcPr>
            <w:tcW w:w="8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5"/>
                <w:szCs w:val="25"/>
                <w:color w:val="auto"/>
                <w:vertAlign w:val="superscript"/>
              </w:rPr>
              <w:t>(a)</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(4,867)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26,160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24,373</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tcBorders>
          </w:tcPr>
          <w:p>
            <w:pPr>
              <w:jc w:val="right"/>
              <w:ind w:right="697"/>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4,640</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49,284</w:t>
            </w:r>
          </w:p>
        </w:tc>
      </w:tr>
      <w:tr>
        <w:trPr>
          <w:trHeight w:val="34"/>
        </w:trPr>
        <w:tc>
          <w:tcPr>
            <w:tcW w:w="8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before income taxes for the year ended December 31, 2012 includes goodwill and intangible asset impairment charges of $1.4 million and restructuring expense totaling $0.1 million.</w:t>
      </w:r>
    </w:p>
    <w:p>
      <w:pPr>
        <w:spacing w:after="0" w:line="6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 xml:space="preserve">The assets and liabilities of LendingTree Loans that are reported as discontinued operations in the accompanying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2013</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129</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(31,959)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(31,563)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(30,528)</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which has been completed, paying off and then terminating the warehouse lines of credit, which occurred on July 21, 2012, and settling derivative obligations, which has been completed. Liability for losses on previously sold loans will remain with LendingTree Loans. Below is a discussion of these significant items.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53"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LendingTree Loans originated all of its residential real estate loans with the intent to sell them in the secondary market. Loans held for sale consisted primarily of residential first mortgage loans that were secured by residential real estate throughout the United States.</w:t>
      </w:r>
    </w:p>
    <w:p>
      <w:pPr>
        <w:spacing w:after="0" w:line="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Loans held for sale were recorded at fair value, with the exception of any loans that had been repurchased from investors or loans originated prior to January 1, 2008 on which LendingTree Loans did not elect the fair value option. The fair value of loans held for sale was determined using current secondary market prices for loans with similar coupons, maturities and credit quality.</w:t>
      </w:r>
    </w:p>
    <w:p>
      <w:pPr>
        <w:spacing w:after="0" w:line="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on mortgage loans held for sale was recognized as earned and was only accrued if deemed collectible. Interest was generally deemed uncollectible when a loan became three months or more delinquent or when a loan had a defect affecting its saleability. Delinquency was calculated based on the contractual due date of the loan. Loans were written off when deemed uncollectible.</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were no loans held for sale as of December 31, 2013. As of December 31, 2012, LendingTree Loans maintained one loan with a principal amount of $0.4 million, which has a full offsetting reserve for uncollectibility.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2012, LendingTree Loans repurchased two loans with a total unpaid principal balance of $0.7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6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6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LendingTree Loans entered into commitments with consumers to originate loans at specified interest rates (interest rate lock commitments—"IRLCs"). IRLCs were reported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loan-level to consider the servicing-release premium and loan pricing adjustments specific to each loan. Effective January 1, 2012, LendingTree Loans began valuing IRLCs for loans sold to investors on a best-efforts basis using quantitative risk models on a loan level basis. The decision to modify the valuation calculation for IRLCs for loans sold on a best-efforts basis evolved from a desire to achieve principally two goals: 1) to include this portion of the IRLCs into the main operating system LendingTree Loans used for fair value (known as QRM), allowing it to improve its estimate of loan funding probability and 2) to include elements of the all-in fair value that the Company could not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December 31, 2013 and 2012, there are no IRLCs outstanding.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53"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became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6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were no assets and liabilities that are measured at fair value on a recurring basis at December 31, 2013 and 2012; however, there were during the year ended December 31, 2012.</w:t>
      </w:r>
    </w:p>
    <w:p>
      <w:pPr>
        <w:spacing w:after="0" w:line="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The changes in assets and liabilities that are measured at fair value on a recurring basis using significant unobservable inputs (Level 3) during the year ended December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5"/>
              </w:rPr>
              <w:t>Interest Rate Lock</w:t>
            </w:r>
          </w:p>
        </w:tc>
        <w:tc>
          <w:tcPr>
            <w:tcW w:w="200" w:type="dxa"/>
            <w:vAlign w:val="bottom"/>
          </w:tcPr>
          <w:p>
            <w:pPr>
              <w:spacing w:after="0"/>
              <w:rPr>
                <w:sz w:val="13"/>
                <w:szCs w:val="13"/>
                <w:color w:val="auto"/>
              </w:rPr>
            </w:pPr>
          </w:p>
        </w:tc>
        <w:tc>
          <w:tcPr>
            <w:tcW w:w="13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6"/>
              </w:rPr>
              <w:t>Forward Delivery</w:t>
            </w:r>
          </w:p>
        </w:tc>
        <w:tc>
          <w:tcPr>
            <w:tcW w:w="320" w:type="dxa"/>
            <w:vAlign w:val="bottom"/>
          </w:tcPr>
          <w:p>
            <w:pPr>
              <w:spacing w:after="0"/>
              <w:rPr>
                <w:sz w:val="13"/>
                <w:szCs w:val="13"/>
                <w:color w:val="auto"/>
              </w:rPr>
            </w:pPr>
          </w:p>
        </w:tc>
        <w:tc>
          <w:tcPr>
            <w:tcW w:w="12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Loans Held</w:t>
            </w:r>
          </w:p>
        </w:tc>
      </w:tr>
      <w:tr>
        <w:trPr>
          <w:trHeight w:val="192"/>
        </w:trPr>
        <w:tc>
          <w:tcPr>
            <w:tcW w:w="53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Commitments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Contracts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for Sale</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2012</w:t>
            </w: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564</w:t>
            </w: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w w:val="94"/>
              </w:rPr>
              <w:t>Total net gains (losses) included in earnings (realized and unrealized)</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73,378</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846</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of IRLCs to closed loans</w:t>
            </w:r>
          </w:p>
        </w:tc>
        <w:tc>
          <w:tcPr>
            <w:tcW w:w="1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(73,459)</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r>
      <w:tr>
        <w:trPr>
          <w:trHeight w:val="34"/>
        </w:trPr>
        <w:tc>
          <w:tcPr>
            <w:tcW w:w="5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59"/>
        </w:trPr>
        <w:tc>
          <w:tcPr>
            <w:tcW w:w="5320" w:type="dxa"/>
            <w:vAlign w:val="bottom"/>
          </w:tcPr>
          <w:p>
            <w:pPr>
              <w:spacing w:after="0"/>
              <w:rPr>
                <w:sz w:val="24"/>
                <w:szCs w:val="24"/>
                <w:color w:val="auto"/>
              </w:rPr>
            </w:pPr>
          </w:p>
        </w:tc>
        <w:tc>
          <w:tcPr>
            <w:tcW w:w="1420" w:type="dxa"/>
            <w:vAlign w:val="bottom"/>
          </w:tcPr>
          <w:p>
            <w:pPr>
              <w:jc w:val="right"/>
              <w:ind w:right="85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00"/>
          </w:cols>
          <w:pgMar w:left="240" w:top="553"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firstLine="366"/>
        <w:spacing w:after="0" w:line="277" w:lineRule="auto"/>
        <w:rPr>
          <w:sz w:val="20"/>
          <w:szCs w:val="20"/>
          <w:color w:val="auto"/>
        </w:rPr>
      </w:pPr>
      <w:r>
        <w:rPr>
          <w:rFonts w:ascii="Arial" w:cs="Arial" w:eastAsia="Arial" w:hAnsi="Arial"/>
          <w:sz w:val="18"/>
          <w:szCs w:val="18"/>
          <w:color w:val="auto"/>
        </w:rPr>
        <w:t xml:space="preserve">The following presents the gains (losses) included in earnings for the year ended December 31, 2012 relating to assets and liabilities that are measured at fair value on a recurring basis using significant unobservable inputs (Level 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2"/>
              </w:rPr>
              <w:t>Year Ended December 31, 2012</w:t>
            </w:r>
          </w:p>
        </w:tc>
        <w:tc>
          <w:tcPr>
            <w:tcW w:w="116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94"/>
              </w:rPr>
              <w:t>Interest Rate</w:t>
            </w:r>
          </w:p>
        </w:tc>
        <w:tc>
          <w:tcPr>
            <w:tcW w:w="500" w:type="dxa"/>
            <w:vAlign w:val="bottom"/>
          </w:tcPr>
          <w:p>
            <w:pPr>
              <w:spacing w:after="0"/>
              <w:rPr>
                <w:sz w:val="13"/>
                <w:szCs w:val="13"/>
                <w:color w:val="auto"/>
              </w:rPr>
            </w:pPr>
          </w:p>
        </w:tc>
        <w:tc>
          <w:tcPr>
            <w:tcW w:w="1220" w:type="dxa"/>
            <w:vAlign w:val="bottom"/>
          </w:tcPr>
          <w:p>
            <w:pPr>
              <w:jc w:val="center"/>
              <w:ind w:right="201"/>
              <w:spacing w:after="0" w:line="153" w:lineRule="exact"/>
              <w:rPr>
                <w:sz w:val="20"/>
                <w:szCs w:val="20"/>
                <w:color w:val="auto"/>
              </w:rPr>
            </w:pPr>
            <w:r>
              <w:rPr>
                <w:rFonts w:ascii="Arial" w:cs="Arial" w:eastAsia="Arial" w:hAnsi="Arial"/>
                <w:sz w:val="14"/>
                <w:szCs w:val="14"/>
                <w:b w:val="1"/>
                <w:bCs w:val="1"/>
                <w:color w:val="auto"/>
                <w:w w:val="97"/>
              </w:rPr>
              <w:t>Forward</w:t>
            </w:r>
          </w:p>
        </w:tc>
        <w:tc>
          <w:tcPr>
            <w:tcW w:w="400" w:type="dxa"/>
            <w:vAlign w:val="bottom"/>
          </w:tcPr>
          <w:p>
            <w:pPr>
              <w:spacing w:after="0"/>
              <w:rPr>
                <w:sz w:val="13"/>
                <w:szCs w:val="13"/>
                <w:color w:val="auto"/>
              </w:rPr>
            </w:pPr>
          </w:p>
        </w:tc>
        <w:tc>
          <w:tcPr>
            <w:tcW w:w="1160" w:type="dxa"/>
            <w:vAlign w:val="bottom"/>
          </w:tcPr>
          <w:p>
            <w:pPr>
              <w:jc w:val="center"/>
              <w:ind w:right="221"/>
              <w:spacing w:after="0" w:line="153" w:lineRule="exact"/>
              <w:rPr>
                <w:sz w:val="20"/>
                <w:szCs w:val="20"/>
                <w:color w:val="auto"/>
              </w:rPr>
            </w:pPr>
            <w:r>
              <w:rPr>
                <w:rFonts w:ascii="Arial" w:cs="Arial" w:eastAsia="Arial" w:hAnsi="Arial"/>
                <w:sz w:val="14"/>
                <w:szCs w:val="14"/>
                <w:b w:val="1"/>
                <w:bCs w:val="1"/>
                <w:color w:val="auto"/>
                <w:w w:val="92"/>
              </w:rPr>
              <w:t>Loans</w:t>
            </w: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7"/>
              </w:rPr>
              <w:t>Lock</w:t>
            </w:r>
          </w:p>
        </w:tc>
        <w:tc>
          <w:tcPr>
            <w:tcW w:w="500" w:type="dxa"/>
            <w:vAlign w:val="bottom"/>
          </w:tcPr>
          <w:p>
            <w:pPr>
              <w:spacing w:after="0"/>
              <w:rPr>
                <w:sz w:val="12"/>
                <w:szCs w:val="12"/>
                <w:color w:val="auto"/>
              </w:rPr>
            </w:pPr>
          </w:p>
        </w:tc>
        <w:tc>
          <w:tcPr>
            <w:tcW w:w="12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Delivery</w:t>
            </w:r>
          </w:p>
        </w:tc>
        <w:tc>
          <w:tcPr>
            <w:tcW w:w="400" w:type="dxa"/>
            <w:vAlign w:val="bottom"/>
          </w:tcPr>
          <w:p>
            <w:pPr>
              <w:spacing w:after="0"/>
              <w:rPr>
                <w:sz w:val="12"/>
                <w:szCs w:val="12"/>
                <w:color w:val="auto"/>
              </w:rPr>
            </w:pPr>
          </w:p>
        </w:tc>
        <w:tc>
          <w:tcPr>
            <w:tcW w:w="11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8"/>
              </w:rPr>
              <w:t>Held</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Commitments</w:t>
            </w: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1"/>
              </w:rPr>
              <w:t>Contracts</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3"/>
              </w:rPr>
              <w:t>for Sale</w:t>
            </w:r>
          </w:p>
        </w:tc>
      </w:tr>
      <w:tr>
        <w:trPr>
          <w:trHeight w:val="28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Total net gains (losses) included in earnings, which are included in discontinued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846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Change in unrealized losses relating to assets and liabilities still held at December 31, 2012,</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which are included in discontinued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34"/>
        </w:trPr>
        <w:tc>
          <w:tcPr>
            <w:tcW w:w="6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gain recognized in the consolidated statements of operations for derivatives for the year ended December 31, 2012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406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3"/>
              </w:rPr>
              <w:t>Location of Gain Recognized in Income on Derivative</w:t>
            </w:r>
          </w:p>
        </w:tc>
        <w:tc>
          <w:tcPr>
            <w:tcW w:w="48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40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Lock Commitments</w:t>
            </w:r>
          </w:p>
        </w:tc>
        <w:tc>
          <w:tcPr>
            <w:tcW w:w="4060" w:type="dxa"/>
            <w:vAlign w:val="bottom"/>
            <w:tcBorders>
              <w:bottom w:val="single" w:sz="8" w:color="CCEEFF"/>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Discontinued operations</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73,378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Forward Delivery Contracts</w:t>
            </w:r>
          </w:p>
        </w:tc>
        <w:tc>
          <w:tcPr>
            <w:tcW w:w="4060" w:type="dxa"/>
            <w:vAlign w:val="bottom"/>
          </w:tcPr>
          <w:p>
            <w:pPr>
              <w:jc w:val="center"/>
              <w:ind w:left="56"/>
              <w:spacing w:after="0"/>
              <w:rPr>
                <w:sz w:val="20"/>
                <w:szCs w:val="20"/>
                <w:color w:val="auto"/>
              </w:rPr>
            </w:pPr>
            <w:r>
              <w:rPr>
                <w:rFonts w:ascii="Arial" w:cs="Arial" w:eastAsia="Arial" w:hAnsi="Arial"/>
                <w:sz w:val="18"/>
                <w:szCs w:val="18"/>
                <w:color w:val="auto"/>
                <w:w w:val="91"/>
              </w:rPr>
              <w:t>Discontinued operations</w:t>
            </w:r>
          </w:p>
        </w:tc>
        <w:tc>
          <w:tcPr>
            <w:tcW w:w="4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gain on derivatives</w:t>
            </w:r>
          </w:p>
        </w:tc>
        <w:tc>
          <w:tcPr>
            <w:tcW w:w="4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77,622</w:t>
            </w:r>
          </w:p>
        </w:tc>
        <w:tc>
          <w:tcPr>
            <w:tcW w:w="0" w:type="dxa"/>
            <w:vAlign w:val="bottom"/>
          </w:tcPr>
          <w:p>
            <w:pPr>
              <w:spacing w:after="0"/>
              <w:rPr>
                <w:sz w:val="1"/>
                <w:szCs w:val="1"/>
                <w:color w:val="auto"/>
              </w:rPr>
            </w:pPr>
          </w:p>
        </w:tc>
      </w:tr>
      <w:tr>
        <w:trPr>
          <w:trHeight w:val="27"/>
        </w:trPr>
        <w:tc>
          <w:tcPr>
            <w:tcW w:w="562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under the fair value option</w:t>
      </w:r>
    </w:p>
    <w:p>
      <w:pPr>
        <w:spacing w:after="0" w:line="17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December 31, 2013 and 2012, there were no loans held for sale or carried at the lower of cost or market ("LOCOM") value assessed on an individual loan basis.</w:t>
      </w:r>
    </w:p>
    <w:p>
      <w:pPr>
        <w:spacing w:after="0" w:line="12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the year ended December 31, 2012, the change in fair value of loans held for sale for which the fair value option was elected was a gain of $2.7 million and is included in discontinued operations in the consolidated statement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Company's HLC subsidiary continues to be liable for these indemnification obligations, repurchase obligations and premium repayment obligations following the sale of substantially all of the operating assets of its LendingTree Loans business in the second quarter of 2012. As of December 31, 2013, approximately $21.2 million is being held in escrow pending resolution of certain of these contingent liabilities. The Company has been negotiating with certain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During the fourth quarter of 2013, the Company revised its estimation process for evaluating the adequacy of the reserve for loan losses to use a settlement discount framework. This model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 announced bulk settlements for similar loan types and vintages, as well as LendingTree Loans' non-operating status, in order to estimate a range of potential obligation.</w:t>
      </w:r>
    </w:p>
    <w:p>
      <w:pPr>
        <w:spacing w:after="0" w:line="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estimated range of remaining loan losses using this settlement discount framework was determined to be $17 to $31 million at December 31, 2013 and resulted in a range that was similar to the prior methodology employed. As such, no adjustment to the reserve was made in the fourth quarter of 2013 as a result of the change in methodology. The reserve balance recorded as of December 31, 2013 was $28.5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8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December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8"/>
              </w:rPr>
              <w:t>Original</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4"/>
              </w:rPr>
              <w:t>Original</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Principal</w:t>
            </w:r>
          </w:p>
        </w:tc>
        <w:tc>
          <w:tcPr>
            <w:tcW w:w="340" w:type="dxa"/>
            <w:vAlign w:val="bottom"/>
          </w:tcPr>
          <w:p>
            <w:pPr>
              <w:spacing w:after="0"/>
              <w:rPr>
                <w:sz w:val="12"/>
                <w:szCs w:val="12"/>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Balance of</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of Loan Sales</w:t>
            </w: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7"/>
              </w:rPr>
              <w:t>Principal</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2"/>
              </w:rPr>
              <w:t>Loans with</w:t>
            </w:r>
          </w:p>
        </w:tc>
        <w:tc>
          <w:tcPr>
            <w:tcW w:w="34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Loans Sold</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3"/>
              </w:rPr>
              <w:t>Balance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center"/>
              <w:ind w:right="235"/>
              <w:spacing w:after="0"/>
              <w:rPr>
                <w:sz w:val="20"/>
                <w:szCs w:val="20"/>
                <w:color w:val="auto"/>
              </w:rPr>
            </w:pPr>
            <w:r>
              <w:rPr>
                <w:rFonts w:ascii="Arial" w:cs="Arial" w:eastAsia="Arial" w:hAnsi="Arial"/>
                <w:sz w:val="14"/>
                <w:szCs w:val="14"/>
                <w:b w:val="1"/>
                <w:bCs w:val="1"/>
                <w:i w:val="1"/>
                <w:iCs w:val="1"/>
                <w:color w:val="auto"/>
                <w:w w:val="93"/>
              </w:rPr>
              <w:t>(in billions)</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b w:val="1"/>
                <w:bCs w:val="1"/>
                <w:i w:val="1"/>
                <w:iCs w:val="1"/>
                <w:color w:val="auto"/>
                <w:w w:val="91"/>
              </w:rPr>
              <w:t>(in millions)</w:t>
            </w:r>
          </w:p>
        </w:tc>
        <w:tc>
          <w:tcPr>
            <w:tcW w:w="3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i w:val="1"/>
                <w:iCs w:val="1"/>
                <w:color w:val="auto"/>
                <w:w w:val="91"/>
              </w:rPr>
              <w:t>(in millions)</w:t>
            </w: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2012</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9,200</w:t>
            </w:r>
          </w:p>
        </w:tc>
        <w:tc>
          <w:tcPr>
            <w:tcW w:w="36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2010</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12,400</w:t>
            </w:r>
          </w:p>
        </w:tc>
        <w:tc>
          <w:tcPr>
            <w:tcW w:w="36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2.8</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2.8</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11,000</w:t>
            </w:r>
          </w:p>
        </w:tc>
        <w:tc>
          <w:tcPr>
            <w:tcW w:w="36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2.2</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36,300</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6.1</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2006</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55,000</w:t>
            </w:r>
          </w:p>
        </w:tc>
        <w:tc>
          <w:tcPr>
            <w:tcW w:w="36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2005 and prior years</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86,700</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13.0</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235,900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39.4</w:t>
            </w:r>
          </w:p>
        </w:tc>
        <w:tc>
          <w:tcPr>
            <w:tcW w:w="15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499</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68.4</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34"/>
        </w:trPr>
        <w:tc>
          <w:tcPr>
            <w:tcW w:w="3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the second quarter of 2012, LendingTree Loans completed settlements with two buyers of previously purchased loans. These settlements of $0.5 million and $3.3 million, respectively, relate to all existing and substantially all future losses on loans sold to these buyers. The settlement amounts were included as charge-offs to the reserve in the second quarter of 2012. The settlement amounts for these settlements were not determined on an individual loan basis and are, therefore, not included in the loss amounts disclosed above for the years such loans were sold.</w:t>
      </w:r>
    </w:p>
    <w:p>
      <w:pPr>
        <w:spacing w:after="0" w:line="6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 However, the two settlements discussed above will substantially eliminate future repurchase requests from those buyers for the loan types included in those settlements.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53"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27,182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31,512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6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1,531</w:t>
            </w:r>
          </w:p>
        </w:tc>
        <w:tc>
          <w:tcPr>
            <w:tcW w:w="4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6,977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estimate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Charge-offs to reserves</w:t>
            </w:r>
          </w:p>
        </w:tc>
        <w:tc>
          <w:tcPr>
            <w:tcW w:w="3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28,543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27,182</w:t>
            </w:r>
          </w:p>
        </w:tc>
      </w:tr>
      <w:tr>
        <w:trPr>
          <w:trHeight w:val="27"/>
        </w:trPr>
        <w:tc>
          <w:tcPr>
            <w:tcW w:w="8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During 2012, in order to reflect the Company's exit from the mortgage loan origination business and its commercial objective to pursue bulk settlements with investors, management revised the estimation process for evaluating the adequacy of the reserve for loan losses. The revised methodology resulted in a $6.5 million reduction to the loss reserve on previously sold loans.</w:t>
      </w:r>
    </w:p>
    <w:p>
      <w:pPr>
        <w:spacing w:after="0" w:line="12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liability for losses on previously sold loans is included in current liabilities of discontinued operations in the accompanying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result of the closing of the sale of substantially all of the operating assets of the LendingTree Loans business on June 6, 2012, all three then-existing warehouse lines of credit totaling $325.0 million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17—FAIR VALUE MEASUREMENTS</w:t>
      </w:r>
    </w:p>
    <w:p>
      <w:pPr>
        <w:spacing w:after="0" w:line="17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disclosures represent financial instruments in which the December 31, 2013 and 2012 ending balances are not carried at fair value in their entirety on the consolidated balance sheets. The estimated fair value of these financial instruments has been determined by the Company using available market information and appropriate valuation methodologies. However, considerable judgment is required to 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4"/>
          </w:tcPr>
          <w:p>
            <w:pPr>
              <w:ind w:left="62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Pr>
          <w:p>
            <w:pPr>
              <w:spacing w:after="0"/>
              <w:rPr>
                <w:sz w:val="18"/>
                <w:szCs w:val="18"/>
                <w:color w:val="auto"/>
              </w:rPr>
            </w:pPr>
          </w:p>
        </w:tc>
        <w:tc>
          <w:tcPr>
            <w:tcW w:w="2780" w:type="dxa"/>
            <w:vAlign w:val="bottom"/>
            <w:gridSpan w:val="3"/>
          </w:tcPr>
          <w:p>
            <w:pPr>
              <w:jc w:val="right"/>
              <w:ind w:right="774"/>
              <w:spacing w:after="0"/>
              <w:rPr>
                <w:sz w:val="20"/>
                <w:szCs w:val="20"/>
                <w:color w:val="auto"/>
              </w:rPr>
            </w:pPr>
            <w:r>
              <w:rPr>
                <w:rFonts w:ascii="Arial" w:cs="Arial" w:eastAsia="Arial" w:hAnsi="Arial"/>
                <w:sz w:val="16"/>
                <w:szCs w:val="16"/>
                <w:b w:val="1"/>
                <w:bCs w:val="1"/>
                <w:color w:val="auto"/>
              </w:rPr>
              <w:t>December 31, 2012</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4"/>
              <w:spacing w:after="0"/>
              <w:rPr>
                <w:sz w:val="20"/>
                <w:szCs w:val="20"/>
                <w:color w:val="auto"/>
              </w:rPr>
            </w:pPr>
            <w:r>
              <w:rPr>
                <w:rFonts w:ascii="Arial" w:cs="Arial" w:eastAsia="Arial" w:hAnsi="Arial"/>
                <w:sz w:val="16"/>
                <w:szCs w:val="16"/>
                <w:b w:val="1"/>
                <w:bCs w:val="1"/>
                <w:color w:val="auto"/>
              </w:rPr>
              <w:t>Carrying</w:t>
            </w:r>
          </w:p>
        </w:tc>
        <w:tc>
          <w:tcPr>
            <w:tcW w:w="4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240" w:type="dxa"/>
            <w:vAlign w:val="bottom"/>
          </w:tcPr>
          <w:p>
            <w:pPr>
              <w:jc w:val="right"/>
              <w:ind w:right="374"/>
              <w:spacing w:after="0"/>
              <w:rPr>
                <w:sz w:val="20"/>
                <w:szCs w:val="20"/>
                <w:color w:val="auto"/>
              </w:rPr>
            </w:pPr>
            <w:r>
              <w:rPr>
                <w:rFonts w:ascii="Arial" w:cs="Arial" w:eastAsia="Arial" w:hAnsi="Arial"/>
                <w:sz w:val="16"/>
                <w:szCs w:val="16"/>
                <w:b w:val="1"/>
                <w:bCs w:val="1"/>
                <w:color w:val="auto"/>
              </w:rPr>
              <w:t>Carrying</w:t>
            </w:r>
          </w:p>
        </w:tc>
        <w:tc>
          <w:tcPr>
            <w:tcW w:w="40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14"/>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18"/>
                <w:szCs w:val="18"/>
                <w:color w:val="auto"/>
              </w:rPr>
            </w:pPr>
          </w:p>
        </w:tc>
        <w:tc>
          <w:tcPr>
            <w:tcW w:w="1240" w:type="dxa"/>
            <w:vAlign w:val="bottom"/>
          </w:tcPr>
          <w:p>
            <w:pPr>
              <w:jc w:val="right"/>
              <w:ind w:right="414"/>
              <w:spacing w:after="0"/>
              <w:rPr>
                <w:sz w:val="20"/>
                <w:szCs w:val="20"/>
                <w:color w:val="auto"/>
              </w:rPr>
            </w:pPr>
            <w:r>
              <w:rPr>
                <w:rFonts w:ascii="Arial" w:cs="Arial" w:eastAsia="Arial" w:hAnsi="Arial"/>
                <w:sz w:val="16"/>
                <w:szCs w:val="16"/>
                <w:b w:val="1"/>
                <w:bCs w:val="1"/>
                <w:color w:val="auto"/>
              </w:rPr>
              <w:t>Amount</w:t>
            </w:r>
          </w:p>
        </w:tc>
        <w:tc>
          <w:tcPr>
            <w:tcW w:w="40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91,667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91,667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80,190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80,190</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cash equivalents </w:t>
            </w:r>
            <w:r>
              <w:rPr>
                <w:rFonts w:ascii="Arial" w:cs="Arial" w:eastAsia="Arial" w:hAnsi="Arial"/>
                <w:sz w:val="25"/>
                <w:szCs w:val="25"/>
                <w:color w:val="auto"/>
                <w:vertAlign w:val="superscript"/>
              </w:rPr>
              <w:t>(a)(b)</w:t>
            </w:r>
          </w:p>
        </w:tc>
        <w:tc>
          <w:tcPr>
            <w:tcW w:w="28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26,017</w:t>
            </w:r>
          </w:p>
        </w:tc>
        <w:tc>
          <w:tcPr>
            <w:tcW w:w="4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29,414</w:t>
            </w:r>
          </w:p>
        </w:tc>
        <w:tc>
          <w:tcPr>
            <w:tcW w:w="4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29,414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(23,265)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(19,960)</w:t>
            </w:r>
          </w:p>
        </w:tc>
      </w:tr>
      <w:tr>
        <w:trPr>
          <w:trHeight w:val="20"/>
        </w:trPr>
        <w:tc>
          <w:tcPr>
            <w:tcW w:w="516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1260" w:type="dxa"/>
            <w:vAlign w:val="bottom"/>
            <w:shd w:val="clear" w:color="auto" w:fill="999999"/>
          </w:tcPr>
          <w:p>
            <w:pPr>
              <w:spacing w:after="0" w:line="20" w:lineRule="exact"/>
              <w:rPr>
                <w:sz w:val="1"/>
                <w:szCs w:val="1"/>
                <w:color w:val="auto"/>
              </w:rPr>
            </w:pPr>
          </w:p>
        </w:tc>
        <w:tc>
          <w:tcPr>
            <w:tcW w:w="420" w:type="dxa"/>
            <w:vAlign w:val="bottom"/>
            <w:shd w:val="clear" w:color="auto" w:fill="999999"/>
          </w:tcPr>
          <w:p>
            <w:pPr>
              <w:spacing w:after="0" w:line="20" w:lineRule="exact"/>
              <w:rPr>
                <w:sz w:val="1"/>
                <w:szCs w:val="1"/>
                <w:color w:val="auto"/>
              </w:rPr>
            </w:pPr>
          </w:p>
        </w:tc>
        <w:tc>
          <w:tcPr>
            <w:tcW w:w="1140" w:type="dxa"/>
            <w:vAlign w:val="bottom"/>
            <w:shd w:val="clear" w:color="auto" w:fill="999999"/>
          </w:tcPr>
          <w:p>
            <w:pPr>
              <w:spacing w:after="0" w:line="20" w:lineRule="exact"/>
              <w:rPr>
                <w:sz w:val="1"/>
                <w:szCs w:val="1"/>
                <w:color w:val="auto"/>
              </w:rPr>
            </w:pPr>
          </w:p>
        </w:tc>
        <w:tc>
          <w:tcPr>
            <w:tcW w:w="100" w:type="dxa"/>
            <w:vAlign w:val="bottom"/>
            <w:shd w:val="clear" w:color="auto" w:fill="999999"/>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1240" w:type="dxa"/>
            <w:vAlign w:val="bottom"/>
            <w:shd w:val="clear" w:color="auto" w:fill="999999"/>
          </w:tcPr>
          <w:p>
            <w:pPr>
              <w:spacing w:after="0" w:line="20" w:lineRule="exact"/>
              <w:rPr>
                <w:sz w:val="1"/>
                <w:szCs w:val="1"/>
                <w:color w:val="auto"/>
              </w:rPr>
            </w:pPr>
          </w:p>
        </w:tc>
        <w:tc>
          <w:tcPr>
            <w:tcW w:w="400" w:type="dxa"/>
            <w:vAlign w:val="bottom"/>
            <w:shd w:val="clear" w:color="auto" w:fill="999999"/>
          </w:tcPr>
          <w:p>
            <w:pPr>
              <w:spacing w:after="0" w:line="20" w:lineRule="exact"/>
              <w:rPr>
                <w:sz w:val="1"/>
                <w:szCs w:val="1"/>
                <w:color w:val="auto"/>
              </w:rPr>
            </w:pPr>
          </w:p>
        </w:tc>
        <w:tc>
          <w:tcPr>
            <w:tcW w:w="1140" w:type="dxa"/>
            <w:vAlign w:val="bottom"/>
            <w:shd w:val="clear" w:color="auto" w:fill="999999"/>
          </w:tcPr>
          <w:p>
            <w:pPr>
              <w:spacing w:after="0" w:line="20" w:lineRule="exact"/>
              <w:rPr>
                <w:sz w:val="1"/>
                <w:szCs w:val="1"/>
                <w:color w:val="auto"/>
              </w:rPr>
            </w:pPr>
          </w:p>
        </w:tc>
      </w:tr>
    </w:tbl>
    <w:p>
      <w:pPr>
        <w:spacing w:after="0" w:line="148" w:lineRule="exact"/>
        <w:rPr>
          <w:sz w:val="20"/>
          <w:szCs w:val="20"/>
          <w:color w:val="auto"/>
        </w:rPr>
      </w:pPr>
    </w:p>
    <w:p>
      <w:pPr>
        <w:jc w:val="both"/>
        <w:ind w:left="660" w:right="4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carrying amounts of cash and cash equivalents and restricted cash and cash equivalents reflected in the accompanying consolidated balance sheets approximate fair value, as they are maintained with various high-quality financial institutions or in short-term duration high-quality debt securities.</w:t>
      </w:r>
    </w:p>
    <w:p>
      <w:pPr>
        <w:spacing w:after="0" w:line="127"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restricted cash and cash equivalents financial instruments include letters of credit and surety bonds, for which we had $2.5 million and $6.5 million in restricted cash at December 31, 2013 and 2012, respectively, as collateral for the surety bonds. These commitments remain in place to facilitate certain of the Company's commercial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INFORMATION</w:t>
      </w:r>
    </w:p>
    <w:p>
      <w:pPr>
        <w:spacing w:after="0" w:line="17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Company has one reportable segment, lending. The Company formerly referred to this reportable segment as its mortgage segment. The auto, education and home services operating segments are included in the "Other" category in the reconciliation of segment information below.</w:t>
      </w:r>
    </w:p>
    <w:p>
      <w:pPr>
        <w:spacing w:after="0" w:line="16"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expenses presented below for the lending segment and the operating segments shown in the Other category include allocations of certain corporate expenses that are identifiable and directly benefit those segments. The unallocated expenses included in the "Corporate" category are those corporate overhead expenses that are not directly attributable to an operating segment and include: finance, legal, executive technology support and human resources.</w:t>
      </w:r>
    </w:p>
    <w:p>
      <w:pPr>
        <w:spacing w:after="0" w:line="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Adjusted EBITDA is the primary metric by which the chief operating decision maker evaluates the performance of the Company's businesses, on which its internal budgets are based and by which management is compensated. Adjusted EBITDA is defined as operating income or loss (which excludes interest expense and taxes) adjusted to exclude amortization of intangibles and depreciation, and excluding (1) non-cash compensation expense, (2) non-cash intangible asset impairment charges, (3) gain/loss on disposal of assets, (4) restructuring and severance expenses, (5) litigation settlements and contingencies and legal fees for certain patent litigation, (6) adjustments for significant acquisitions or dispositions, and (7) one-time items. For the periods presented in this report, there are no adjustments for one-time items, except for a $0.9 million related to a discretionary cash bonus payment to employee stock option holders and a one-time contribution to an educational trust of $0.4 million.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other balance sheet information are not used by the chief operating decision maker.</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553" w:right="2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Summarized information by segment and reconciliations to Adjusted EBITDA and income (loss) before income taxes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5"/>
              </w:rPr>
              <w:t>Year Ended December 31, 2013</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6"/>
                <w:szCs w:val="16"/>
                <w:b w:val="1"/>
                <w:bCs w:val="1"/>
                <w:color w:val="auto"/>
              </w:rPr>
              <w:t>Lending</w:t>
            </w:r>
          </w:p>
        </w:tc>
        <w:tc>
          <w:tcPr>
            <w:tcW w:w="32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127,985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139,240</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83,694</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7,449</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91,121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18,784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4,302</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5,264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8,924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8,955</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98,625</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13,135</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28,587</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140,347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29,360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(2,503)</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(27,964)</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1,681</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3,257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Trust contribution</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8,924</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32,572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52</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(13,907)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18,717</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9"/>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65</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5"/>
              </w:rPr>
              <w:t>Year Ended December 31, 2012</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6"/>
                <w:szCs w:val="16"/>
                <w:b w:val="1"/>
                <w:bCs w:val="1"/>
                <w:color w:val="auto"/>
              </w:rPr>
              <w:t>Lending</w:t>
            </w:r>
          </w:p>
        </w:tc>
        <w:tc>
          <w:tcPr>
            <w:tcW w:w="32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61,176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14,620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77,443</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(exclusive of depreciation shown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35,250</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13,677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48,934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15,873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2,277</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1,258</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45,791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20,719</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13,784</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80,294</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15,385</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(6,099)</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(12,137)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3,093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18,316</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(2,887)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(11,650)</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3,779</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(2,851)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(3,732)</w:t>
            </w:r>
          </w:p>
        </w:tc>
      </w:tr>
      <w:tr>
        <w:trPr>
          <w:trHeight w:val="34"/>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9"/>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66</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required by Rule 13a-15(b) of the Securities Exchange Act of 1934 (the "Exchange Act"), management, with the participation of our Chief Executive Officer and Chief Financial Officer, conducted an evaluation, as of the end of the period covered by this report, of the effectiveness of our disclosure controls and procedures as defined in Exchange Act Rule 13a-15(e). Management necessarily applied its judgment in assessing the costs and benefits of such controls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2013,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Management, with the participation of our Chief Executive Officer and Chief Financial Officer, assessed the effectiveness of our internal control over financial reporting as of December 31, 2013. In making this assessment, our management used the criteria for effective internal control over financial reporting described in "Internal Control-Integrated Framework" (1992)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2013. The effectiveness of our internal control over financial reporting as of December 31, 2013 has been audited by PricewaterhouseCoopers LLP, an independent registered public accounting firm, as stated in their report appearing under "Item 8. Financial Statements and Supplementary Data"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Identified Material Weakness</w:t>
      </w:r>
    </w:p>
    <w:p>
      <w:pPr>
        <w:spacing w:after="0" w:line="175"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Management previously identified and disclosed a material weakness in our internal control over financial reporting related to the application and monitoring of our accounting for income taxes. Specifically, management determined we did not have controls designed and in place to ensure effective oversight of the work performed by, and the accuracy of financial information provided by, third-party tax advisors.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18" w:right="2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response to this material weakness, management strengthened our processes over accounting for income taxes. These actions included designing and implementing new controls in our tax processes, redefining the role of the consultants and improving communication with and monitoring of the consultants. Management tested the implemented and improved controls and found them to be effectively designed and operating, leading the Company to conclude that this material weakness had been remediated as of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described above under Remediation of Previously Identified Material Weaknesses, there were changes in our internal control over financial reporting (as defined in the Exchange Act, Rules 13a-15(f)) that occurred during the quarter ended December 31, 2013 that have materially affected, or are reasonable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Tree.com's definitive proxy statement to be used in connection with its 2014 Annual Meeting of Stockholders and which will be filed with the Securities and Exchange Commission not later than 120 days after the end of the Company's fiscal year ended December 31, 2013 (the "2014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2014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2014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2014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2014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2014 Proxy Statement.</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118" w:right="39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Tree.com</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for the Years Ended December 31,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2013 and 2012.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Tree.com</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Schedule</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17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4"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Valuation and Qualifying Accounts</w:t>
      </w:r>
    </w:p>
    <w:p>
      <w:pPr>
        <w:spacing w:after="0" w:line="21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All other financial statements and schedules not listed have been omitted since the required information is included in the consolidated financial statements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6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6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Amended and Restated Certificate of Incorporation of Tree.com, Inc.</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Exhibit 3.1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August 25,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5260" w:type="dxa"/>
            <w:vAlign w:val="bottom"/>
          </w:tcPr>
          <w:p>
            <w:pPr>
              <w:ind w:left="80"/>
              <w:spacing w:after="0"/>
              <w:rPr>
                <w:sz w:val="20"/>
                <w:szCs w:val="20"/>
                <w:color w:val="auto"/>
              </w:rPr>
            </w:pPr>
            <w:r>
              <w:rPr>
                <w:rFonts w:ascii="Arial" w:cs="Arial" w:eastAsia="Arial" w:hAnsi="Arial"/>
                <w:sz w:val="18"/>
                <w:szCs w:val="18"/>
                <w:color w:val="auto"/>
              </w:rPr>
              <w:t>Second Amended and Restated By-laws of Tree.com, Inc.</w:t>
            </w:r>
          </w:p>
        </w:tc>
        <w:tc>
          <w:tcPr>
            <w:tcW w:w="5040" w:type="dxa"/>
            <w:vAlign w:val="bottom"/>
          </w:tcPr>
          <w:p>
            <w:pPr>
              <w:ind w:left="60"/>
              <w:spacing w:after="0"/>
              <w:rPr>
                <w:sz w:val="20"/>
                <w:szCs w:val="20"/>
                <w:color w:val="auto"/>
              </w:rPr>
            </w:pPr>
            <w:r>
              <w:rPr>
                <w:rFonts w:ascii="Arial" w:cs="Arial" w:eastAsia="Arial" w:hAnsi="Arial"/>
                <w:sz w:val="18"/>
                <w:szCs w:val="18"/>
                <w:color w:val="auto"/>
                <w:w w:val="94"/>
              </w:rPr>
              <w:t>Exhibit 3.2 to the Registrant's Quarterly Report on Form 10-Q filed</w:t>
            </w:r>
          </w:p>
        </w:tc>
      </w:tr>
      <w:tr>
        <w:trPr>
          <w:trHeight w:val="230"/>
        </w:trPr>
        <w:tc>
          <w:tcPr>
            <w:tcW w:w="11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November 12, 2013</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Employment Agreement between Douglas R. Lebda and</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Exhibit 10.6 to the Registrant's Registration Statement on Form S-1</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IAC/InterActiveCorp, dated as of January 7, 2008*</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 333-152700), filed August 1,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5260" w:type="dxa"/>
            <w:vAlign w:val="bottom"/>
          </w:tcPr>
          <w:p>
            <w:pPr>
              <w:ind w:left="80"/>
              <w:spacing w:after="0"/>
              <w:rPr>
                <w:sz w:val="20"/>
                <w:szCs w:val="20"/>
                <w:color w:val="auto"/>
              </w:rPr>
            </w:pPr>
            <w:r>
              <w:rPr>
                <w:rFonts w:ascii="Arial" w:cs="Arial" w:eastAsia="Arial" w:hAnsi="Arial"/>
                <w:sz w:val="18"/>
                <w:szCs w:val="18"/>
                <w:color w:val="auto"/>
              </w:rPr>
              <w:t>Employment Agreement by and between David Norris and</w:t>
            </w:r>
          </w:p>
        </w:tc>
        <w:tc>
          <w:tcPr>
            <w:tcW w:w="5040" w:type="dxa"/>
            <w:vAlign w:val="bottom"/>
          </w:tcPr>
          <w:p>
            <w:pPr>
              <w:ind w:left="60"/>
              <w:spacing w:after="0"/>
              <w:rPr>
                <w:sz w:val="20"/>
                <w:szCs w:val="20"/>
                <w:color w:val="auto"/>
              </w:rPr>
            </w:pPr>
            <w:r>
              <w:rPr>
                <w:rFonts w:ascii="Arial" w:cs="Arial" w:eastAsia="Arial" w:hAnsi="Arial"/>
                <w:sz w:val="18"/>
                <w:szCs w:val="18"/>
                <w:color w:val="auto"/>
                <w:w w:val="92"/>
              </w:rPr>
              <w:t>Exhibit 10.5 to the Registrant's Quarterly Report on Form 10-Q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LendingTree, LLC, dated June 30, 2008*</w:t>
            </w:r>
          </w:p>
        </w:tc>
        <w:tc>
          <w:tcPr>
            <w:tcW w:w="5040" w:type="dxa"/>
            <w:vAlign w:val="bottom"/>
          </w:tcPr>
          <w:p>
            <w:pPr>
              <w:ind w:left="6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Employment Agreement between Robert L. Harris and</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Exhibit 10.5 to the Registrant's Registration Statement on Form S-1</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LendingTree, LLC, dated as of June 30, 2008*</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 333-152700), filed August 1,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5260" w:type="dxa"/>
            <w:vAlign w:val="bottom"/>
          </w:tcPr>
          <w:p>
            <w:pPr>
              <w:ind w:left="80"/>
              <w:spacing w:after="0"/>
              <w:rPr>
                <w:sz w:val="20"/>
                <w:szCs w:val="20"/>
                <w:color w:val="auto"/>
              </w:rPr>
            </w:pPr>
            <w:r>
              <w:rPr>
                <w:rFonts w:ascii="Arial" w:cs="Arial" w:eastAsia="Arial" w:hAnsi="Arial"/>
                <w:sz w:val="18"/>
                <w:szCs w:val="18"/>
                <w:color w:val="auto"/>
                <w:w w:val="92"/>
              </w:rPr>
              <w:t>Employment Agreement between Matt Packey and LendingTree, LLC,</w:t>
            </w:r>
          </w:p>
        </w:tc>
        <w:tc>
          <w:tcPr>
            <w:tcW w:w="5040" w:type="dxa"/>
            <w:vAlign w:val="bottom"/>
          </w:tcPr>
          <w:p>
            <w:pPr>
              <w:ind w:left="60"/>
              <w:spacing w:after="0"/>
              <w:rPr>
                <w:sz w:val="20"/>
                <w:szCs w:val="20"/>
                <w:color w:val="auto"/>
              </w:rPr>
            </w:pPr>
            <w:r>
              <w:rPr>
                <w:rFonts w:ascii="Arial" w:cs="Arial" w:eastAsia="Arial" w:hAnsi="Arial"/>
                <w:sz w:val="18"/>
                <w:szCs w:val="18"/>
                <w:color w:val="auto"/>
                <w:w w:val="92"/>
              </w:rPr>
              <w:t>Exhibit 10.16 to the Registrant's Registration Statement on Form S-</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dated as of August 3, 2008*</w:t>
            </w:r>
          </w:p>
        </w:tc>
        <w:tc>
          <w:tcPr>
            <w:tcW w:w="5040" w:type="dxa"/>
            <w:vAlign w:val="bottom"/>
          </w:tcPr>
          <w:p>
            <w:pPr>
              <w:ind w:left="60"/>
              <w:spacing w:after="0"/>
              <w:rPr>
                <w:sz w:val="20"/>
                <w:szCs w:val="20"/>
                <w:color w:val="auto"/>
              </w:rPr>
            </w:pPr>
            <w:r>
              <w:rPr>
                <w:rFonts w:ascii="Arial" w:cs="Arial" w:eastAsia="Arial" w:hAnsi="Arial"/>
                <w:sz w:val="18"/>
                <w:szCs w:val="18"/>
                <w:color w:val="auto"/>
              </w:rPr>
              <w:t>1 (No. 333-152700), filed August 1, 2008</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Amendment No. 1 to Employment Agreement between Douglas R.</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Lebda and IAC/InterActiveCorp, dated as of August 15, 2008*</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August 20,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5260" w:type="dxa"/>
            <w:vAlign w:val="bottom"/>
          </w:tcPr>
          <w:p>
            <w:pPr>
              <w:ind w:left="80"/>
              <w:spacing w:after="0"/>
              <w:rPr>
                <w:sz w:val="20"/>
                <w:szCs w:val="20"/>
                <w:color w:val="auto"/>
              </w:rPr>
            </w:pPr>
            <w:r>
              <w:rPr>
                <w:rFonts w:ascii="Arial" w:cs="Arial" w:eastAsia="Arial" w:hAnsi="Arial"/>
                <w:sz w:val="18"/>
                <w:szCs w:val="18"/>
                <w:color w:val="auto"/>
                <w:w w:val="92"/>
              </w:rPr>
              <w:t>Amendment No. 2 to the Employment Agreement between Douglas R.</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Lebda and Tree.com, Inc.*</w:t>
            </w:r>
          </w:p>
        </w:tc>
        <w:tc>
          <w:tcPr>
            <w:tcW w:w="5040" w:type="dxa"/>
            <w:vAlign w:val="bottom"/>
          </w:tcPr>
          <w:p>
            <w:pPr>
              <w:ind w:left="60"/>
              <w:spacing w:after="0"/>
              <w:rPr>
                <w:sz w:val="20"/>
                <w:szCs w:val="20"/>
                <w:color w:val="auto"/>
              </w:rPr>
            </w:pPr>
            <w:r>
              <w:rPr>
                <w:rFonts w:ascii="Arial" w:cs="Arial" w:eastAsia="Arial" w:hAnsi="Arial"/>
                <w:sz w:val="18"/>
                <w:szCs w:val="18"/>
                <w:color w:val="auto"/>
              </w:rPr>
              <w:t>March 27, 2009</w:t>
            </w:r>
          </w:p>
        </w:tc>
      </w:tr>
      <w:tr>
        <w:trPr>
          <w:trHeight w:val="486"/>
        </w:trPr>
        <w:tc>
          <w:tcPr>
            <w:tcW w:w="1120" w:type="dxa"/>
            <w:vAlign w:val="bottom"/>
          </w:tcPr>
          <w:p>
            <w:pPr>
              <w:spacing w:after="0"/>
              <w:rPr>
                <w:sz w:val="24"/>
                <w:szCs w:val="24"/>
                <w:color w:val="auto"/>
              </w:rPr>
            </w:pPr>
          </w:p>
        </w:tc>
        <w:tc>
          <w:tcPr>
            <w:tcW w:w="5260" w:type="dxa"/>
            <w:vAlign w:val="bottom"/>
          </w:tcPr>
          <w:p>
            <w:pPr>
              <w:ind w:left="4500"/>
              <w:spacing w:after="0"/>
              <w:rPr>
                <w:sz w:val="20"/>
                <w:szCs w:val="20"/>
                <w:color w:val="auto"/>
              </w:rPr>
            </w:pPr>
            <w:r>
              <w:rPr>
                <w:rFonts w:ascii="Arial" w:cs="Arial" w:eastAsia="Arial" w:hAnsi="Arial"/>
                <w:sz w:val="18"/>
                <w:szCs w:val="18"/>
                <w:color w:val="auto"/>
              </w:rPr>
              <w:t>70</w:t>
            </w:r>
          </w:p>
        </w:tc>
        <w:tc>
          <w:tcPr>
            <w:tcW w:w="5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Amendment No. 1 to the Employment Agreement between Robert</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Harris and Tree.com, Inc.*</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27, 2009</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5280" w:type="dxa"/>
            <w:vAlign w:val="bottom"/>
          </w:tcPr>
          <w:p>
            <w:pPr>
              <w:ind w:left="80"/>
              <w:spacing w:after="0"/>
              <w:rPr>
                <w:sz w:val="20"/>
                <w:szCs w:val="20"/>
                <w:color w:val="auto"/>
              </w:rPr>
            </w:pPr>
            <w:r>
              <w:rPr>
                <w:rFonts w:ascii="Arial" w:cs="Arial" w:eastAsia="Arial" w:hAnsi="Arial"/>
                <w:sz w:val="18"/>
                <w:szCs w:val="18"/>
                <w:color w:val="auto"/>
                <w:w w:val="96"/>
              </w:rPr>
              <w:t>Amendment No. 1 to the Employment Agreement between Matthew</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10.3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Packey and Tree.com, Inc.*</w:t>
            </w:r>
          </w:p>
        </w:tc>
        <w:tc>
          <w:tcPr>
            <w:tcW w:w="5020" w:type="dxa"/>
            <w:vAlign w:val="bottom"/>
          </w:tcPr>
          <w:p>
            <w:pPr>
              <w:ind w:left="40"/>
              <w:spacing w:after="0"/>
              <w:rPr>
                <w:sz w:val="20"/>
                <w:szCs w:val="20"/>
                <w:color w:val="auto"/>
              </w:rPr>
            </w:pPr>
            <w:r>
              <w:rPr>
                <w:rFonts w:ascii="Arial" w:cs="Arial" w:eastAsia="Arial" w:hAnsi="Arial"/>
                <w:sz w:val="18"/>
                <w:szCs w:val="18"/>
                <w:color w:val="auto"/>
              </w:rPr>
              <w:t>March 27, 2009</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Severance Agreement between Greg Hanson, RealEstate.com and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10.8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Tree.com, dated April 22, 2009*</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10.10</w:t>
            </w:r>
          </w:p>
        </w:tc>
        <w:tc>
          <w:tcPr>
            <w:tcW w:w="5280" w:type="dxa"/>
            <w:vAlign w:val="bottom"/>
          </w:tcPr>
          <w:p>
            <w:pPr>
              <w:ind w:left="80"/>
              <w:spacing w:after="0"/>
              <w:rPr>
                <w:sz w:val="20"/>
                <w:szCs w:val="20"/>
                <w:color w:val="auto"/>
              </w:rPr>
            </w:pPr>
            <w:r>
              <w:rPr>
                <w:rFonts w:ascii="Arial" w:cs="Arial" w:eastAsia="Arial" w:hAnsi="Arial"/>
                <w:sz w:val="18"/>
                <w:szCs w:val="18"/>
                <w:color w:val="auto"/>
                <w:w w:val="98"/>
              </w:rPr>
              <w:t>Amendment to Employment Agreement between David Norris and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10.6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Tree.com, Inc., dated December 3, 2009*</w:t>
            </w:r>
          </w:p>
        </w:tc>
        <w:tc>
          <w:tcPr>
            <w:tcW w:w="5020" w:type="dxa"/>
            <w:vAlign w:val="bottom"/>
          </w:tcPr>
          <w:p>
            <w:pPr>
              <w:ind w:left="4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Confidential Severance Agreement and Release by and between Robert</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10.10 to the Registrant's Quarterly Report on Form 10-Q</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 Harris and Tree.com, Inc., dated March 2,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5280" w:type="dxa"/>
            <w:vAlign w:val="bottom"/>
          </w:tcPr>
          <w:p>
            <w:pPr>
              <w:ind w:left="80"/>
              <w:spacing w:after="0"/>
              <w:rPr>
                <w:sz w:val="20"/>
                <w:szCs w:val="20"/>
                <w:color w:val="auto"/>
              </w:rPr>
            </w:pPr>
            <w:r>
              <w:rPr>
                <w:rFonts w:ascii="Arial" w:cs="Arial" w:eastAsia="Arial" w:hAnsi="Arial"/>
                <w:sz w:val="18"/>
                <w:szCs w:val="18"/>
                <w:color w:val="auto"/>
                <w:w w:val="95"/>
              </w:rPr>
              <w:t>Change in Control Letter from Tree.com, Inc. to Greg Hanson, dated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10.9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March 26, 2010*</w:t>
            </w:r>
          </w:p>
        </w:tc>
        <w:tc>
          <w:tcPr>
            <w:tcW w:w="5020" w:type="dxa"/>
            <w:vAlign w:val="bottom"/>
          </w:tcPr>
          <w:p>
            <w:pPr>
              <w:ind w:left="4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Amendment No. 3 to the Employment Agreement between Douglas 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10.3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Lebda and Tree.com, Inc., dated May 10,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10.14</w:t>
            </w:r>
          </w:p>
        </w:tc>
        <w:tc>
          <w:tcPr>
            <w:tcW w:w="5280" w:type="dxa"/>
            <w:vAlign w:val="bottom"/>
          </w:tcPr>
          <w:p>
            <w:pPr>
              <w:ind w:left="80"/>
              <w:spacing w:after="0"/>
              <w:rPr>
                <w:sz w:val="20"/>
                <w:szCs w:val="20"/>
                <w:color w:val="auto"/>
              </w:rPr>
            </w:pPr>
            <w:r>
              <w:rPr>
                <w:rFonts w:ascii="Arial" w:cs="Arial" w:eastAsia="Arial" w:hAnsi="Arial"/>
                <w:sz w:val="18"/>
                <w:szCs w:val="18"/>
                <w:color w:val="auto"/>
                <w:w w:val="95"/>
              </w:rPr>
              <w:t>Amendment No. 2 to Employment Agreement between David Norris</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10.7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and Tree.com, Inc., dated May 10, 2010*</w:t>
            </w:r>
          </w:p>
        </w:tc>
        <w:tc>
          <w:tcPr>
            <w:tcW w:w="5020" w:type="dxa"/>
            <w:vAlign w:val="bottom"/>
          </w:tcPr>
          <w:p>
            <w:pPr>
              <w:ind w:left="4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Severance Agreement between Tree.com, Inc. and Matthew Packey,</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dated May 10,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3,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c>
          <w:tcPr>
            <w:tcW w:w="5280" w:type="dxa"/>
            <w:vAlign w:val="bottom"/>
          </w:tcPr>
          <w:p>
            <w:pPr>
              <w:ind w:left="80"/>
              <w:spacing w:after="0"/>
              <w:rPr>
                <w:sz w:val="20"/>
                <w:szCs w:val="20"/>
                <w:color w:val="auto"/>
              </w:rPr>
            </w:pPr>
            <w:r>
              <w:rPr>
                <w:rFonts w:ascii="Arial" w:cs="Arial" w:eastAsia="Arial" w:hAnsi="Arial"/>
                <w:sz w:val="18"/>
                <w:szCs w:val="18"/>
                <w:color w:val="auto"/>
                <w:w w:val="98"/>
              </w:rPr>
              <w:t>Letter Agreement between Tree.com, Inc. and Christopher Hayek,</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10.3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dated June 28, 2010*</w:t>
            </w:r>
          </w:p>
        </w:tc>
        <w:tc>
          <w:tcPr>
            <w:tcW w:w="5020" w:type="dxa"/>
            <w:vAlign w:val="bottom"/>
          </w:tcPr>
          <w:p>
            <w:pPr>
              <w:ind w:left="40"/>
              <w:spacing w:after="0"/>
              <w:rPr>
                <w:sz w:val="20"/>
                <w:szCs w:val="20"/>
                <w:color w:val="auto"/>
              </w:rPr>
            </w:pPr>
            <w:r>
              <w:rPr>
                <w:rFonts w:ascii="Arial" w:cs="Arial" w:eastAsia="Arial" w:hAnsi="Arial"/>
                <w:sz w:val="18"/>
                <w:szCs w:val="18"/>
                <w:color w:val="auto"/>
              </w:rPr>
              <w:t>August 3,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Amended and Restated Employment Agreement by and between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Tree.com, Inc. and Douglas R. Lebda, dated October 26,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10.18</w:t>
            </w:r>
          </w:p>
        </w:tc>
        <w:tc>
          <w:tcPr>
            <w:tcW w:w="5280" w:type="dxa"/>
            <w:vAlign w:val="bottom"/>
          </w:tcPr>
          <w:p>
            <w:pPr>
              <w:ind w:left="80"/>
              <w:spacing w:after="0"/>
              <w:rPr>
                <w:sz w:val="20"/>
                <w:szCs w:val="20"/>
                <w:color w:val="auto"/>
              </w:rPr>
            </w:pPr>
            <w:r>
              <w:rPr>
                <w:rFonts w:ascii="Arial" w:cs="Arial" w:eastAsia="Arial" w:hAnsi="Arial"/>
                <w:sz w:val="18"/>
                <w:szCs w:val="18"/>
                <w:color w:val="auto"/>
                <w:w w:val="92"/>
              </w:rPr>
              <w:t>Employment Agreement between Tree.com, Inc. and Steven Ozonian,</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dated October 31, 2010*</w:t>
            </w:r>
          </w:p>
        </w:tc>
        <w:tc>
          <w:tcPr>
            <w:tcW w:w="5020" w:type="dxa"/>
            <w:vAlign w:val="bottom"/>
          </w:tcPr>
          <w:p>
            <w:pPr>
              <w:ind w:left="40"/>
              <w:spacing w:after="0"/>
              <w:rPr>
                <w:sz w:val="20"/>
                <w:szCs w:val="20"/>
                <w:color w:val="auto"/>
              </w:rPr>
            </w:pPr>
            <w:r>
              <w:rPr>
                <w:rFonts w:ascii="Arial" w:cs="Arial" w:eastAsia="Arial" w:hAnsi="Arial"/>
                <w:sz w:val="18"/>
                <w:szCs w:val="18"/>
                <w:color w:val="auto"/>
              </w:rPr>
              <w:t>November 1, 2010</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Confidential Severance Agreement and Release, dated March 31, 2011,</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10.3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by and between Tree.com, Inc. and Steven Ozonian*</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6,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10.20</w:t>
            </w:r>
          </w:p>
        </w:tc>
        <w:tc>
          <w:tcPr>
            <w:tcW w:w="5280" w:type="dxa"/>
            <w:vAlign w:val="bottom"/>
          </w:tcPr>
          <w:p>
            <w:pPr>
              <w:ind w:left="80"/>
              <w:spacing w:after="0"/>
              <w:rPr>
                <w:sz w:val="20"/>
                <w:szCs w:val="20"/>
                <w:color w:val="auto"/>
              </w:rPr>
            </w:pPr>
            <w:r>
              <w:rPr>
                <w:rFonts w:ascii="Arial" w:cs="Arial" w:eastAsia="Arial" w:hAnsi="Arial"/>
                <w:sz w:val="18"/>
                <w:szCs w:val="18"/>
                <w:color w:val="auto"/>
                <w:w w:val="91"/>
              </w:rPr>
              <w:t>Letter Agreement dated as of April 20, 2011 by and between Tree.com,</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10.5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Inc. and Gabriel Dalporto.</w:t>
            </w:r>
          </w:p>
        </w:tc>
        <w:tc>
          <w:tcPr>
            <w:tcW w:w="5020" w:type="dxa"/>
            <w:vAlign w:val="bottom"/>
          </w:tcPr>
          <w:p>
            <w:pPr>
              <w:ind w:left="40"/>
              <w:spacing w:after="0"/>
              <w:rPr>
                <w:sz w:val="20"/>
                <w:szCs w:val="20"/>
                <w:color w:val="auto"/>
              </w:rPr>
            </w:pPr>
            <w:r>
              <w:rPr>
                <w:rFonts w:ascii="Arial" w:cs="Arial" w:eastAsia="Arial" w:hAnsi="Arial"/>
                <w:sz w:val="18"/>
                <w:szCs w:val="18"/>
                <w:color w:val="auto"/>
              </w:rPr>
              <w:t>May 20, 2013</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Employment Agreement by and between David Norris and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Tree.com, Inc. effective as of February 7, 2012*</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15,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10.22</w:t>
            </w:r>
          </w:p>
        </w:tc>
        <w:tc>
          <w:tcPr>
            <w:tcW w:w="5280" w:type="dxa"/>
            <w:vAlign w:val="bottom"/>
          </w:tcPr>
          <w:p>
            <w:pPr>
              <w:ind w:left="80"/>
              <w:spacing w:after="0"/>
              <w:rPr>
                <w:sz w:val="20"/>
                <w:szCs w:val="20"/>
                <w:color w:val="auto"/>
              </w:rPr>
            </w:pPr>
            <w:r>
              <w:rPr>
                <w:rFonts w:ascii="Arial" w:cs="Arial" w:eastAsia="Arial" w:hAnsi="Arial"/>
                <w:sz w:val="18"/>
                <w:szCs w:val="18"/>
                <w:color w:val="auto"/>
              </w:rPr>
              <w:t>Letter Agreement dated as of July 27, 2012 by and between</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Tree.com, Inc. and Alexander Mandel*</w:t>
            </w:r>
          </w:p>
        </w:tc>
        <w:tc>
          <w:tcPr>
            <w:tcW w:w="5020" w:type="dxa"/>
            <w:vAlign w:val="bottom"/>
          </w:tcPr>
          <w:p>
            <w:pPr>
              <w:ind w:left="40"/>
              <w:spacing w:after="0"/>
              <w:rPr>
                <w:sz w:val="20"/>
                <w:szCs w:val="20"/>
                <w:color w:val="auto"/>
              </w:rPr>
            </w:pPr>
            <w:r>
              <w:rPr>
                <w:rFonts w:ascii="Arial" w:cs="Arial" w:eastAsia="Arial" w:hAnsi="Arial"/>
                <w:sz w:val="18"/>
                <w:szCs w:val="18"/>
                <w:color w:val="auto"/>
              </w:rPr>
              <w:t>November 14, 2012</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Severance Letter dated as of September 9, 2012 from Tree.com, Inc. to</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10.5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Gabriel Dalporto.</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20, 2013</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10.24</w:t>
            </w:r>
          </w:p>
        </w:tc>
        <w:tc>
          <w:tcPr>
            <w:tcW w:w="5280" w:type="dxa"/>
            <w:vAlign w:val="bottom"/>
          </w:tcPr>
          <w:p>
            <w:pPr>
              <w:ind w:left="80"/>
              <w:spacing w:after="0"/>
              <w:rPr>
                <w:sz w:val="20"/>
                <w:szCs w:val="20"/>
                <w:color w:val="auto"/>
              </w:rPr>
            </w:pPr>
            <w:r>
              <w:rPr>
                <w:rFonts w:ascii="Arial" w:cs="Arial" w:eastAsia="Arial" w:hAnsi="Arial"/>
                <w:sz w:val="18"/>
                <w:szCs w:val="18"/>
                <w:color w:val="auto"/>
                <w:w w:val="98"/>
              </w:rPr>
              <w:t>Letter Agreement dated as of December 11, 2012 by and between</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Tree.com, Inc. and Carla Shumate*</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Transition Services and Separation Agreement and General Release</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dated as of December 13, 2012 by and between LendingTree, LLC and</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Christopher Hayek*</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10.26</w:t>
            </w:r>
          </w:p>
        </w:tc>
        <w:tc>
          <w:tcPr>
            <w:tcW w:w="5280" w:type="dxa"/>
            <w:vAlign w:val="bottom"/>
          </w:tcPr>
          <w:p>
            <w:pPr>
              <w:ind w:left="80"/>
              <w:spacing w:after="0"/>
              <w:rPr>
                <w:sz w:val="20"/>
                <w:szCs w:val="20"/>
                <w:color w:val="auto"/>
              </w:rPr>
            </w:pPr>
            <w:r>
              <w:rPr>
                <w:rFonts w:ascii="Arial" w:cs="Arial" w:eastAsia="Arial" w:hAnsi="Arial"/>
                <w:sz w:val="18"/>
                <w:szCs w:val="18"/>
                <w:color w:val="auto"/>
              </w:rPr>
              <w:t>Employment Agreement dated January 9, 2014 by and between</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Douglas Lebda and Tree.com</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Employment Agreement dated January 9, 2014 by and between Gabe</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Dalporto and Tree.com</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459"/>
        </w:trPr>
        <w:tc>
          <w:tcPr>
            <w:tcW w:w="1120" w:type="dxa"/>
            <w:vAlign w:val="bottom"/>
          </w:tcPr>
          <w:p>
            <w:pPr>
              <w:spacing w:after="0"/>
              <w:rPr>
                <w:sz w:val="24"/>
                <w:szCs w:val="24"/>
                <w:color w:val="auto"/>
              </w:rPr>
            </w:pPr>
          </w:p>
        </w:tc>
        <w:tc>
          <w:tcPr>
            <w:tcW w:w="5280" w:type="dxa"/>
            <w:vAlign w:val="bottom"/>
          </w:tcPr>
          <w:p>
            <w:pPr>
              <w:ind w:left="4500"/>
              <w:spacing w:after="0"/>
              <w:rPr>
                <w:sz w:val="20"/>
                <w:szCs w:val="20"/>
                <w:color w:val="auto"/>
              </w:rPr>
            </w:pPr>
            <w:r>
              <w:rPr>
                <w:rFonts w:ascii="Arial" w:cs="Arial" w:eastAsia="Arial" w:hAnsi="Arial"/>
                <w:sz w:val="18"/>
                <w:szCs w:val="18"/>
                <w:color w:val="auto"/>
              </w:rPr>
              <w:t>71</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2"/>
        </w:trPr>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5280" w:type="dxa"/>
            <w:vAlign w:val="bottom"/>
          </w:tcPr>
          <w:p>
            <w:pPr>
              <w:ind w:left="80"/>
              <w:spacing w:after="0"/>
              <w:rPr>
                <w:sz w:val="20"/>
                <w:szCs w:val="20"/>
                <w:color w:val="auto"/>
              </w:rPr>
            </w:pPr>
            <w:r>
              <w:rPr>
                <w:rFonts w:ascii="Arial" w:cs="Arial" w:eastAsia="Arial" w:hAnsi="Arial"/>
                <w:sz w:val="18"/>
                <w:szCs w:val="18"/>
                <w:color w:val="auto"/>
                <w:w w:val="98"/>
              </w:rPr>
              <w:t>Restricted Share Grant and Stockholder's Agreement, dated as of</w:t>
            </w:r>
          </w:p>
        </w:tc>
        <w:tc>
          <w:tcPr>
            <w:tcW w:w="5020" w:type="dxa"/>
            <w:vAlign w:val="bottom"/>
          </w:tcPr>
          <w:p>
            <w:pPr>
              <w:ind w:left="40"/>
              <w:spacing w:after="0"/>
              <w:rPr>
                <w:sz w:val="20"/>
                <w:szCs w:val="20"/>
                <w:color w:val="auto"/>
              </w:rPr>
            </w:pPr>
            <w:r>
              <w:rPr>
                <w:rFonts w:ascii="Arial" w:cs="Arial" w:eastAsia="Arial" w:hAnsi="Arial"/>
                <w:sz w:val="18"/>
                <w:szCs w:val="18"/>
                <w:color w:val="auto"/>
                <w:w w:val="91"/>
              </w:rPr>
              <w:t>Exhibits 99.2 and 99.3 to the Registrant's Current Report on Form 8-</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7"/>
              </w:rPr>
              <w:t>August 15, 2008, by and among IAC/InterActiveCorp, LendingTree</w:t>
            </w:r>
          </w:p>
        </w:tc>
        <w:tc>
          <w:tcPr>
            <w:tcW w:w="5020" w:type="dxa"/>
            <w:vAlign w:val="bottom"/>
          </w:tcPr>
          <w:p>
            <w:pPr>
              <w:ind w:left="40"/>
              <w:spacing w:after="0"/>
              <w:rPr>
                <w:sz w:val="20"/>
                <w:szCs w:val="20"/>
                <w:color w:val="auto"/>
              </w:rPr>
            </w:pPr>
            <w:r>
              <w:rPr>
                <w:rFonts w:ascii="Arial" w:cs="Arial" w:eastAsia="Arial" w:hAnsi="Arial"/>
                <w:sz w:val="18"/>
                <w:szCs w:val="18"/>
                <w:color w:val="auto"/>
              </w:rPr>
              <w:t>K filed August 20, 2008</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2"/>
              </w:rPr>
              <w:t>Holdings Corp. and Douglas R. Lebda, together with Exhibit A thereto,</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7"/>
              </w:rPr>
              <w:t>Amended and Restated Certificate of Incorporation of LendingTree</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Holdings Corp.*</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Amendment No. 1 to the Stock Option Award Agreement between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10.15 to the Registrant's Quarterly Report on Form 10-Q</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Douglas R. Lebda and Tree.com, Inc., dated May 10, 2010*</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10.30</w:t>
            </w:r>
          </w:p>
        </w:tc>
        <w:tc>
          <w:tcPr>
            <w:tcW w:w="5280" w:type="dxa"/>
            <w:vAlign w:val="bottom"/>
          </w:tcPr>
          <w:p>
            <w:pPr>
              <w:ind w:left="80"/>
              <w:spacing w:after="0"/>
              <w:rPr>
                <w:sz w:val="20"/>
                <w:szCs w:val="20"/>
                <w:color w:val="auto"/>
              </w:rPr>
            </w:pPr>
            <w:r>
              <w:rPr>
                <w:rFonts w:ascii="Arial" w:cs="Arial" w:eastAsia="Arial" w:hAnsi="Arial"/>
                <w:sz w:val="18"/>
                <w:szCs w:val="18"/>
                <w:color w:val="auto"/>
                <w:w w:val="90"/>
              </w:rPr>
              <w:t>Amendment No. 3 to the Master Repurchase Agreement, dated July 22,</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3"/>
              </w:rPr>
              <w:t>2010, by and between Home Loan Center, Inc. and JPMorgan Chase</w:t>
            </w:r>
          </w:p>
        </w:tc>
        <w:tc>
          <w:tcPr>
            <w:tcW w:w="5020" w:type="dxa"/>
            <w:vAlign w:val="bottom"/>
          </w:tcPr>
          <w:p>
            <w:pPr>
              <w:ind w:left="40"/>
              <w:spacing w:after="0"/>
              <w:rPr>
                <w:sz w:val="20"/>
                <w:szCs w:val="20"/>
                <w:color w:val="auto"/>
              </w:rPr>
            </w:pPr>
            <w:r>
              <w:rPr>
                <w:rFonts w:ascii="Arial" w:cs="Arial" w:eastAsia="Arial" w:hAnsi="Arial"/>
                <w:sz w:val="18"/>
                <w:szCs w:val="18"/>
                <w:color w:val="auto"/>
              </w:rPr>
              <w:t>July 28, 2010</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Bank, N.A.</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Amendment No. 1 to the Restricted Share Grant and Stockholder's</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Agreement, dated August 30, 2010 between Tree.com, Inc.,</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12, 2010</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LendingTree Holdings Corp. and Douglas R. Lebda*</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10.32</w:t>
            </w:r>
          </w:p>
        </w:tc>
        <w:tc>
          <w:tcPr>
            <w:tcW w:w="5280" w:type="dxa"/>
            <w:vAlign w:val="bottom"/>
          </w:tcPr>
          <w:p>
            <w:pPr>
              <w:ind w:left="80"/>
              <w:spacing w:after="0"/>
              <w:rPr>
                <w:sz w:val="20"/>
                <w:szCs w:val="20"/>
                <w:color w:val="auto"/>
              </w:rPr>
            </w:pPr>
            <w:r>
              <w:rPr>
                <w:rFonts w:ascii="Arial" w:cs="Arial" w:eastAsia="Arial" w:hAnsi="Arial"/>
                <w:sz w:val="18"/>
                <w:szCs w:val="18"/>
                <w:color w:val="auto"/>
              </w:rPr>
              <w:t>Award Letter between Greg Hanson and Tree.com BU Holding</w:t>
            </w:r>
          </w:p>
        </w:tc>
        <w:tc>
          <w:tcPr>
            <w:tcW w:w="5020" w:type="dxa"/>
            <w:vAlign w:val="bottom"/>
          </w:tcPr>
          <w:p>
            <w:pPr>
              <w:ind w:left="40"/>
              <w:spacing w:after="0"/>
              <w:rPr>
                <w:sz w:val="20"/>
                <w:szCs w:val="20"/>
                <w:color w:val="auto"/>
              </w:rPr>
            </w:pPr>
            <w:r>
              <w:rPr>
                <w:rFonts w:ascii="Arial" w:cs="Arial" w:eastAsia="Arial" w:hAnsi="Arial"/>
                <w:sz w:val="18"/>
                <w:szCs w:val="18"/>
                <w:color w:val="auto"/>
              </w:rPr>
              <w:t>Exhibit 10.1 to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Company, Inc. dated January 28, 2011*</w:t>
            </w:r>
          </w:p>
        </w:tc>
        <w:tc>
          <w:tcPr>
            <w:tcW w:w="5020" w:type="dxa"/>
            <w:vAlign w:val="bottom"/>
          </w:tcPr>
          <w:p>
            <w:pPr>
              <w:ind w:left="40"/>
              <w:spacing w:after="0"/>
              <w:rPr>
                <w:sz w:val="20"/>
                <w:szCs w:val="20"/>
                <w:color w:val="auto"/>
              </w:rPr>
            </w:pPr>
            <w:r>
              <w:rPr>
                <w:rFonts w:ascii="Arial" w:cs="Arial" w:eastAsia="Arial" w:hAnsi="Arial"/>
                <w:sz w:val="18"/>
                <w:szCs w:val="18"/>
                <w:color w:val="auto"/>
              </w:rPr>
              <w:t>February 3, 2011</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Third Amended and Restated Tree.com, Inc. 2008 Stock and Annual</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10.86(a) to the Registrant's Post-Effective Amendment to its</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Registration Statement on Form S-1 (No. 333-152700),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13,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10.34</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10.86(b) to the Registrant's Post-Effective Amendment to its</w:t>
            </w:r>
          </w:p>
        </w:tc>
      </w:tr>
      <w:tr>
        <w:trPr>
          <w:trHeight w:val="216"/>
        </w:trPr>
        <w:tc>
          <w:tcPr>
            <w:tcW w:w="1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Registration Statement on Form S-1 (No. 333-152700),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13, 2012</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Second amended and restated Tree.com, Inc. 2008 Stock and Annual</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Exhibit 10.2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 2009</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Restricted Stock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10.86(c) to the Registrant's Post-Effective Amendment to its</w:t>
            </w:r>
          </w:p>
        </w:tc>
      </w:tr>
      <w:tr>
        <w:trPr>
          <w:trHeight w:val="216"/>
        </w:trPr>
        <w:tc>
          <w:tcPr>
            <w:tcW w:w="1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Registration Statement on Form S-1 (No. 333-152700),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13, 2012</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10.86(d) to the Registrant's Post-Effective Amendment to its</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Registration Statement on Form S-1 (No. 333-152700),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13, 2012</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10.38</w:t>
            </w:r>
          </w:p>
        </w:tc>
        <w:tc>
          <w:tcPr>
            <w:tcW w:w="5280" w:type="dxa"/>
            <w:vAlign w:val="bottom"/>
          </w:tcPr>
          <w:p>
            <w:pPr>
              <w:ind w:left="80"/>
              <w:spacing w:after="0"/>
              <w:rPr>
                <w:sz w:val="20"/>
                <w:szCs w:val="20"/>
                <w:color w:val="auto"/>
              </w:rPr>
            </w:pPr>
            <w:r>
              <w:rPr>
                <w:rFonts w:ascii="Arial" w:cs="Arial" w:eastAsia="Arial" w:hAnsi="Arial"/>
                <w:sz w:val="18"/>
                <w:szCs w:val="18"/>
                <w:color w:val="auto"/>
              </w:rPr>
              <w:t>Deferred Compensation Plan for Non-Employee Directors*</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10.15 to the Registrant's Registration Statement on Form S-</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1 (No. 333-152700), filed August 1, 2008</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10.4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27, 2009</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Restricted Stock Award*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10.5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March 27, 2009</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10.6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27, 2009</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c>
          <w:tcPr>
            <w:tcW w:w="5280" w:type="dxa"/>
            <w:vAlign w:val="bottom"/>
          </w:tcPr>
          <w:p>
            <w:pPr>
              <w:ind w:left="80"/>
              <w:spacing w:after="0"/>
              <w:rPr>
                <w:sz w:val="20"/>
                <w:szCs w:val="20"/>
                <w:color w:val="auto"/>
              </w:rPr>
            </w:pPr>
            <w:r>
              <w:rPr>
                <w:rFonts w:ascii="Arial" w:cs="Arial" w:eastAsia="Arial" w:hAnsi="Arial"/>
                <w:sz w:val="18"/>
                <w:szCs w:val="18"/>
                <w:color w:val="auto"/>
              </w:rPr>
              <w:t>Option Cancellation Agreement, made and entered into as of the</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28th day of April, 2009, by and between Tree.com, Inc. and Douglas R. May 1, 2009</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Lebda*</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Amendment to Restricted Stock Awards for Douglas R.</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Lebda*</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10.44</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Restricted Stock Award Agreement*</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10.11 to the Registrant's Quarterly Report on Form 10-Q</w:t>
            </w:r>
          </w:p>
        </w:tc>
      </w:tr>
      <w:tr>
        <w:trPr>
          <w:trHeight w:val="230"/>
        </w:trPr>
        <w:tc>
          <w:tcPr>
            <w:tcW w:w="1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filed May 12, 2010</w:t>
            </w:r>
          </w:p>
        </w:tc>
      </w:tr>
      <w:tr>
        <w:trPr>
          <w:trHeight w:val="486"/>
        </w:trPr>
        <w:tc>
          <w:tcPr>
            <w:tcW w:w="1120" w:type="dxa"/>
            <w:vAlign w:val="bottom"/>
          </w:tcPr>
          <w:p>
            <w:pPr>
              <w:spacing w:after="0"/>
              <w:rPr>
                <w:sz w:val="24"/>
                <w:szCs w:val="24"/>
                <w:color w:val="auto"/>
              </w:rPr>
            </w:pPr>
          </w:p>
        </w:tc>
        <w:tc>
          <w:tcPr>
            <w:tcW w:w="5280" w:type="dxa"/>
            <w:vAlign w:val="bottom"/>
          </w:tcPr>
          <w:p>
            <w:pPr>
              <w:ind w:left="4500"/>
              <w:spacing w:after="0"/>
              <w:rPr>
                <w:sz w:val="20"/>
                <w:szCs w:val="20"/>
                <w:color w:val="auto"/>
              </w:rPr>
            </w:pPr>
            <w:r>
              <w:rPr>
                <w:rFonts w:ascii="Arial" w:cs="Arial" w:eastAsia="Arial" w:hAnsi="Arial"/>
                <w:sz w:val="18"/>
                <w:szCs w:val="18"/>
                <w:color w:val="auto"/>
              </w:rPr>
              <w:t>72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18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1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120" w:type="dxa"/>
            <w:vAlign w:val="bottom"/>
          </w:tcPr>
          <w:p>
            <w:pPr>
              <w:ind w:left="22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Exhibit 10.12 to the Registrant's Quarterly Report on Form 10-Q</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May 12, 2010</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10.46</w:t>
            </w:r>
          </w:p>
        </w:tc>
        <w:tc>
          <w:tcPr>
            <w:tcW w:w="5180" w:type="dxa"/>
            <w:vAlign w:val="bottom"/>
          </w:tcPr>
          <w:p>
            <w:pPr>
              <w:ind w:left="80"/>
              <w:spacing w:after="0"/>
              <w:rPr>
                <w:sz w:val="20"/>
                <w:szCs w:val="20"/>
                <w:color w:val="auto"/>
              </w:rPr>
            </w:pPr>
            <w:r>
              <w:rPr>
                <w:rFonts w:ascii="Arial" w:cs="Arial" w:eastAsia="Arial" w:hAnsi="Arial"/>
                <w:sz w:val="18"/>
                <w:szCs w:val="18"/>
                <w:color w:val="auto"/>
              </w:rPr>
              <w:t>Form of Notice of Stock Option Award*</w:t>
            </w:r>
          </w:p>
        </w:tc>
        <w:tc>
          <w:tcPr>
            <w:tcW w:w="5120" w:type="dxa"/>
            <w:vAlign w:val="bottom"/>
          </w:tcPr>
          <w:p>
            <w:pPr>
              <w:ind w:left="140"/>
              <w:spacing w:after="0"/>
              <w:rPr>
                <w:sz w:val="20"/>
                <w:szCs w:val="20"/>
                <w:color w:val="auto"/>
              </w:rPr>
            </w:pPr>
            <w:r>
              <w:rPr>
                <w:rFonts w:ascii="Arial" w:cs="Arial" w:eastAsia="Arial" w:hAnsi="Arial"/>
                <w:sz w:val="18"/>
                <w:szCs w:val="18"/>
                <w:color w:val="auto"/>
                <w:w w:val="97"/>
              </w:rPr>
              <w:t>Exhibit 10.13 to the Registrant's Quarterly Report on Form 10-Q</w:t>
            </w:r>
          </w:p>
        </w:tc>
      </w:tr>
      <w:tr>
        <w:trPr>
          <w:trHeight w:val="230"/>
        </w:trPr>
        <w:tc>
          <w:tcPr>
            <w:tcW w:w="1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filed May 12, 2010</w:t>
            </w:r>
          </w:p>
        </w:tc>
      </w:tr>
      <w:tr>
        <w:trPr>
          <w:trHeight w:val="27"/>
        </w:trPr>
        <w:tc>
          <w:tcPr>
            <w:tcW w:w="1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Standard Terms and Conditions to Restricted Stock Award Letters of</w:t>
            </w: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 10.2 to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Tree.com BU Holding Company, Inc.*</w:t>
            </w: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February 3,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10.48</w:t>
            </w:r>
          </w:p>
        </w:tc>
        <w:tc>
          <w:tcPr>
            <w:tcW w:w="5180" w:type="dxa"/>
            <w:vAlign w:val="bottom"/>
          </w:tcPr>
          <w:p>
            <w:pPr>
              <w:ind w:left="80"/>
              <w:spacing w:after="0"/>
              <w:rPr>
                <w:sz w:val="20"/>
                <w:szCs w:val="20"/>
                <w:color w:val="auto"/>
              </w:rPr>
            </w:pPr>
            <w:r>
              <w:rPr>
                <w:rFonts w:ascii="Arial" w:cs="Arial" w:eastAsia="Arial" w:hAnsi="Arial"/>
                <w:sz w:val="18"/>
                <w:szCs w:val="18"/>
                <w:color w:val="auto"/>
                <w:w w:val="91"/>
              </w:rPr>
              <w:t>Master Repurchase Agreement, dated as of January 25, 2008, by and</w:t>
            </w:r>
          </w:p>
        </w:tc>
        <w:tc>
          <w:tcPr>
            <w:tcW w:w="5120" w:type="dxa"/>
            <w:vAlign w:val="bottom"/>
          </w:tcPr>
          <w:p>
            <w:pPr>
              <w:ind w:left="140"/>
              <w:spacing w:after="0"/>
              <w:rPr>
                <w:sz w:val="20"/>
                <w:szCs w:val="20"/>
                <w:color w:val="auto"/>
              </w:rPr>
            </w:pPr>
            <w:r>
              <w:rPr>
                <w:rFonts w:ascii="Arial" w:cs="Arial" w:eastAsia="Arial" w:hAnsi="Arial"/>
                <w:sz w:val="18"/>
                <w:szCs w:val="18"/>
                <w:color w:val="auto"/>
                <w:w w:val="92"/>
              </w:rPr>
              <w:t>Exhibit 10.13 to the Registrant's Registration Statement on Form S-</w:t>
            </w:r>
          </w:p>
        </w:tc>
      </w:tr>
      <w:tr>
        <w:trPr>
          <w:trHeight w:val="216"/>
        </w:trPr>
        <w:tc>
          <w:tcPr>
            <w:tcW w:w="11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w w:val="98"/>
              </w:rPr>
              <w:t>among Countrywide Bank, FSB and Home Loan Center, Inc. (the</w:t>
            </w:r>
          </w:p>
        </w:tc>
        <w:tc>
          <w:tcPr>
            <w:tcW w:w="5120" w:type="dxa"/>
            <w:vAlign w:val="bottom"/>
          </w:tcPr>
          <w:p>
            <w:pPr>
              <w:ind w:left="140"/>
              <w:spacing w:after="0"/>
              <w:rPr>
                <w:sz w:val="20"/>
                <w:szCs w:val="20"/>
                <w:color w:val="auto"/>
              </w:rPr>
            </w:pPr>
            <w:r>
              <w:rPr>
                <w:rFonts w:ascii="Arial" w:cs="Arial" w:eastAsia="Arial" w:hAnsi="Arial"/>
                <w:sz w:val="18"/>
                <w:szCs w:val="18"/>
                <w:color w:val="auto"/>
              </w:rPr>
              <w:t>1 (No. 333-152700), filed August 1, 2008</w:t>
            </w:r>
          </w:p>
        </w:tc>
      </w:tr>
      <w:tr>
        <w:trPr>
          <w:trHeight w:val="230"/>
        </w:trPr>
        <w:tc>
          <w:tcPr>
            <w:tcW w:w="112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"Master Repurchase Agreement")</w:t>
            </w:r>
          </w:p>
        </w:tc>
        <w:tc>
          <w:tcPr>
            <w:tcW w:w="5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40" w:lineRule="exact"/>
        <w:rPr>
          <w:sz w:val="20"/>
          <w:szCs w:val="20"/>
          <w:color w:val="auto"/>
        </w:r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10.49</w:t>
        <w:tab/>
        <w:t>Notice, dated June 25, 2008, issued by Countrywide Warehouse Lending, regarding certain amendments to the Master Repurchase Agreement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Exhibit 10.14 to the Registrant's Registration Statement on Form S-1 (No. 333-152700), filed August 1, 2008</w:t>
      </w:r>
    </w:p>
    <w:p>
      <w:pPr>
        <w:spacing w:after="0" w:line="224" w:lineRule="exact"/>
        <w:rPr>
          <w:sz w:val="20"/>
          <w:szCs w:val="20"/>
          <w:color w:val="auto"/>
        </w:rPr>
      </w:pPr>
    </w:p>
    <w:p>
      <w:pPr>
        <w:sectPr>
          <w:pgSz w:w="11900" w:h="16838" w:orient="portrait"/>
          <w:cols w:equalWidth="0" w:num="2">
            <w:col w:w="5940" w:space="50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10.50</w:t>
            </w:r>
          </w:p>
        </w:tc>
        <w:tc>
          <w:tcPr>
            <w:tcW w:w="5260" w:type="dxa"/>
            <w:vAlign w:val="bottom"/>
          </w:tcPr>
          <w:p>
            <w:pPr>
              <w:ind w:left="80"/>
              <w:spacing w:after="0"/>
              <w:rPr>
                <w:sz w:val="20"/>
                <w:szCs w:val="20"/>
                <w:color w:val="auto"/>
              </w:rPr>
            </w:pPr>
            <w:r>
              <w:rPr>
                <w:rFonts w:ascii="Arial" w:cs="Arial" w:eastAsia="Arial" w:hAnsi="Arial"/>
                <w:sz w:val="18"/>
                <w:szCs w:val="18"/>
                <w:color w:val="auto"/>
                <w:w w:val="90"/>
              </w:rPr>
              <w:t>Amendment to Master Repurchase Agreement No. 1 made and entered</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3"/>
              </w:rPr>
              <w:t>into as of February 23, 2009 by and between the Warehouse Lending</w:t>
            </w:r>
          </w:p>
        </w:tc>
        <w:tc>
          <w:tcPr>
            <w:tcW w:w="5040" w:type="dxa"/>
            <w:vAlign w:val="bottom"/>
          </w:tcPr>
          <w:p>
            <w:pPr>
              <w:ind w:left="60"/>
              <w:spacing w:after="0"/>
              <w:rPr>
                <w:sz w:val="20"/>
                <w:szCs w:val="20"/>
                <w:color w:val="auto"/>
              </w:rPr>
            </w:pPr>
            <w:r>
              <w:rPr>
                <w:rFonts w:ascii="Arial" w:cs="Arial" w:eastAsia="Arial" w:hAnsi="Arial"/>
                <w:sz w:val="18"/>
                <w:szCs w:val="18"/>
                <w:color w:val="auto"/>
              </w:rPr>
              <w:t>February 27, 2009</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Division of Countrywide Bank, FSB and Home Loan Center, Inc.</w:t>
            </w:r>
          </w:p>
        </w:tc>
        <w:tc>
          <w:tcPr>
            <w:tcW w:w="50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Amendment No. 3 to Master Repurchase Agreement, dated July 22,</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2010, by and between Home Loan Center, Inc. and JPMorgan Chase</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July 28, 2010</w:t>
            </w:r>
          </w:p>
        </w:tc>
      </w:tr>
      <w:tr>
        <w:trPr>
          <w:trHeight w:val="230"/>
        </w:trPr>
        <w:tc>
          <w:tcPr>
            <w:tcW w:w="1120" w:type="dxa"/>
            <w:vAlign w:val="bottom"/>
            <w:shd w:val="clear" w:color="auto" w:fill="CCEEFF"/>
          </w:tcPr>
          <w:p>
            <w:pPr>
              <w:spacing w:after="0"/>
              <w:rPr>
                <w:sz w:val="20"/>
                <w:szCs w:val="20"/>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Bank, N.A.</w:t>
            </w:r>
          </w:p>
        </w:tc>
        <w:tc>
          <w:tcPr>
            <w:tcW w:w="5040" w:type="dxa"/>
            <w:vAlign w:val="bottom"/>
            <w:shd w:val="clear" w:color="auto" w:fill="CCEEFF"/>
          </w:tcPr>
          <w:p>
            <w:pPr>
              <w:spacing w:after="0"/>
              <w:rPr>
                <w:sz w:val="20"/>
                <w:szCs w:val="20"/>
                <w:color w:val="auto"/>
              </w:rPr>
            </w:pPr>
          </w:p>
        </w:tc>
      </w:tr>
      <w:tr>
        <w:trPr>
          <w:trHeight w:val="27"/>
        </w:trPr>
        <w:tc>
          <w:tcPr>
            <w:tcW w:w="1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10.52</w:t>
        <w:tab/>
        <w:t>Amendment No. 4 to Master Repurchase Agreement, dated as of October 29, 2010 by and between Home Loan Center, Inc. and JPMorgan Chase Bank, N.A.</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October 25, 2010</w:t>
      </w:r>
    </w:p>
    <w:p>
      <w:pPr>
        <w:spacing w:after="0" w:line="212" w:lineRule="exact"/>
        <w:rPr>
          <w:sz w:val="20"/>
          <w:szCs w:val="20"/>
          <w:color w:val="auto"/>
        </w:rPr>
      </w:pPr>
    </w:p>
    <w:p>
      <w:pPr>
        <w:sectPr>
          <w:pgSz w:w="11900" w:h="16838" w:orient="portrait"/>
          <w:cols w:equalWidth="0" w:num="2">
            <w:col w:w="5860" w:space="58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Warehousing Credit Agreement, dated as of November 26, 2007, by</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10.12 to the Registrant's Registration Statement on Form S-</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and among Home Loan Center, Inc. d/b/a LendingTree Loans, National</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(No. 333-152700), filed August 1, 2008</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Bank and National City Bank in its capacity as Agent for the</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Banks (as defined therein)</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5280" w:type="dxa"/>
            <w:vAlign w:val="bottom"/>
          </w:tcPr>
          <w:p>
            <w:pPr>
              <w:ind w:left="80"/>
              <w:spacing w:after="0"/>
              <w:rPr>
                <w:sz w:val="20"/>
                <w:szCs w:val="20"/>
                <w:color w:val="auto"/>
              </w:rPr>
            </w:pPr>
            <w:r>
              <w:rPr>
                <w:rFonts w:ascii="Arial" w:cs="Arial" w:eastAsia="Arial" w:hAnsi="Arial"/>
                <w:sz w:val="18"/>
                <w:szCs w:val="18"/>
                <w:color w:val="auto"/>
                <w:w w:val="97"/>
              </w:rPr>
              <w:t>Second Amendment to Warehousing Credit Agreement, made and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2"/>
              </w:rPr>
              <w:t>entered into as of the 12th day of December, 2008, and to be effective</w:t>
            </w:r>
          </w:p>
        </w:tc>
        <w:tc>
          <w:tcPr>
            <w:tcW w:w="5020" w:type="dxa"/>
            <w:vAlign w:val="bottom"/>
          </w:tcPr>
          <w:p>
            <w:pPr>
              <w:ind w:left="40"/>
              <w:spacing w:after="0"/>
              <w:rPr>
                <w:sz w:val="20"/>
                <w:szCs w:val="20"/>
                <w:color w:val="auto"/>
              </w:rPr>
            </w:pPr>
            <w:r>
              <w:rPr>
                <w:rFonts w:ascii="Arial" w:cs="Arial" w:eastAsia="Arial" w:hAnsi="Arial"/>
                <w:sz w:val="18"/>
                <w:szCs w:val="18"/>
                <w:color w:val="auto"/>
              </w:rPr>
              <w:t>December 17, 2008</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8"/>
              </w:rPr>
              <w:t>as of the 30 th day of December, 2008, by and among Home Loan</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2"/>
              </w:rPr>
              <w:t>Center, Inc. d/b/a LendingTree Loans, National City Bank and National</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5"/>
              </w:rPr>
              <w:t>City Bank in its capacity as Agent for the Banks (as defined therein).</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 Purchase Agreement, dated as of April 16, 2002, between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10.10 to the Registrant's Registration Statement on Form S-</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Countrywide Home Loans, Inc. and Home Loan Center, Inc.</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 (No. 333-152700), filed August 1,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c>
          <w:tcPr>
            <w:tcW w:w="5280" w:type="dxa"/>
            <w:vAlign w:val="bottom"/>
          </w:tcPr>
          <w:p>
            <w:pPr>
              <w:ind w:left="80"/>
              <w:spacing w:after="0"/>
              <w:rPr>
                <w:sz w:val="20"/>
                <w:szCs w:val="20"/>
                <w:color w:val="auto"/>
              </w:rPr>
            </w:pPr>
            <w:r>
              <w:rPr>
                <w:rFonts w:ascii="Arial" w:cs="Arial" w:eastAsia="Arial" w:hAnsi="Arial"/>
                <w:sz w:val="18"/>
                <w:szCs w:val="18"/>
                <w:color w:val="auto"/>
                <w:w w:val="97"/>
              </w:rPr>
              <w:t>Amended and Restated Restricted Share Grant and Shareholders'</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10.8 to the Registrant's Registration Statement on Form S-1</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7"/>
              </w:rPr>
              <w:t>Agreement, dated as of July 7, 2003, by and among Forest Merger</w:t>
            </w:r>
          </w:p>
        </w:tc>
        <w:tc>
          <w:tcPr>
            <w:tcW w:w="5020" w:type="dxa"/>
            <w:vAlign w:val="bottom"/>
          </w:tcPr>
          <w:p>
            <w:pPr>
              <w:ind w:left="40"/>
              <w:spacing w:after="0"/>
              <w:rPr>
                <w:sz w:val="20"/>
                <w:szCs w:val="20"/>
                <w:color w:val="auto"/>
              </w:rPr>
            </w:pPr>
            <w:r>
              <w:rPr>
                <w:rFonts w:ascii="Arial" w:cs="Arial" w:eastAsia="Arial" w:hAnsi="Arial"/>
                <w:sz w:val="18"/>
                <w:szCs w:val="18"/>
                <w:color w:val="auto"/>
              </w:rPr>
              <w:t>(No. 333-152700), filed August 1, 2008</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7"/>
              </w:rPr>
              <w:t>Corp., LendingTree, Inc., InterActiveCorp and the Grantees named</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9"/>
              </w:rPr>
              <w:t>therein, as amended (filed as Exhibit 99.4 to Amendment No. 1 to</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4"/>
              </w:rPr>
              <w:t>IAC/InterActiveCorp's Registration Statement on Form S-4 (SEC File</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7"/>
              </w:rPr>
              <w:t>No. 333-105876) filed on July 10, 2003 and incorporated herein by</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reference)*</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Correspondent Loan Purchase Agreement, dated as of April 26, 2004,</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10.9 to the Registrant's Registration Statement on Form S-1</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between CitiMortgage, Inc. and Home Loan Center, Inc.</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 333-152700), filed August 1, 2008</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10.58</w:t>
            </w:r>
          </w:p>
        </w:tc>
        <w:tc>
          <w:tcPr>
            <w:tcW w:w="5280" w:type="dxa"/>
            <w:vAlign w:val="bottom"/>
          </w:tcPr>
          <w:p>
            <w:pPr>
              <w:ind w:left="80"/>
              <w:spacing w:after="0"/>
              <w:rPr>
                <w:sz w:val="20"/>
                <w:szCs w:val="20"/>
                <w:color w:val="auto"/>
              </w:rPr>
            </w:pPr>
            <w:r>
              <w:rPr>
                <w:rFonts w:ascii="Arial" w:cs="Arial" w:eastAsia="Arial" w:hAnsi="Arial"/>
                <w:sz w:val="18"/>
                <w:szCs w:val="18"/>
                <w:color w:val="auto"/>
                <w:w w:val="94"/>
              </w:rPr>
              <w:t>Separation and Distribution Agreement, dated as of August 20, 2008,</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10.1 to the Registrant's Registration Statement on Form S-1</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by and among IAC/InterActiveCorp, HSN, Inc., Interval Leisure</w:t>
            </w:r>
          </w:p>
        </w:tc>
        <w:tc>
          <w:tcPr>
            <w:tcW w:w="5020" w:type="dxa"/>
            <w:vAlign w:val="bottom"/>
          </w:tcPr>
          <w:p>
            <w:pPr>
              <w:ind w:left="40"/>
              <w:spacing w:after="0"/>
              <w:rPr>
                <w:sz w:val="20"/>
                <w:szCs w:val="20"/>
                <w:color w:val="auto"/>
              </w:rPr>
            </w:pPr>
            <w:r>
              <w:rPr>
                <w:rFonts w:ascii="Arial" w:cs="Arial" w:eastAsia="Arial" w:hAnsi="Arial"/>
                <w:sz w:val="18"/>
                <w:szCs w:val="18"/>
                <w:color w:val="auto"/>
              </w:rPr>
              <w:t>(No. 333-152700), filed August 1, 2008</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Group, Inc., Ticketmaster and Tree.com, Inc.</w:t>
            </w:r>
          </w:p>
        </w:tc>
        <w:tc>
          <w:tcPr>
            <w:tcW w:w="5020" w:type="dxa"/>
            <w:vAlign w:val="bottom"/>
          </w:tcPr>
          <w:p>
            <w:pPr>
              <w:spacing w:after="0"/>
              <w:rPr>
                <w:sz w:val="20"/>
                <w:szCs w:val="20"/>
                <w:color w:val="auto"/>
              </w:rPr>
            </w:pPr>
          </w:p>
        </w:tc>
      </w:tr>
      <w:tr>
        <w:trPr>
          <w:trHeight w:val="486"/>
        </w:trPr>
        <w:tc>
          <w:tcPr>
            <w:tcW w:w="1120" w:type="dxa"/>
            <w:vAlign w:val="bottom"/>
          </w:tcPr>
          <w:p>
            <w:pPr>
              <w:spacing w:after="0"/>
              <w:rPr>
                <w:sz w:val="24"/>
                <w:szCs w:val="24"/>
                <w:color w:val="auto"/>
              </w:rPr>
            </w:pPr>
          </w:p>
        </w:tc>
        <w:tc>
          <w:tcPr>
            <w:tcW w:w="5280" w:type="dxa"/>
            <w:vAlign w:val="bottom"/>
          </w:tcPr>
          <w:p>
            <w:pPr>
              <w:ind w:left="4500"/>
              <w:spacing w:after="0"/>
              <w:rPr>
                <w:sz w:val="20"/>
                <w:szCs w:val="20"/>
                <w:color w:val="auto"/>
              </w:rPr>
            </w:pPr>
            <w:r>
              <w:rPr>
                <w:rFonts w:ascii="Arial" w:cs="Arial" w:eastAsia="Arial" w:hAnsi="Arial"/>
                <w:sz w:val="18"/>
                <w:szCs w:val="18"/>
                <w:color w:val="auto"/>
              </w:rPr>
              <w:t>73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type w:val="continuous"/>
        </w:sectPr>
      </w:pPr>
    </w:p>
    <w:bookmarkStart w:id="75" w:name="page76"/>
    <w:bookmarkEnd w:id="75"/>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62" w:lineRule="exact"/>
        <w:rPr>
          <w:sz w:val="20"/>
          <w:szCs w:val="20"/>
          <w:color w:val="auto"/>
        </w:r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10.59</w:t>
        <w:tab/>
        <w:t>Tax Sharing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10.2 to the Registrant's Current Report on Form 8-K filed August 25, 2008</w:t>
      </w:r>
    </w:p>
    <w:p>
      <w:pPr>
        <w:spacing w:after="0" w:line="224" w:lineRule="exact"/>
        <w:rPr>
          <w:sz w:val="20"/>
          <w:szCs w:val="20"/>
          <w:color w:val="auto"/>
        </w:rPr>
      </w:pPr>
    </w:p>
    <w:p>
      <w:pPr>
        <w:sectPr>
          <w:pgSz w:w="11900" w:h="16838" w:orient="portrait"/>
          <w:cols w:equalWidth="0" w:num="2">
            <w:col w:w="6140" w:space="300"/>
            <w:col w:w="498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10.60</w:t>
        <w:tab/>
        <w:t>Employee Matters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10.3 to the Registrant's Current Report on Form 8-K filed August 25, 2008</w:t>
      </w:r>
    </w:p>
    <w:p>
      <w:pPr>
        <w:spacing w:after="0" w:line="224" w:lineRule="exact"/>
        <w:rPr>
          <w:sz w:val="20"/>
          <w:szCs w:val="20"/>
          <w:color w:val="auto"/>
        </w:rPr>
      </w:pPr>
    </w:p>
    <w:p>
      <w:pPr>
        <w:sectPr>
          <w:pgSz w:w="11900" w:h="16838" w:orient="portrait"/>
          <w:cols w:equalWidth="0" w:num="2">
            <w:col w:w="6240" w:space="200"/>
            <w:col w:w="498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10.61</w:t>
        <w:tab/>
        <w:t>Transition Services Agreement, dated as of August 20, 2008, by and among IAC/InterActiveCorp, HSN, Inc., Interval Leisure Group, Inc., Ticketmaster and Tree.com, Inc.</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10.4 to the Registrant's Current Report on Form 8-K filed August 25, 2008</w:t>
      </w:r>
    </w:p>
    <w:p>
      <w:pPr>
        <w:spacing w:after="0" w:line="224" w:lineRule="exact"/>
        <w:rPr>
          <w:sz w:val="20"/>
          <w:szCs w:val="20"/>
          <w:color w:val="auto"/>
        </w:rPr>
      </w:pPr>
    </w:p>
    <w:p>
      <w:pPr>
        <w:sectPr>
          <w:pgSz w:w="11900" w:h="16838" w:orient="portrait"/>
          <w:cols w:equalWidth="0" w:num="2">
            <w:col w:w="6240" w:space="20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5160" w:type="dxa"/>
            <w:vAlign w:val="bottom"/>
          </w:tcPr>
          <w:p>
            <w:pPr>
              <w:ind w:left="80"/>
              <w:spacing w:after="0"/>
              <w:rPr>
                <w:sz w:val="20"/>
                <w:szCs w:val="20"/>
                <w:color w:val="auto"/>
              </w:rPr>
            </w:pPr>
            <w:r>
              <w:rPr>
                <w:rFonts w:ascii="Arial" w:cs="Arial" w:eastAsia="Arial" w:hAnsi="Arial"/>
                <w:sz w:val="18"/>
                <w:szCs w:val="18"/>
                <w:color w:val="auto"/>
                <w:w w:val="92"/>
              </w:rPr>
              <w:t>Registration Rights Agreement, dated as of August 20, 2008, among</w:t>
            </w:r>
          </w:p>
        </w:tc>
        <w:tc>
          <w:tcPr>
            <w:tcW w:w="5140" w:type="dxa"/>
            <w:vAlign w:val="bottom"/>
          </w:tcPr>
          <w:p>
            <w:pPr>
              <w:ind w:left="160"/>
              <w:spacing w:after="0"/>
              <w:rPr>
                <w:sz w:val="20"/>
                <w:szCs w:val="20"/>
                <w:color w:val="auto"/>
              </w:rPr>
            </w:pPr>
            <w:r>
              <w:rPr>
                <w:rFonts w:ascii="Arial" w:cs="Arial" w:eastAsia="Arial" w:hAnsi="Arial"/>
                <w:sz w:val="18"/>
                <w:szCs w:val="18"/>
                <w:color w:val="auto"/>
                <w:w w:val="97"/>
              </w:rPr>
              <w:t>Exhibit 10.5 to the Registrant's Current Report on Form 8-K filed</w:t>
            </w:r>
          </w:p>
        </w:tc>
      </w:tr>
      <w:tr>
        <w:trPr>
          <w:trHeight w:val="216"/>
        </w:trPr>
        <w:tc>
          <w:tcPr>
            <w:tcW w:w="11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Tree.com, Inc., Liberty Media Corporation and Liberty USA</w:t>
            </w:r>
          </w:p>
        </w:tc>
        <w:tc>
          <w:tcPr>
            <w:tcW w:w="5140" w:type="dxa"/>
            <w:vAlign w:val="bottom"/>
          </w:tcPr>
          <w:p>
            <w:pPr>
              <w:ind w:left="160"/>
              <w:spacing w:after="0"/>
              <w:rPr>
                <w:sz w:val="20"/>
                <w:szCs w:val="20"/>
                <w:color w:val="auto"/>
              </w:rPr>
            </w:pPr>
            <w:r>
              <w:rPr>
                <w:rFonts w:ascii="Arial" w:cs="Arial" w:eastAsia="Arial" w:hAnsi="Arial"/>
                <w:sz w:val="18"/>
                <w:szCs w:val="18"/>
                <w:color w:val="auto"/>
              </w:rPr>
              <w:t>August 25, 2008</w:t>
            </w:r>
          </w:p>
        </w:tc>
      </w:tr>
      <w:tr>
        <w:trPr>
          <w:trHeight w:val="230"/>
        </w:trPr>
        <w:tc>
          <w:tcPr>
            <w:tcW w:w="112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Holdings, LLC</w:t>
            </w:r>
          </w:p>
        </w:tc>
        <w:tc>
          <w:tcPr>
            <w:tcW w:w="51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0300" w:type="dxa"/>
            <w:vAlign w:val="bottom"/>
            <w:gridSpan w:val="2"/>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Spinco Assignment and Assumption Agreement, dated as of August 20, Exhibit 10.6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2008, among IAC/InterActiveCorp, Tree.com, Inc., Liberty Media</w:t>
            </w: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25, 2008</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Corporation and Liberty USA Holdings, LLC</w:t>
            </w:r>
          </w:p>
        </w:tc>
        <w:tc>
          <w:tcPr>
            <w:tcW w:w="51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10.64</w:t>
            </w:r>
          </w:p>
        </w:tc>
        <w:tc>
          <w:tcPr>
            <w:tcW w:w="5160" w:type="dxa"/>
            <w:vAlign w:val="bottom"/>
          </w:tcPr>
          <w:p>
            <w:pPr>
              <w:ind w:left="80"/>
              <w:spacing w:after="0"/>
              <w:rPr>
                <w:sz w:val="20"/>
                <w:szCs w:val="20"/>
                <w:color w:val="auto"/>
              </w:rPr>
            </w:pPr>
            <w:r>
              <w:rPr>
                <w:rFonts w:ascii="Arial" w:cs="Arial" w:eastAsia="Arial" w:hAnsi="Arial"/>
                <w:sz w:val="18"/>
                <w:szCs w:val="18"/>
                <w:color w:val="auto"/>
              </w:rPr>
              <w:t>Stock Purchase Agreement, dated February 8, 2009, between</w:t>
            </w:r>
          </w:p>
        </w:tc>
        <w:tc>
          <w:tcPr>
            <w:tcW w:w="5140" w:type="dxa"/>
            <w:vAlign w:val="bottom"/>
          </w:tcPr>
          <w:p>
            <w:pPr>
              <w:ind w:left="1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0"/>
        </w:trPr>
        <w:tc>
          <w:tcPr>
            <w:tcW w:w="1120" w:type="dxa"/>
            <w:vAlign w:val="bottom"/>
          </w:tcPr>
          <w:p>
            <w:pPr>
              <w:spacing w:after="0"/>
              <w:rPr>
                <w:sz w:val="20"/>
                <w:szCs w:val="20"/>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Tree.com, Inc. and Douglas R. Lebda*</w:t>
            </w:r>
          </w:p>
        </w:tc>
        <w:tc>
          <w:tcPr>
            <w:tcW w:w="5140" w:type="dxa"/>
            <w:vAlign w:val="bottom"/>
          </w:tcPr>
          <w:p>
            <w:pPr>
              <w:ind w:left="160"/>
              <w:spacing w:after="0"/>
              <w:rPr>
                <w:sz w:val="20"/>
                <w:szCs w:val="20"/>
                <w:color w:val="auto"/>
              </w:rPr>
            </w:pPr>
            <w:r>
              <w:rPr>
                <w:rFonts w:ascii="Arial" w:cs="Arial" w:eastAsia="Arial" w:hAnsi="Arial"/>
                <w:sz w:val="18"/>
                <w:szCs w:val="18"/>
                <w:color w:val="auto"/>
              </w:rPr>
              <w:t>February 11, 2009</w:t>
            </w:r>
          </w:p>
        </w:tc>
      </w:tr>
      <w:tr>
        <w:trPr>
          <w:trHeight w:val="27"/>
        </w:trPr>
        <w:tc>
          <w:tcPr>
            <w:tcW w:w="11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Early Purchase Program Addendum to Loan Purchase Agreement,</w:t>
            </w: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made and entered into as of May 1, 2009 by and between Bank of</w:t>
            </w: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6, 2009</w:t>
            </w:r>
          </w:p>
        </w:tc>
      </w:tr>
      <w:tr>
        <w:trPr>
          <w:trHeight w:val="230"/>
        </w:trPr>
        <w:tc>
          <w:tcPr>
            <w:tcW w:w="1120" w:type="dxa"/>
            <w:vAlign w:val="bottom"/>
            <w:shd w:val="clear" w:color="auto" w:fill="CCEEFF"/>
          </w:tcPr>
          <w:p>
            <w:pPr>
              <w:spacing w:after="0"/>
              <w:rPr>
                <w:sz w:val="20"/>
                <w:szCs w:val="20"/>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 N.A. and Home Loan Center, Inc.</w:t>
            </w:r>
          </w:p>
        </w:tc>
        <w:tc>
          <w:tcPr>
            <w:tcW w:w="5140" w:type="dxa"/>
            <w:vAlign w:val="bottom"/>
            <w:shd w:val="clear" w:color="auto" w:fill="CCEEFF"/>
          </w:tcPr>
          <w:p>
            <w:pPr>
              <w:spacing w:after="0"/>
              <w:rPr>
                <w:sz w:val="20"/>
                <w:szCs w:val="20"/>
                <w:color w:val="auto"/>
              </w:rPr>
            </w:pPr>
          </w:p>
        </w:tc>
      </w:tr>
      <w:tr>
        <w:trPr>
          <w:trHeight w:val="27"/>
        </w:trPr>
        <w:tc>
          <w:tcPr>
            <w:tcW w:w="112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10.66</w:t>
        <w:tab/>
        <w:t>Master Repurchase Agreement, made and entered into as of May 1, 2009, by and between Bank of America , N.A. and Home Loan Center,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10.2 to the Registrant's Current Report on Form 8-K filed May 6, 2009</w:t>
      </w:r>
    </w:p>
    <w:p>
      <w:pPr>
        <w:spacing w:after="0" w:line="224" w:lineRule="exact"/>
        <w:rPr>
          <w:sz w:val="20"/>
          <w:szCs w:val="20"/>
          <w:color w:val="auto"/>
        </w:rPr>
      </w:pPr>
    </w:p>
    <w:p>
      <w:pPr>
        <w:sectPr>
          <w:pgSz w:w="11900" w:h="16838" w:orient="portrait"/>
          <w:cols w:equalWidth="0" w:num="2">
            <w:col w:w="6060" w:space="380"/>
            <w:col w:w="498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10.67</w:t>
        <w:tab/>
        <w:t>Transactions Terms Letter for Master Repurchase Agreement, made and entered into as of May 1, 2009, by and between Bank of America, N.A. and Home Loan Center, Inc.</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10.3 to the Registrant's Current Report on Form 8-K filed May 6, 2009</w:t>
      </w:r>
    </w:p>
    <w:p>
      <w:pPr>
        <w:spacing w:after="0" w:line="224" w:lineRule="exact"/>
        <w:rPr>
          <w:sz w:val="20"/>
          <w:szCs w:val="20"/>
          <w:color w:val="auto"/>
        </w:rPr>
      </w:pPr>
    </w:p>
    <w:p>
      <w:pPr>
        <w:sectPr>
          <w:pgSz w:w="11900" w:h="16838" w:orient="portrait"/>
          <w:cols w:equalWidth="0" w:num="2">
            <w:col w:w="6260" w:space="18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10.68</w:t>
            </w:r>
          </w:p>
        </w:tc>
        <w:tc>
          <w:tcPr>
            <w:tcW w:w="5280" w:type="dxa"/>
            <w:vAlign w:val="bottom"/>
          </w:tcPr>
          <w:p>
            <w:pPr>
              <w:ind w:left="80"/>
              <w:spacing w:after="0"/>
              <w:rPr>
                <w:sz w:val="20"/>
                <w:szCs w:val="20"/>
                <w:color w:val="auto"/>
              </w:rPr>
            </w:pPr>
            <w:r>
              <w:rPr>
                <w:rFonts w:ascii="Arial" w:cs="Arial" w:eastAsia="Arial" w:hAnsi="Arial"/>
                <w:sz w:val="18"/>
                <w:szCs w:val="18"/>
                <w:color w:val="auto"/>
                <w:w w:val="93"/>
              </w:rPr>
              <w:t>Master Repurchase Agreement dated as of October 30, 2009, by and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6"/>
              </w:rPr>
              <w:t>between Home Loan Center, Inc. and JPMorgan Chase Bank, N.A.</w:t>
            </w:r>
          </w:p>
        </w:tc>
        <w:tc>
          <w:tcPr>
            <w:tcW w:w="5020" w:type="dxa"/>
            <w:vAlign w:val="bottom"/>
          </w:tcPr>
          <w:p>
            <w:pPr>
              <w:ind w:left="40"/>
              <w:spacing w:after="0"/>
              <w:rPr>
                <w:sz w:val="20"/>
                <w:szCs w:val="20"/>
                <w:color w:val="auto"/>
              </w:rPr>
            </w:pPr>
            <w:r>
              <w:rPr>
                <w:rFonts w:ascii="Arial" w:cs="Arial" w:eastAsia="Arial" w:hAnsi="Arial"/>
                <w:sz w:val="18"/>
                <w:szCs w:val="18"/>
                <w:color w:val="auto"/>
              </w:rPr>
              <w:t>October 30, 2009</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Side Letter dated October 30, 2009 regarding the Master Repurchase</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Agreement between JPMorgan Chase Bank, and Home Loan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30, 2009</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Center, Inc.</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c>
          <w:tcPr>
            <w:tcW w:w="5280" w:type="dxa"/>
            <w:vAlign w:val="bottom"/>
          </w:tcPr>
          <w:p>
            <w:pPr>
              <w:ind w:left="80"/>
              <w:spacing w:after="0"/>
              <w:rPr>
                <w:sz w:val="20"/>
                <w:szCs w:val="20"/>
                <w:color w:val="auto"/>
              </w:rPr>
            </w:pPr>
            <w:r>
              <w:rPr>
                <w:rFonts w:ascii="Arial" w:cs="Arial" w:eastAsia="Arial" w:hAnsi="Arial"/>
                <w:sz w:val="18"/>
                <w:szCs w:val="18"/>
                <w:color w:val="auto"/>
              </w:rPr>
              <w:t>Third Amendment to Warehousing Credit Agreement, made and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2"/>
              </w:rPr>
              <w:t>entered into as of the 18th day of December, 2009, and to be effective</w:t>
            </w:r>
          </w:p>
        </w:tc>
        <w:tc>
          <w:tcPr>
            <w:tcW w:w="5020" w:type="dxa"/>
            <w:vAlign w:val="bottom"/>
          </w:tcPr>
          <w:p>
            <w:pPr>
              <w:ind w:left="40"/>
              <w:spacing w:after="0"/>
              <w:rPr>
                <w:sz w:val="20"/>
                <w:szCs w:val="20"/>
                <w:color w:val="auto"/>
              </w:rPr>
            </w:pPr>
            <w:r>
              <w:rPr>
                <w:rFonts w:ascii="Arial" w:cs="Arial" w:eastAsia="Arial" w:hAnsi="Arial"/>
                <w:sz w:val="18"/>
                <w:szCs w:val="18"/>
                <w:color w:val="auto"/>
              </w:rPr>
              <w:t>December 23, 2009</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8"/>
              </w:rPr>
              <w:t>as of the 29th day of December, 2009, by and among Home Loan</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1"/>
              </w:rPr>
              <w:t>Center, Inc. d/b/a LendingTree Loans PNC Bank, National Association,</w:t>
            </w:r>
          </w:p>
        </w:tc>
        <w:tc>
          <w:tcPr>
            <w:tcW w:w="5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0"/>
              </w:rPr>
              <w:t>successor to National City Bank, its capacity as Agent for the Banks (as</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defined therein)</w:t>
            </w:r>
          </w:p>
        </w:tc>
        <w:tc>
          <w:tcPr>
            <w:tcW w:w="5020" w:type="dxa"/>
            <w:vAlign w:val="bottom"/>
          </w:tcPr>
          <w:p>
            <w:pPr>
              <w:spacing w:after="0"/>
              <w:rPr>
                <w:sz w:val="20"/>
                <w:szCs w:val="20"/>
                <w:color w:val="auto"/>
              </w:rPr>
            </w:pPr>
          </w:p>
        </w:tc>
      </w:tr>
      <w:tr>
        <w:trPr>
          <w:trHeight w:val="256"/>
        </w:trPr>
        <w:tc>
          <w:tcPr>
            <w:tcW w:w="1120" w:type="dxa"/>
            <w:vAlign w:val="bottom"/>
          </w:tcPr>
          <w:p>
            <w:pPr>
              <w:jc w:val="right"/>
              <w:spacing w:after="0"/>
              <w:rPr>
                <w:sz w:val="20"/>
                <w:szCs w:val="20"/>
                <w:color w:val="auto"/>
              </w:rPr>
            </w:pPr>
            <w:r>
              <w:rPr>
                <w:rFonts w:ascii="Arial" w:cs="Arial" w:eastAsia="Arial" w:hAnsi="Arial"/>
                <w:sz w:val="18"/>
                <w:szCs w:val="18"/>
                <w:color w:val="auto"/>
              </w:rPr>
              <w:t>10.71</w:t>
            </w:r>
          </w:p>
        </w:tc>
        <w:tc>
          <w:tcPr>
            <w:tcW w:w="5280" w:type="dxa"/>
            <w:vAlign w:val="bottom"/>
          </w:tcPr>
          <w:p>
            <w:pPr>
              <w:ind w:left="80"/>
              <w:spacing w:after="0"/>
              <w:rPr>
                <w:sz w:val="20"/>
                <w:szCs w:val="20"/>
                <w:color w:val="auto"/>
              </w:rPr>
            </w:pPr>
            <w:r>
              <w:rPr>
                <w:rFonts w:ascii="Arial" w:cs="Arial" w:eastAsia="Arial" w:hAnsi="Arial"/>
                <w:sz w:val="18"/>
                <w:szCs w:val="18"/>
                <w:color w:val="auto"/>
                <w:w w:val="99"/>
              </w:rPr>
              <w:t>Fourth Amendment to Warehousing Credit Agreement, made and</w:t>
            </w:r>
          </w:p>
        </w:tc>
        <w:tc>
          <w:tcPr>
            <w:tcW w:w="5020" w:type="dxa"/>
            <w:vAlign w:val="bottom"/>
          </w:tcPr>
          <w:p>
            <w:pPr>
              <w:ind w:left="4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entered into as of February 15, 2010 by and among Home Loan</w:t>
            </w:r>
          </w:p>
        </w:tc>
        <w:tc>
          <w:tcPr>
            <w:tcW w:w="5020" w:type="dxa"/>
            <w:vAlign w:val="bottom"/>
          </w:tcPr>
          <w:p>
            <w:pPr>
              <w:ind w:left="40"/>
              <w:spacing w:after="0"/>
              <w:rPr>
                <w:sz w:val="20"/>
                <w:szCs w:val="20"/>
                <w:color w:val="auto"/>
              </w:rPr>
            </w:pPr>
            <w:r>
              <w:rPr>
                <w:rFonts w:ascii="Arial" w:cs="Arial" w:eastAsia="Arial" w:hAnsi="Arial"/>
                <w:sz w:val="18"/>
                <w:szCs w:val="18"/>
                <w:color w:val="auto"/>
              </w:rPr>
              <w:t>February 19, 2010</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1"/>
              </w:rPr>
              <w:t>Center, Inc. d/b/a LendingTree Loans, PNC Bank, National Association</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1"/>
              </w:rPr>
              <w:t>(successor to National City Bank) and PNC Bank, National Association</w:t>
            </w:r>
          </w:p>
        </w:tc>
        <w:tc>
          <w:tcPr>
            <w:tcW w:w="5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857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(successor to National City Bank), in its capacity as Agent for the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Banks (as defined therein).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3" w:right="239" w:bottom="1440" w:gutter="0" w:footer="0" w:header="0"/>
          <w:type w:val="continuous"/>
        </w:sectPr>
      </w:pPr>
    </w:p>
    <w:bookmarkStart w:id="76" w:name="page77"/>
    <w:bookmarkEnd w:id="76"/>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62" w:lineRule="exact"/>
        <w:rPr>
          <w:sz w:val="20"/>
          <w:szCs w:val="20"/>
          <w:color w:val="auto"/>
        </w:r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10.72</w:t>
        <w:tab/>
        <w:t>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April 30, 2010</w:t>
      </w:r>
    </w:p>
    <w:p>
      <w:pPr>
        <w:spacing w:after="0" w:line="224" w:lineRule="exact"/>
        <w:rPr>
          <w:sz w:val="20"/>
          <w:szCs w:val="20"/>
          <w:color w:val="auto"/>
        </w:rPr>
      </w:pPr>
    </w:p>
    <w:p>
      <w:pPr>
        <w:sectPr>
          <w:pgSz w:w="11900" w:h="16838" w:orient="portrait"/>
          <w:cols w:equalWidth="0" w:num="2">
            <w:col w:w="6240" w:space="200"/>
            <w:col w:w="498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10.73</w:t>
        <w:tab/>
        <w:t>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April 30, 2010</w:t>
      </w:r>
    </w:p>
    <w:p>
      <w:pPr>
        <w:spacing w:after="0" w:line="224" w:lineRule="exact"/>
        <w:rPr>
          <w:sz w:val="20"/>
          <w:szCs w:val="20"/>
          <w:color w:val="auto"/>
        </w:rPr>
      </w:pPr>
    </w:p>
    <w:p>
      <w:pPr>
        <w:sectPr>
          <w:pgSz w:w="11900" w:h="16838" w:orient="portrait"/>
          <w:cols w:equalWidth="0" w:num="2">
            <w:col w:w="6240" w:space="20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10.74</w:t>
            </w:r>
          </w:p>
        </w:tc>
        <w:tc>
          <w:tcPr>
            <w:tcW w:w="5260" w:type="dxa"/>
            <w:vAlign w:val="bottom"/>
          </w:tcPr>
          <w:p>
            <w:pPr>
              <w:ind w:left="80"/>
              <w:spacing w:after="0"/>
              <w:rPr>
                <w:sz w:val="20"/>
                <w:szCs w:val="20"/>
                <w:color w:val="auto"/>
              </w:rPr>
            </w:pPr>
            <w:r>
              <w:rPr>
                <w:rFonts w:ascii="Arial" w:cs="Arial" w:eastAsia="Arial" w:hAnsi="Arial"/>
                <w:sz w:val="18"/>
                <w:szCs w:val="18"/>
                <w:color w:val="auto"/>
              </w:rPr>
              <w:t>Amendment No. 1 to Stock Purchase Agreement between</w:t>
            </w:r>
          </w:p>
        </w:tc>
        <w:tc>
          <w:tcPr>
            <w:tcW w:w="5040" w:type="dxa"/>
            <w:vAlign w:val="bottom"/>
          </w:tcPr>
          <w:p>
            <w:pPr>
              <w:ind w:left="6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Tree.com, Inc. and Douglas R. Lebda, dated May 10, 2010*</w:t>
            </w:r>
          </w:p>
        </w:tc>
        <w:tc>
          <w:tcPr>
            <w:tcW w:w="5040" w:type="dxa"/>
            <w:vAlign w:val="bottom"/>
          </w:tcPr>
          <w:p>
            <w:pPr>
              <w:ind w:left="60"/>
              <w:spacing w:after="0"/>
              <w:rPr>
                <w:sz w:val="20"/>
                <w:szCs w:val="20"/>
                <w:color w:val="auto"/>
              </w:rPr>
            </w:pPr>
            <w:r>
              <w:rPr>
                <w:rFonts w:ascii="Arial" w:cs="Arial" w:eastAsia="Arial" w:hAnsi="Arial"/>
                <w:sz w:val="18"/>
                <w:szCs w:val="18"/>
                <w:color w:val="auto"/>
              </w:rPr>
              <w:t>May 12, 2010</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Amendment No. 1 to Early Purchase Program Addendum to Loan</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Purchase Agreement, dated July 15, 2010, by and among Bank of</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July 21, 2010</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America, N.A. and Home Loan Center, Inc.</w:t>
            </w:r>
          </w:p>
        </w:tc>
        <w:tc>
          <w:tcPr>
            <w:tcW w:w="50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10.76</w:t>
            </w:r>
          </w:p>
        </w:tc>
        <w:tc>
          <w:tcPr>
            <w:tcW w:w="5260" w:type="dxa"/>
            <w:vAlign w:val="bottom"/>
          </w:tcPr>
          <w:p>
            <w:pPr>
              <w:ind w:left="80"/>
              <w:spacing w:after="0"/>
              <w:rPr>
                <w:sz w:val="20"/>
                <w:szCs w:val="20"/>
                <w:color w:val="auto"/>
              </w:rPr>
            </w:pPr>
            <w:r>
              <w:rPr>
                <w:rFonts w:ascii="Arial" w:cs="Arial" w:eastAsia="Arial" w:hAnsi="Arial"/>
                <w:sz w:val="18"/>
                <w:szCs w:val="18"/>
                <w:color w:val="auto"/>
                <w:w w:val="94"/>
              </w:rPr>
              <w:t>Mandatory Forward Loan Volume Commitment, dated July 15, 2010,</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7"/>
              </w:rPr>
              <w:t>by and among Bank of America, N.A. and Home Loan Center, Inc.</w:t>
            </w:r>
          </w:p>
        </w:tc>
        <w:tc>
          <w:tcPr>
            <w:tcW w:w="5040" w:type="dxa"/>
            <w:vAlign w:val="bottom"/>
          </w:tcPr>
          <w:p>
            <w:pPr>
              <w:ind w:left="60"/>
              <w:spacing w:after="0"/>
              <w:rPr>
                <w:sz w:val="20"/>
                <w:szCs w:val="20"/>
                <w:color w:val="auto"/>
              </w:rPr>
            </w:pPr>
            <w:r>
              <w:rPr>
                <w:rFonts w:ascii="Arial" w:cs="Arial" w:eastAsia="Arial" w:hAnsi="Arial"/>
                <w:sz w:val="18"/>
                <w:szCs w:val="18"/>
                <w:color w:val="auto"/>
              </w:rPr>
              <w:t>July 21, 2010</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Transaction Terms Letter for Master Repurchase Agreement, dated</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10.4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July 15, 2010, by and among Bank of America, N.A. and Home Loan</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July 21, 2010</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Center, Inc.</w:t>
            </w:r>
          </w:p>
        </w:tc>
        <w:tc>
          <w:tcPr>
            <w:tcW w:w="50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10.78</w:t>
            </w:r>
          </w:p>
        </w:tc>
        <w:tc>
          <w:tcPr>
            <w:tcW w:w="5260" w:type="dxa"/>
            <w:vAlign w:val="bottom"/>
          </w:tcPr>
          <w:p>
            <w:pPr>
              <w:ind w:left="80"/>
              <w:spacing w:after="0"/>
              <w:rPr>
                <w:sz w:val="20"/>
                <w:szCs w:val="20"/>
                <w:color w:val="auto"/>
              </w:rPr>
            </w:pPr>
            <w:r>
              <w:rPr>
                <w:rFonts w:ascii="Arial" w:cs="Arial" w:eastAsia="Arial" w:hAnsi="Arial"/>
                <w:sz w:val="18"/>
                <w:szCs w:val="18"/>
                <w:color w:val="auto"/>
              </w:rPr>
              <w:t>Share Exchange Agreement dated August 30, 2010, between</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Tree.com, Inc. and Douglas R. Lebda*</w:t>
            </w:r>
          </w:p>
        </w:tc>
        <w:tc>
          <w:tcPr>
            <w:tcW w:w="5040" w:type="dxa"/>
            <w:vAlign w:val="bottom"/>
          </w:tcPr>
          <w:p>
            <w:pPr>
              <w:ind w:left="60"/>
              <w:spacing w:after="0"/>
              <w:rPr>
                <w:sz w:val="20"/>
                <w:szCs w:val="20"/>
                <w:color w:val="auto"/>
              </w:rPr>
            </w:pPr>
            <w:r>
              <w:rPr>
                <w:rFonts w:ascii="Arial" w:cs="Arial" w:eastAsia="Arial" w:hAnsi="Arial"/>
                <w:sz w:val="18"/>
                <w:szCs w:val="18"/>
                <w:color w:val="auto"/>
              </w:rPr>
              <w:t>September 1, 2010</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Second Amendment to Side Letter dated as of October 29, 2010 with</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 to the Home Loan Center, Inc. warehouse facility with</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25, 2010.</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50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10.80</w:t>
            </w:r>
          </w:p>
        </w:tc>
        <w:tc>
          <w:tcPr>
            <w:tcW w:w="5260" w:type="dxa"/>
            <w:vAlign w:val="bottom"/>
          </w:tcPr>
          <w:p>
            <w:pPr>
              <w:ind w:left="80"/>
              <w:spacing w:after="0"/>
              <w:rPr>
                <w:sz w:val="20"/>
                <w:szCs w:val="20"/>
                <w:color w:val="auto"/>
              </w:rPr>
            </w:pPr>
            <w:r>
              <w:rPr>
                <w:rFonts w:ascii="Arial" w:cs="Arial" w:eastAsia="Arial" w:hAnsi="Arial"/>
                <w:sz w:val="18"/>
                <w:szCs w:val="18"/>
                <w:color w:val="auto"/>
                <w:w w:val="93"/>
              </w:rPr>
              <w:t>Asset Purchase Agreement dated November 15, 2010 by and among</w:t>
            </w:r>
          </w:p>
        </w:tc>
        <w:tc>
          <w:tcPr>
            <w:tcW w:w="5040" w:type="dxa"/>
            <w:vAlign w:val="bottom"/>
          </w:tcPr>
          <w:p>
            <w:pPr>
              <w:ind w:left="60"/>
              <w:spacing w:after="0"/>
              <w:rPr>
                <w:sz w:val="20"/>
                <w:szCs w:val="20"/>
                <w:color w:val="auto"/>
              </w:rPr>
            </w:pPr>
            <w:r>
              <w:rPr>
                <w:rFonts w:ascii="Arial" w:cs="Arial" w:eastAsia="Arial" w:hAnsi="Arial"/>
                <w:sz w:val="18"/>
                <w:szCs w:val="18"/>
                <w:color w:val="auto"/>
              </w:rPr>
              <w:t>Exhibit 2.1 to Registrant's Current Report on Form 8K filed</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2"/>
              </w:rPr>
              <w:t>Home Loan Center, Inc., First Residential Mortgage Network, Inc. dba</w:t>
            </w:r>
          </w:p>
        </w:tc>
        <w:tc>
          <w:tcPr>
            <w:tcW w:w="5040" w:type="dxa"/>
            <w:vAlign w:val="bottom"/>
          </w:tcPr>
          <w:p>
            <w:pPr>
              <w:ind w:left="60"/>
              <w:spacing w:after="0"/>
              <w:rPr>
                <w:sz w:val="20"/>
                <w:szCs w:val="20"/>
                <w:color w:val="auto"/>
              </w:rPr>
            </w:pPr>
            <w:r>
              <w:rPr>
                <w:rFonts w:ascii="Arial" w:cs="Arial" w:eastAsia="Arial" w:hAnsi="Arial"/>
                <w:sz w:val="18"/>
                <w:szCs w:val="18"/>
                <w:color w:val="auto"/>
              </w:rPr>
              <w:t>November 16, 2010</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1"/>
              </w:rPr>
              <w:t>SurePoint Lending, and the shareholders of First Residential Mortgage</w:t>
            </w:r>
          </w:p>
        </w:tc>
        <w:tc>
          <w:tcPr>
            <w:tcW w:w="50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Network named therein</w:t>
            </w:r>
          </w:p>
        </w:tc>
        <w:tc>
          <w:tcPr>
            <w:tcW w:w="50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Letter Agreement dated as of January 24, 2011 by and between</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Exhibit 10.66 to the Registrant's Annual Report on Form 10-K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RealEstate.com, Inc. and Steven Ozonian*</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February 28,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10.82</w:t>
            </w:r>
          </w:p>
        </w:tc>
        <w:tc>
          <w:tcPr>
            <w:tcW w:w="5260" w:type="dxa"/>
            <w:vAlign w:val="bottom"/>
          </w:tcPr>
          <w:p>
            <w:pPr>
              <w:ind w:left="80"/>
              <w:spacing w:after="0"/>
              <w:rPr>
                <w:sz w:val="20"/>
                <w:szCs w:val="20"/>
                <w:color w:val="auto"/>
              </w:rPr>
            </w:pPr>
            <w:r>
              <w:rPr>
                <w:rFonts w:ascii="Arial" w:cs="Arial" w:eastAsia="Arial" w:hAnsi="Arial"/>
                <w:sz w:val="18"/>
                <w:szCs w:val="18"/>
                <w:color w:val="auto"/>
                <w:w w:val="91"/>
              </w:rPr>
              <w:t>First Amendment to Asset Purchase Agreement dated March 14, 2011</w:t>
            </w:r>
          </w:p>
        </w:tc>
        <w:tc>
          <w:tcPr>
            <w:tcW w:w="5040" w:type="dxa"/>
            <w:vAlign w:val="bottom"/>
          </w:tcPr>
          <w:p>
            <w:pPr>
              <w:ind w:left="60"/>
              <w:spacing w:after="0"/>
              <w:rPr>
                <w:sz w:val="20"/>
                <w:szCs w:val="20"/>
                <w:color w:val="auto"/>
              </w:rPr>
            </w:pPr>
            <w:r>
              <w:rPr>
                <w:rFonts w:ascii="Arial" w:cs="Arial" w:eastAsia="Arial" w:hAnsi="Arial"/>
                <w:sz w:val="18"/>
                <w:szCs w:val="18"/>
                <w:color w:val="auto"/>
                <w:w w:val="99"/>
              </w:rPr>
              <w:t>Exhibit 2.1 to the Registrant's Current Report on Form 8-K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8"/>
              </w:rPr>
              <w:t>by and among HLC, SurePoint and the shareholders party thereto</w:t>
            </w:r>
          </w:p>
        </w:tc>
        <w:tc>
          <w:tcPr>
            <w:tcW w:w="5040" w:type="dxa"/>
            <w:vAlign w:val="bottom"/>
          </w:tcPr>
          <w:p>
            <w:pPr>
              <w:ind w:left="60"/>
              <w:spacing w:after="0"/>
              <w:rPr>
                <w:sz w:val="20"/>
                <w:szCs w:val="20"/>
                <w:color w:val="auto"/>
              </w:rPr>
            </w:pPr>
            <w:r>
              <w:rPr>
                <w:rFonts w:ascii="Arial" w:cs="Arial" w:eastAsia="Arial" w:hAnsi="Arial"/>
                <w:sz w:val="18"/>
                <w:szCs w:val="18"/>
                <w:color w:val="auto"/>
              </w:rPr>
              <w:t>March 21, 2011</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Second Amendment to Asset Purchase Agreement dated March 15,</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Exhibit 2.2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0"/>
              </w:rPr>
              <w:t>2011 by and among HLC, SurePoint and the shareholders party thereto</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March 21,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10.84</w:t>
            </w:r>
          </w:p>
        </w:tc>
        <w:tc>
          <w:tcPr>
            <w:tcW w:w="5260" w:type="dxa"/>
            <w:vAlign w:val="bottom"/>
          </w:tcPr>
          <w:p>
            <w:pPr>
              <w:ind w:left="80"/>
              <w:spacing w:after="0"/>
              <w:rPr>
                <w:sz w:val="20"/>
                <w:szCs w:val="20"/>
                <w:color w:val="auto"/>
              </w:rPr>
            </w:pPr>
            <w:r>
              <w:rPr>
                <w:rFonts w:ascii="Arial" w:cs="Arial" w:eastAsia="Arial" w:hAnsi="Arial"/>
                <w:sz w:val="18"/>
                <w:szCs w:val="18"/>
                <w:color w:val="auto"/>
                <w:w w:val="92"/>
              </w:rPr>
              <w:t>Amendment No. 5 to Master Repurchase Agreement, dated March 31,</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10.1 to the Registrant's Current Report on Form 8-K filed</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3"/>
              </w:rPr>
              <w:t>2011, by and between Home Loan Center, Inc. and JPMorgan Chase</w:t>
            </w:r>
          </w:p>
        </w:tc>
        <w:tc>
          <w:tcPr>
            <w:tcW w:w="5040" w:type="dxa"/>
            <w:vAlign w:val="bottom"/>
          </w:tcPr>
          <w:p>
            <w:pPr>
              <w:ind w:left="60"/>
              <w:spacing w:after="0"/>
              <w:rPr>
                <w:sz w:val="20"/>
                <w:szCs w:val="20"/>
                <w:color w:val="auto"/>
              </w:rPr>
            </w:pPr>
            <w:r>
              <w:rPr>
                <w:rFonts w:ascii="Arial" w:cs="Arial" w:eastAsia="Arial" w:hAnsi="Arial"/>
                <w:sz w:val="18"/>
                <w:szCs w:val="18"/>
                <w:color w:val="auto"/>
              </w:rPr>
              <w:t>April 6, 2011</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Bank, N.A.</w:t>
            </w:r>
          </w:p>
        </w:tc>
        <w:tc>
          <w:tcPr>
            <w:tcW w:w="50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Amendment to Side Letter, dated March 31, 2011, by and</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6"/>
              </w:rPr>
              <w:t>between Home Loan Center, Inc. and JPMorgan Chase Bank, N.A.</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April 6,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5260" w:type="dxa"/>
            <w:vAlign w:val="bottom"/>
          </w:tcPr>
          <w:p>
            <w:pPr>
              <w:ind w:left="80"/>
              <w:spacing w:after="0"/>
              <w:rPr>
                <w:sz w:val="20"/>
                <w:szCs w:val="20"/>
                <w:color w:val="auto"/>
              </w:rPr>
            </w:pPr>
            <w:r>
              <w:rPr>
                <w:rFonts w:ascii="Arial" w:cs="Arial" w:eastAsia="Arial" w:hAnsi="Arial"/>
                <w:sz w:val="18"/>
                <w:szCs w:val="18"/>
                <w:color w:val="auto"/>
              </w:rPr>
              <w:t>Asset Purchase Agreement dated May 12, 2011 by and among</w:t>
            </w:r>
          </w:p>
        </w:tc>
        <w:tc>
          <w:tcPr>
            <w:tcW w:w="5040" w:type="dxa"/>
            <w:vAlign w:val="bottom"/>
          </w:tcPr>
          <w:p>
            <w:pPr>
              <w:ind w:left="60"/>
              <w:spacing w:after="0"/>
              <w:rPr>
                <w:sz w:val="20"/>
                <w:szCs w:val="20"/>
                <w:color w:val="auto"/>
              </w:rPr>
            </w:pPr>
            <w:r>
              <w:rPr>
                <w:rFonts w:ascii="Arial" w:cs="Arial" w:eastAsia="Arial" w:hAnsi="Arial"/>
                <w:sz w:val="18"/>
                <w:szCs w:val="18"/>
                <w:color w:val="auto"/>
                <w:w w:val="99"/>
              </w:rPr>
              <w:t>Exhibit 2.1 to the Registrant's Current Report on Form 8-K filed</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9"/>
              </w:rPr>
              <w:t>Tree.com, Inc., Home Loan Center, Inc., LendingTree, LLC, HLC</w:t>
            </w:r>
          </w:p>
        </w:tc>
        <w:tc>
          <w:tcPr>
            <w:tcW w:w="5040" w:type="dxa"/>
            <w:vAlign w:val="bottom"/>
          </w:tcPr>
          <w:p>
            <w:pPr>
              <w:ind w:left="60"/>
              <w:spacing w:after="0"/>
              <w:rPr>
                <w:sz w:val="20"/>
                <w:szCs w:val="20"/>
                <w:color w:val="auto"/>
              </w:rPr>
            </w:pPr>
            <w:r>
              <w:rPr>
                <w:rFonts w:ascii="Arial" w:cs="Arial" w:eastAsia="Arial" w:hAnsi="Arial"/>
                <w:sz w:val="18"/>
                <w:szCs w:val="18"/>
                <w:color w:val="auto"/>
              </w:rPr>
              <w:t>May 16, 2011</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Escrow, Inc. and Discover Bank.**</w:t>
            </w:r>
          </w:p>
        </w:tc>
        <w:tc>
          <w:tcPr>
            <w:tcW w:w="5040" w:type="dxa"/>
            <w:vAlign w:val="bottom"/>
          </w:tcPr>
          <w:p>
            <w:pPr>
              <w:spacing w:after="0"/>
              <w:rPr>
                <w:sz w:val="20"/>
                <w:szCs w:val="20"/>
                <w:color w:val="auto"/>
              </w:rPr>
            </w:pPr>
          </w:p>
        </w:tc>
      </w:tr>
      <w:tr>
        <w:trPr>
          <w:trHeight w:val="486"/>
        </w:trPr>
        <w:tc>
          <w:tcPr>
            <w:tcW w:w="1120" w:type="dxa"/>
            <w:vAlign w:val="bottom"/>
          </w:tcPr>
          <w:p>
            <w:pPr>
              <w:spacing w:after="0"/>
              <w:rPr>
                <w:sz w:val="24"/>
                <w:szCs w:val="24"/>
                <w:color w:val="auto"/>
              </w:rPr>
            </w:pPr>
          </w:p>
        </w:tc>
        <w:tc>
          <w:tcPr>
            <w:tcW w:w="5260" w:type="dxa"/>
            <w:vAlign w:val="bottom"/>
          </w:tcPr>
          <w:p>
            <w:pPr>
              <w:ind w:left="4500"/>
              <w:spacing w:after="0"/>
              <w:rPr>
                <w:sz w:val="20"/>
                <w:szCs w:val="20"/>
                <w:color w:val="auto"/>
              </w:rPr>
            </w:pPr>
            <w:r>
              <w:rPr>
                <w:rFonts w:ascii="Arial" w:cs="Arial" w:eastAsia="Arial" w:hAnsi="Arial"/>
                <w:sz w:val="18"/>
                <w:szCs w:val="18"/>
                <w:color w:val="auto"/>
              </w:rPr>
              <w:t>75</w:t>
            </w:r>
          </w:p>
        </w:tc>
        <w:tc>
          <w:tcPr>
            <w:tcW w:w="50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type w:val="continuous"/>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2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80" w:type="dxa"/>
            <w:vAlign w:val="bottom"/>
          </w:tcPr>
          <w:p>
            <w:pPr>
              <w:ind w:left="224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5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Assignment and Assumption Agreement</w:t>
            </w: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Exhibit 2.2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May 16,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10.88</w:t>
            </w:r>
          </w:p>
        </w:tc>
        <w:tc>
          <w:tcPr>
            <w:tcW w:w="5220" w:type="dxa"/>
            <w:vAlign w:val="bottom"/>
          </w:tcPr>
          <w:p>
            <w:pPr>
              <w:ind w:left="80"/>
              <w:spacing w:after="0"/>
              <w:rPr>
                <w:sz w:val="20"/>
                <w:szCs w:val="20"/>
                <w:color w:val="auto"/>
              </w:rPr>
            </w:pPr>
            <w:r>
              <w:rPr>
                <w:rFonts w:ascii="Arial" w:cs="Arial" w:eastAsia="Arial" w:hAnsi="Arial"/>
                <w:sz w:val="18"/>
                <w:szCs w:val="18"/>
                <w:color w:val="auto"/>
              </w:rPr>
              <w:t>Form of Bill of Sale</w:t>
            </w:r>
          </w:p>
        </w:tc>
        <w:tc>
          <w:tcPr>
            <w:tcW w:w="5080" w:type="dxa"/>
            <w:vAlign w:val="bottom"/>
          </w:tcPr>
          <w:p>
            <w:pPr>
              <w:ind w:left="100"/>
              <w:spacing w:after="0"/>
              <w:rPr>
                <w:sz w:val="20"/>
                <w:szCs w:val="20"/>
                <w:color w:val="auto"/>
              </w:rPr>
            </w:pPr>
            <w:r>
              <w:rPr>
                <w:rFonts w:ascii="Arial" w:cs="Arial" w:eastAsia="Arial" w:hAnsi="Arial"/>
                <w:sz w:val="18"/>
                <w:szCs w:val="18"/>
                <w:color w:val="auto"/>
                <w:w w:val="99"/>
              </w:rPr>
              <w:t>Exhibit 2.3 to the Registrant's Current Report on Form 8-K filed</w:t>
            </w:r>
          </w:p>
        </w:tc>
      </w:tr>
      <w:tr>
        <w:trPr>
          <w:trHeight w:val="230"/>
        </w:trPr>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May 16, 2011</w:t>
            </w:r>
          </w:p>
        </w:tc>
      </w:tr>
      <w:tr>
        <w:trPr>
          <w:trHeight w:val="27"/>
        </w:trPr>
        <w:tc>
          <w:tcPr>
            <w:tcW w:w="11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5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Escrow Agreement Terms</w:t>
            </w: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Exhibit 2.4 to the Registrant's Current Report on Form 8-K/A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August 12,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10.90</w:t>
            </w:r>
          </w:p>
        </w:tc>
        <w:tc>
          <w:tcPr>
            <w:tcW w:w="5220" w:type="dxa"/>
            <w:vAlign w:val="bottom"/>
          </w:tcPr>
          <w:p>
            <w:pPr>
              <w:ind w:left="80"/>
              <w:spacing w:after="0"/>
              <w:rPr>
                <w:sz w:val="20"/>
                <w:szCs w:val="20"/>
                <w:color w:val="auto"/>
              </w:rPr>
            </w:pPr>
            <w:r>
              <w:rPr>
                <w:rFonts w:ascii="Arial" w:cs="Arial" w:eastAsia="Arial" w:hAnsi="Arial"/>
                <w:sz w:val="18"/>
                <w:szCs w:val="18"/>
                <w:color w:val="auto"/>
              </w:rPr>
              <w:t>Form of Voting and Support Agreement of Douglas R. Lebda</w:t>
            </w:r>
          </w:p>
        </w:tc>
        <w:tc>
          <w:tcPr>
            <w:tcW w:w="5080" w:type="dxa"/>
            <w:vAlign w:val="bottom"/>
          </w:tcPr>
          <w:p>
            <w:pPr>
              <w:ind w:left="100"/>
              <w:spacing w:after="0"/>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30"/>
        </w:trPr>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May 16, 2011</w:t>
            </w:r>
          </w:p>
        </w:tc>
      </w:tr>
      <w:tr>
        <w:trPr>
          <w:trHeight w:val="27"/>
        </w:trPr>
        <w:tc>
          <w:tcPr>
            <w:tcW w:w="11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52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Form of Voting and Support Agreement of Liberty Media Corporation</w:t>
            </w: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Exhibit 99.2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May 16,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10.92</w:t>
            </w:r>
          </w:p>
        </w:tc>
        <w:tc>
          <w:tcPr>
            <w:tcW w:w="5220" w:type="dxa"/>
            <w:vAlign w:val="bottom"/>
          </w:tcPr>
          <w:p>
            <w:pPr>
              <w:ind w:left="80"/>
              <w:spacing w:after="0"/>
              <w:rPr>
                <w:sz w:val="20"/>
                <w:szCs w:val="20"/>
                <w:color w:val="auto"/>
              </w:rPr>
            </w:pPr>
            <w:r>
              <w:rPr>
                <w:rFonts w:ascii="Arial" w:cs="Arial" w:eastAsia="Arial" w:hAnsi="Arial"/>
                <w:sz w:val="18"/>
                <w:szCs w:val="18"/>
                <w:color w:val="auto"/>
              </w:rPr>
              <w:t>Form of Voting and Support Agreement of Second Curve, LLC</w:t>
            </w:r>
          </w:p>
        </w:tc>
        <w:tc>
          <w:tcPr>
            <w:tcW w:w="5080" w:type="dxa"/>
            <w:vAlign w:val="bottom"/>
          </w:tcPr>
          <w:p>
            <w:pPr>
              <w:ind w:left="100"/>
              <w:spacing w:after="0"/>
              <w:rPr>
                <w:sz w:val="20"/>
                <w:szCs w:val="20"/>
                <w:color w:val="auto"/>
              </w:rPr>
            </w:pPr>
            <w:r>
              <w:rPr>
                <w:rFonts w:ascii="Arial" w:cs="Arial" w:eastAsia="Arial" w:hAnsi="Arial"/>
                <w:sz w:val="18"/>
                <w:szCs w:val="18"/>
                <w:color w:val="auto"/>
                <w:w w:val="97"/>
              </w:rPr>
              <w:t>Exhibit 99.3 to the Registrant's Current Report on Form 8-K filed</w:t>
            </w:r>
          </w:p>
        </w:tc>
      </w:tr>
      <w:tr>
        <w:trPr>
          <w:trHeight w:val="230"/>
        </w:trPr>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May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4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6"/>
          <w:szCs w:val="16"/>
          <w:color w:val="auto"/>
        </w:rPr>
        <w:t>Amendment No. 6 to Master Repurchase Agreement, dated as of</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June 29, 2011, by and between Home Loan Center, Inc. and JPMorgan</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Chase Bank, N.A.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July 6, 2011</w:t>
      </w:r>
    </w:p>
    <w:p>
      <w:pPr>
        <w:spacing w:after="0" w:line="224" w:lineRule="exact"/>
        <w:rPr>
          <w:sz w:val="20"/>
          <w:szCs w:val="20"/>
          <w:color w:val="auto"/>
        </w:rPr>
      </w:pPr>
    </w:p>
    <w:p>
      <w:pPr>
        <w:sectPr>
          <w:pgSz w:w="11900" w:h="16838" w:orient="portrait"/>
          <w:cols w:equalWidth="0" w:num="2">
            <w:col w:w="6280" w:space="160"/>
            <w:col w:w="4980"/>
          </w:cols>
          <w:pgMar w:left="240" w:top="283" w:right="239" w:bottom="1440" w:gutter="0" w:footer="0" w:header="0"/>
          <w:type w:val="continuous"/>
        </w:sectPr>
      </w:pPr>
    </w:p>
    <w:p>
      <w:pPr>
        <w:ind w:left="1200" w:hanging="553"/>
        <w:spacing w:after="0" w:line="264" w:lineRule="auto"/>
        <w:tabs>
          <w:tab w:leader="none" w:pos="1180" w:val="left"/>
        </w:tabs>
        <w:rPr>
          <w:sz w:val="20"/>
          <w:szCs w:val="20"/>
          <w:color w:val="auto"/>
        </w:rPr>
      </w:pPr>
      <w:r>
        <w:rPr>
          <w:rFonts w:ascii="Arial" w:cs="Arial" w:eastAsia="Arial" w:hAnsi="Arial"/>
          <w:sz w:val="18"/>
          <w:szCs w:val="18"/>
          <w:color w:val="auto"/>
        </w:rPr>
        <w:t>10.94</w:t>
        <w:tab/>
        <w:t>Fourth Amendment to Side Letter, dated as of June 29, 2011, with respect to the Home Loan Center, Inc. warehouse facility with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10.2 to the Registrant's Current Report on Form 8-K filed July 6, 2011</w:t>
      </w:r>
    </w:p>
    <w:p>
      <w:pPr>
        <w:spacing w:after="0" w:line="224" w:lineRule="exact"/>
        <w:rPr>
          <w:sz w:val="20"/>
          <w:szCs w:val="20"/>
          <w:color w:val="auto"/>
        </w:rPr>
      </w:pPr>
    </w:p>
    <w:p>
      <w:pPr>
        <w:sectPr>
          <w:pgSz w:w="11900" w:h="16838" w:orient="portrait"/>
          <w:cols w:equalWidth="0" w:num="2">
            <w:col w:w="5960" w:space="480"/>
            <w:col w:w="4980"/>
          </w:cols>
          <w:pgMar w:left="240" w:top="283" w:right="239" w:bottom="1440" w:gutter="0" w:footer="0" w:header="0"/>
          <w:type w:val="continuous"/>
        </w:sectPr>
      </w:pPr>
    </w:p>
    <w:p>
      <w:pPr>
        <w:ind w:left="1200" w:hanging="553"/>
        <w:spacing w:after="0" w:line="259" w:lineRule="auto"/>
        <w:tabs>
          <w:tab w:leader="none" w:pos="1180" w:val="left"/>
        </w:tabs>
        <w:rPr>
          <w:sz w:val="20"/>
          <w:szCs w:val="20"/>
          <w:color w:val="auto"/>
        </w:rPr>
      </w:pPr>
      <w:r>
        <w:rPr>
          <w:rFonts w:ascii="Arial" w:cs="Arial" w:eastAsia="Arial" w:hAnsi="Arial"/>
          <w:sz w:val="18"/>
          <w:szCs w:val="18"/>
          <w:color w:val="auto"/>
        </w:rPr>
        <w:t>10.95</w:t>
        <w:tab/>
        <w:t>Amendment No. 1 to Transaction Terms Letter dated as of June 29,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10.3 to the Registrant's Current Report on Form 8-K filed July 6, 2011</w:t>
      </w:r>
    </w:p>
    <w:p>
      <w:pPr>
        <w:spacing w:after="0" w:line="440" w:lineRule="exact"/>
        <w:rPr>
          <w:sz w:val="20"/>
          <w:szCs w:val="20"/>
          <w:color w:val="auto"/>
        </w:rPr>
      </w:pPr>
    </w:p>
    <w:p>
      <w:pPr>
        <w:sectPr>
          <w:pgSz w:w="11900" w:h="16838" w:orient="portrait"/>
          <w:cols w:equalWidth="0" w:num="2">
            <w:col w:w="6200" w:space="240"/>
            <w:col w:w="4980"/>
          </w:cols>
          <w:pgMar w:left="240" w:top="283" w:right="239" w:bottom="1440" w:gutter="0" w:footer="0" w:header="0"/>
          <w:type w:val="continuous"/>
        </w:sectPr>
      </w:pPr>
    </w:p>
    <w:p>
      <w:pPr>
        <w:jc w:val="both"/>
        <w:ind w:left="1200" w:hanging="553"/>
        <w:spacing w:after="0" w:line="259" w:lineRule="auto"/>
        <w:tabs>
          <w:tab w:leader="none" w:pos="1180" w:val="left"/>
        </w:tabs>
        <w:rPr>
          <w:sz w:val="20"/>
          <w:szCs w:val="20"/>
          <w:color w:val="auto"/>
        </w:rPr>
      </w:pPr>
      <w:r>
        <w:rPr>
          <w:rFonts w:ascii="Arial" w:cs="Arial" w:eastAsia="Arial" w:hAnsi="Arial"/>
          <w:sz w:val="18"/>
          <w:szCs w:val="18"/>
          <w:color w:val="auto"/>
        </w:rPr>
        <w:t>10.96</w:t>
        <w:tab/>
        <w:t>Amendment No. 2 to Transactions Terms Letter dated as of July 12,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July 15, 2011</w:t>
      </w:r>
    </w:p>
    <w:p>
      <w:pPr>
        <w:spacing w:after="0" w:line="440" w:lineRule="exact"/>
        <w:rPr>
          <w:sz w:val="20"/>
          <w:szCs w:val="20"/>
          <w:color w:val="auto"/>
        </w:rPr>
      </w:pPr>
    </w:p>
    <w:p>
      <w:pPr>
        <w:sectPr>
          <w:pgSz w:w="11900" w:h="16838" w:orient="portrait"/>
          <w:cols w:equalWidth="0" w:num="2">
            <w:col w:w="6200" w:space="240"/>
            <w:col w:w="4980"/>
          </w:cols>
          <w:pgMar w:left="240" w:top="283" w:right="239" w:bottom="1440" w:gutter="0" w:footer="0" w:header="0"/>
          <w:type w:val="continuous"/>
        </w:sectPr>
      </w:pPr>
    </w:p>
    <w:p>
      <w:pPr>
        <w:ind w:left="1200" w:hanging="553"/>
        <w:spacing w:after="0" w:line="279" w:lineRule="auto"/>
        <w:tabs>
          <w:tab w:leader="none" w:pos="1180" w:val="left"/>
        </w:tabs>
        <w:rPr>
          <w:sz w:val="20"/>
          <w:szCs w:val="20"/>
          <w:color w:val="auto"/>
        </w:rPr>
      </w:pPr>
      <w:r>
        <w:rPr>
          <w:rFonts w:ascii="Arial" w:cs="Arial" w:eastAsia="Arial" w:hAnsi="Arial"/>
          <w:sz w:val="18"/>
          <w:szCs w:val="18"/>
          <w:color w:val="auto"/>
        </w:rPr>
        <w:t>10.97</w:t>
      </w:r>
      <w:r>
        <w:rPr>
          <w:sz w:val="20"/>
          <w:szCs w:val="20"/>
          <w:color w:val="auto"/>
        </w:rPr>
        <w:tab/>
      </w:r>
      <w:r>
        <w:rPr>
          <w:rFonts w:ascii="Arial" w:cs="Arial" w:eastAsia="Arial" w:hAnsi="Arial"/>
          <w:sz w:val="17"/>
          <w:szCs w:val="17"/>
          <w:color w:val="auto"/>
        </w:rPr>
        <w:t>Amendment No. 2 to Early Purchase Program Addendum to Loan Purchase Agreement dated as of July 12, 2011, which supplements that certain Loan Purchase Agreement by and between Bank of America, N.A. and Home Loan Center, Inc. dated April 16, 2002.</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10.2 to the Registrant's Current Report on Form 8-K filed July 15, 2011</w:t>
      </w:r>
    </w:p>
    <w:p>
      <w:pPr>
        <w:spacing w:after="0" w:line="440" w:lineRule="exact"/>
        <w:rPr>
          <w:sz w:val="20"/>
          <w:szCs w:val="20"/>
          <w:color w:val="auto"/>
        </w:rPr>
      </w:pPr>
    </w:p>
    <w:p>
      <w:pPr>
        <w:sectPr>
          <w:pgSz w:w="11900" w:h="16838" w:orient="portrait"/>
          <w:cols w:equalWidth="0" w:num="2">
            <w:col w:w="6320" w:space="12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spacing w:after="0"/>
              <w:rPr>
                <w:sz w:val="20"/>
                <w:szCs w:val="20"/>
                <w:color w:val="auto"/>
              </w:rPr>
            </w:pPr>
            <w:r>
              <w:rPr>
                <w:rFonts w:ascii="Arial" w:cs="Arial" w:eastAsia="Arial" w:hAnsi="Arial"/>
                <w:sz w:val="18"/>
                <w:szCs w:val="18"/>
                <w:color w:val="auto"/>
              </w:rPr>
              <w:t>10.98</w:t>
            </w:r>
          </w:p>
        </w:tc>
        <w:tc>
          <w:tcPr>
            <w:tcW w:w="5260" w:type="dxa"/>
            <w:vAlign w:val="bottom"/>
          </w:tcPr>
          <w:p>
            <w:pPr>
              <w:ind w:left="80"/>
              <w:spacing w:after="0"/>
              <w:rPr>
                <w:sz w:val="20"/>
                <w:szCs w:val="20"/>
                <w:color w:val="auto"/>
              </w:rPr>
            </w:pPr>
            <w:r>
              <w:rPr>
                <w:rFonts w:ascii="Arial" w:cs="Arial" w:eastAsia="Arial" w:hAnsi="Arial"/>
                <w:sz w:val="18"/>
                <w:szCs w:val="18"/>
                <w:color w:val="auto"/>
                <w:w w:val="90"/>
              </w:rPr>
              <w:t>Extension Letter Agreement dated as of August 11, 2011, regarding the</w:t>
            </w:r>
          </w:p>
        </w:tc>
        <w:tc>
          <w:tcPr>
            <w:tcW w:w="5040" w:type="dxa"/>
            <w:vAlign w:val="bottom"/>
          </w:tcPr>
          <w:p>
            <w:pPr>
              <w:ind w:left="60"/>
              <w:spacing w:after="0"/>
              <w:rPr>
                <w:sz w:val="20"/>
                <w:szCs w:val="20"/>
                <w:color w:val="auto"/>
              </w:rPr>
            </w:pPr>
            <w:r>
              <w:rPr>
                <w:rFonts w:ascii="Arial" w:cs="Arial" w:eastAsia="Arial" w:hAnsi="Arial"/>
                <w:sz w:val="18"/>
                <w:szCs w:val="18"/>
                <w:color w:val="auto"/>
                <w:w w:val="97"/>
              </w:rPr>
              <w:t>Exhibit 10.12 to the Registrant's Quarterly Report on Form 10-Q</w:t>
            </w:r>
          </w:p>
        </w:tc>
      </w:tr>
      <w:tr>
        <w:trPr>
          <w:trHeight w:val="216"/>
        </w:trPr>
        <w:tc>
          <w:tcPr>
            <w:tcW w:w="1120" w:type="dxa"/>
            <w:vAlign w:val="bottom"/>
          </w:tcPr>
          <w:p>
            <w:pPr>
              <w:spacing w:after="0"/>
              <w:rPr>
                <w:sz w:val="18"/>
                <w:szCs w:val="18"/>
                <w:color w:val="auto"/>
              </w:rPr>
            </w:pP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rPr>
              <w:t>Master Repurchase Agreement by and between Bank of America, N.A. filed August 15, 2011</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and Home Loan Center, Inc. dated May 1, 2009</w:t>
            </w:r>
          </w:p>
        </w:tc>
        <w:tc>
          <w:tcPr>
            <w:tcW w:w="50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Asset Purchase Agreement dated September 15, 2011 by and among</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Exhibit 2.1 to the Registrant's Current Report on Form 8-K filed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7"/>
              </w:rPr>
              <w:t>LendingTree, LLC, RealEstate.com, Inc. and Market Leader, Inc.**</w:t>
            </w:r>
          </w:p>
        </w:tc>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21, 2011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10.100</w:t>
            </w:r>
          </w:p>
        </w:tc>
        <w:tc>
          <w:tcPr>
            <w:tcW w:w="5260" w:type="dxa"/>
            <w:vAlign w:val="bottom"/>
          </w:tcPr>
          <w:p>
            <w:pPr>
              <w:ind w:left="80"/>
              <w:spacing w:after="0"/>
              <w:rPr>
                <w:sz w:val="20"/>
                <w:szCs w:val="20"/>
                <w:color w:val="auto"/>
              </w:rPr>
            </w:pPr>
            <w:r>
              <w:rPr>
                <w:rFonts w:ascii="Arial" w:cs="Arial" w:eastAsia="Arial" w:hAnsi="Arial"/>
                <w:sz w:val="18"/>
                <w:szCs w:val="18"/>
                <w:color w:val="auto"/>
                <w:w w:val="96"/>
              </w:rPr>
              <w:t>Bill of Sale dated September 16, 2011 by and among LendingTree,</w:t>
            </w:r>
          </w:p>
        </w:tc>
        <w:tc>
          <w:tcPr>
            <w:tcW w:w="5040" w:type="dxa"/>
            <w:vAlign w:val="bottom"/>
          </w:tcPr>
          <w:p>
            <w:pPr>
              <w:ind w:left="60"/>
              <w:spacing w:after="0"/>
              <w:rPr>
                <w:sz w:val="20"/>
                <w:szCs w:val="20"/>
                <w:color w:val="auto"/>
              </w:rPr>
            </w:pPr>
            <w:r>
              <w:rPr>
                <w:rFonts w:ascii="Arial" w:cs="Arial" w:eastAsia="Arial" w:hAnsi="Arial"/>
                <w:sz w:val="18"/>
                <w:szCs w:val="18"/>
                <w:color w:val="auto"/>
                <w:w w:val="99"/>
              </w:rPr>
              <w:t>Exhibit 2.2 to the Registrant's Current Report on Form 8-K filed</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LLC, RealEstate.com, Inc. and Market Leader, Inc.</w:t>
            </w:r>
          </w:p>
        </w:tc>
        <w:tc>
          <w:tcPr>
            <w:tcW w:w="5040" w:type="dxa"/>
            <w:vAlign w:val="bottom"/>
          </w:tcPr>
          <w:p>
            <w:pPr>
              <w:ind w:left="60"/>
              <w:spacing w:after="0"/>
              <w:rPr>
                <w:sz w:val="20"/>
                <w:szCs w:val="20"/>
                <w:color w:val="auto"/>
              </w:rPr>
            </w:pPr>
            <w:r>
              <w:rPr>
                <w:rFonts w:ascii="Arial" w:cs="Arial" w:eastAsia="Arial" w:hAnsi="Arial"/>
                <w:sz w:val="18"/>
                <w:szCs w:val="18"/>
                <w:color w:val="auto"/>
              </w:rPr>
              <w:t>September 21, 2011</w:t>
            </w: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Assignment and Assumption Agreement dated September 16, 2011 by</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Exhibit 2.3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among LendingTree, LLC, RealEstate.com, Inc. and Market</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September 21, 2011</w:t>
            </w:r>
          </w:p>
        </w:tc>
      </w:tr>
      <w:tr>
        <w:trPr>
          <w:trHeight w:val="230"/>
        </w:trPr>
        <w:tc>
          <w:tcPr>
            <w:tcW w:w="1120" w:type="dxa"/>
            <w:vAlign w:val="bottom"/>
            <w:shd w:val="clear" w:color="auto" w:fill="CCEEFF"/>
          </w:tcPr>
          <w:p>
            <w:pPr>
              <w:spacing w:after="0"/>
              <w:rPr>
                <w:sz w:val="20"/>
                <w:szCs w:val="20"/>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Leader, Inc.</w:t>
            </w:r>
          </w:p>
        </w:tc>
        <w:tc>
          <w:tcPr>
            <w:tcW w:w="5040" w:type="dxa"/>
            <w:vAlign w:val="bottom"/>
            <w:shd w:val="clear" w:color="auto" w:fill="CCEEFF"/>
          </w:tcPr>
          <w:p>
            <w:pPr>
              <w:spacing w:after="0"/>
              <w:rPr>
                <w:sz w:val="20"/>
                <w:szCs w:val="20"/>
                <w:color w:val="auto"/>
              </w:rPr>
            </w:pPr>
          </w:p>
        </w:tc>
      </w:tr>
      <w:tr>
        <w:trPr>
          <w:trHeight w:val="27"/>
        </w:trPr>
        <w:tc>
          <w:tcPr>
            <w:tcW w:w="1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83" w:right="239" w:bottom="1440" w:gutter="0" w:footer="0" w:header="0"/>
          <w:type w:val="continuous"/>
        </w:sectPr>
      </w:pPr>
    </w:p>
    <w:p>
      <w:pPr>
        <w:ind w:left="1200" w:hanging="642"/>
        <w:spacing w:after="0" w:line="259" w:lineRule="auto"/>
        <w:tabs>
          <w:tab w:leader="none" w:pos="1180" w:val="left"/>
        </w:tabs>
        <w:rPr>
          <w:sz w:val="20"/>
          <w:szCs w:val="20"/>
          <w:color w:val="auto"/>
        </w:rPr>
      </w:pPr>
      <w:r>
        <w:rPr>
          <w:rFonts w:ascii="Arial" w:cs="Arial" w:eastAsia="Arial" w:hAnsi="Arial"/>
          <w:sz w:val="18"/>
          <w:szCs w:val="18"/>
          <w:color w:val="auto"/>
        </w:rPr>
        <w:t>10.102</w:t>
        <w:tab/>
        <w:t>Amendment No. 3 to Transaction Terms Letter dated as of September 30, 2011, which supplements that certain Master Repurchase Agreement dated as of May 1, 2009 by and between Home Loan Center, Inc. and Bank of America, N.A.</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October 5, 2011</w:t>
      </w:r>
    </w:p>
    <w:p>
      <w:pPr>
        <w:spacing w:after="0" w:line="615" w:lineRule="exact"/>
        <w:rPr>
          <w:sz w:val="20"/>
          <w:szCs w:val="20"/>
          <w:color w:val="auto"/>
        </w:rPr>
      </w:pPr>
    </w:p>
    <w:p>
      <w:pPr>
        <w:sectPr>
          <w:pgSz w:w="11900" w:h="16838" w:orient="portrait"/>
          <w:cols w:equalWidth="0" w:num="2">
            <w:col w:w="6320" w:space="120"/>
            <w:col w:w="4980"/>
          </w:cols>
          <w:pgMar w:left="240" w:top="283"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283" w:right="239" w:bottom="1440" w:gutter="0" w:footer="0" w:header="0"/>
          <w:type w:val="continuous"/>
        </w:sectPr>
      </w:pPr>
    </w:p>
    <w:bookmarkStart w:id="78" w:name="page79"/>
    <w:bookmarkEnd w:id="78"/>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62" w:lineRule="exact"/>
        <w:rPr>
          <w:sz w:val="20"/>
          <w:szCs w:val="20"/>
          <w:color w:val="auto"/>
        </w:rPr>
      </w:pPr>
    </w:p>
    <w:p>
      <w:pPr>
        <w:ind w:left="1200" w:hanging="642"/>
        <w:spacing w:after="0" w:line="298" w:lineRule="auto"/>
        <w:tabs>
          <w:tab w:leader="none" w:pos="118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7"/>
          <w:szCs w:val="17"/>
          <w:color w:val="auto"/>
        </w:rPr>
        <w:t>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10.1 to the Registrant's Current Report on Form 8-K filed October 19, 2011</w:t>
      </w:r>
    </w:p>
    <w:p>
      <w:pPr>
        <w:spacing w:after="0" w:line="8" w:lineRule="exact"/>
        <w:rPr>
          <w:sz w:val="20"/>
          <w:szCs w:val="20"/>
          <w:color w:val="auto"/>
        </w:rPr>
      </w:pPr>
    </w:p>
    <w:p>
      <w:pPr>
        <w:sectPr>
          <w:pgSz w:w="11900" w:h="16838" w:orient="portrait"/>
          <w:cols w:equalWidth="0" w:num="2">
            <w:col w:w="6160" w:space="280"/>
            <w:col w:w="4980"/>
          </w:cols>
          <w:pgMar w:left="240" w:top="283" w:right="239" w:bottom="1440" w:gutter="0" w:footer="0" w:header="0"/>
          <w:type w:val="continuous"/>
        </w:sectPr>
      </w:pPr>
    </w:p>
    <w:p>
      <w:pPr>
        <w:ind w:left="560"/>
        <w:spacing w:after="0"/>
        <w:tabs>
          <w:tab w:leader="none" w:pos="1180" w:val="left"/>
        </w:tabs>
        <w:rPr>
          <w:sz w:val="20"/>
          <w:szCs w:val="20"/>
          <w:color w:val="auto"/>
        </w:rPr>
      </w:pPr>
      <w:r>
        <w:rPr>
          <w:rFonts w:ascii="Arial" w:cs="Arial" w:eastAsia="Arial" w:hAnsi="Arial"/>
          <w:sz w:val="18"/>
          <w:szCs w:val="18"/>
          <w:color w:val="auto"/>
        </w:rPr>
        <w:t>10.104</w:t>
      </w:r>
      <w:r>
        <w:rPr>
          <w:sz w:val="20"/>
          <w:szCs w:val="20"/>
          <w:color w:val="auto"/>
        </w:rPr>
        <w:tab/>
      </w:r>
      <w:r>
        <w:rPr>
          <w:rFonts w:ascii="Arial" w:cs="Arial" w:eastAsia="Arial" w:hAnsi="Arial"/>
          <w:sz w:val="16"/>
          <w:szCs w:val="16"/>
          <w:color w:val="auto"/>
        </w:rPr>
        <w:t>Pricing Side Letter dated as of October 13, 2011, by and between Home Exhibit 10.2 to the Registrant's Current Report on Form 8-K filed</w:t>
      </w:r>
    </w:p>
    <w:p>
      <w:pPr>
        <w:spacing w:after="0" w:line="23" w:lineRule="exact"/>
        <w:rPr>
          <w:sz w:val="20"/>
          <w:szCs w:val="20"/>
          <w:color w:val="auto"/>
        </w:rPr>
      </w:pPr>
    </w:p>
    <w:p>
      <w:pPr>
        <w:ind w:left="1200"/>
        <w:spacing w:after="0"/>
        <w:tabs>
          <w:tab w:leader="none" w:pos="6420" w:val="left"/>
        </w:tabs>
        <w:rPr>
          <w:sz w:val="20"/>
          <w:szCs w:val="20"/>
          <w:color w:val="auto"/>
        </w:rPr>
      </w:pPr>
      <w:r>
        <w:rPr>
          <w:rFonts w:ascii="Arial" w:cs="Arial" w:eastAsia="Arial" w:hAnsi="Arial"/>
          <w:sz w:val="18"/>
          <w:szCs w:val="18"/>
          <w:color w:val="auto"/>
        </w:rPr>
        <w:t>Loan Center, Inc. and Citibank, N.A.</w:t>
      </w:r>
      <w:r>
        <w:rPr>
          <w:sz w:val="20"/>
          <w:szCs w:val="20"/>
          <w:color w:val="auto"/>
        </w:rPr>
        <w:tab/>
      </w:r>
      <w:r>
        <w:rPr>
          <w:rFonts w:ascii="Arial" w:cs="Arial" w:eastAsia="Arial" w:hAnsi="Arial"/>
          <w:sz w:val="16"/>
          <w:szCs w:val="16"/>
          <w:color w:val="auto"/>
        </w:rPr>
        <w:t>October 19,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p>
      <w:pPr>
        <w:spacing w:after="0" w:line="49" w:lineRule="exact"/>
        <w:rPr>
          <w:sz w:val="20"/>
          <w:szCs w:val="20"/>
          <w:color w:val="auto"/>
        </w:rPr>
      </w:pPr>
    </w:p>
    <w:p>
      <w:pPr>
        <w:jc w:val="both"/>
        <w:ind w:left="1200" w:hanging="642"/>
        <w:spacing w:after="0" w:line="264" w:lineRule="auto"/>
        <w:tabs>
          <w:tab w:leader="none" w:pos="1180" w:val="left"/>
        </w:tabs>
        <w:rPr>
          <w:sz w:val="20"/>
          <w:szCs w:val="20"/>
          <w:color w:val="auto"/>
        </w:rPr>
      </w:pPr>
      <w:r>
        <w:rPr>
          <w:rFonts w:ascii="Arial" w:cs="Arial" w:eastAsia="Arial" w:hAnsi="Arial"/>
          <w:sz w:val="18"/>
          <w:szCs w:val="18"/>
          <w:color w:val="auto"/>
        </w:rPr>
        <w:t>10.105</w:t>
        <w:tab/>
        <w:t>Amendment No. 7 to Master Repurchase Agreement dated as of October 28, 2011, by and between Home Loan Center, Inc. and JPMorgan Chase Bank, N.A.</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 10.9 to the Registrant's Quarterly Report on Form 10-Q filed November 14, 2011</w:t>
      </w:r>
    </w:p>
    <w:p>
      <w:pPr>
        <w:spacing w:after="0" w:line="224" w:lineRule="exact"/>
        <w:rPr>
          <w:sz w:val="20"/>
          <w:szCs w:val="20"/>
          <w:color w:val="auto"/>
        </w:rPr>
      </w:pPr>
    </w:p>
    <w:p>
      <w:pPr>
        <w:sectPr>
          <w:pgSz w:w="11900" w:h="16838" w:orient="portrait"/>
          <w:cols w:equalWidth="0" w:num="2">
            <w:col w:w="5820" w:space="620"/>
            <w:col w:w="4980"/>
          </w:cols>
          <w:pgMar w:left="240" w:top="283" w:right="239" w:bottom="1440" w:gutter="0" w:footer="0" w:header="0"/>
          <w:type w:val="continuous"/>
        </w:sectPr>
      </w:pPr>
    </w:p>
    <w:p>
      <w:pPr>
        <w:ind w:left="1200" w:hanging="642"/>
        <w:spacing w:after="0" w:line="259" w:lineRule="auto"/>
        <w:tabs>
          <w:tab w:leader="none" w:pos="1180" w:val="left"/>
        </w:tabs>
        <w:rPr>
          <w:sz w:val="20"/>
          <w:szCs w:val="20"/>
          <w:color w:val="auto"/>
        </w:rPr>
      </w:pPr>
      <w:r>
        <w:rPr>
          <w:rFonts w:ascii="Arial" w:cs="Arial" w:eastAsia="Arial" w:hAnsi="Arial"/>
          <w:sz w:val="18"/>
          <w:szCs w:val="18"/>
          <w:color w:val="auto"/>
        </w:rPr>
        <w:t>10.106</w:t>
        <w:tab/>
        <w:t>Amendment No. 5 to Side Letter dated as of October 28, 2011, which supplements that certain Master Repurchase Agreement dated as of October 30, 2009 by and between Home Loan Center, Inc. and JPMorgan Chase Bank, N.A.</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Exhibit 10.10 to the Registrant's Quarterly Report on Form 10-Q filed November 14, 2011</w:t>
      </w:r>
    </w:p>
    <w:p>
      <w:pPr>
        <w:spacing w:after="0" w:line="427" w:lineRule="exact"/>
        <w:rPr>
          <w:sz w:val="20"/>
          <w:szCs w:val="20"/>
          <w:color w:val="auto"/>
        </w:rPr>
      </w:pPr>
    </w:p>
    <w:p>
      <w:pPr>
        <w:sectPr>
          <w:pgSz w:w="11900" w:h="16838" w:orient="portrait"/>
          <w:cols w:equalWidth="0" w:num="2">
            <w:col w:w="6200" w:space="24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Amendment No. 2 to Master Repurchase Agreement dated as of</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Exhibit 10.11 to the Registrant's Quarterly Report on Form 10-Q</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November 1, 2011, which supplements that certain Master Repurchase</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filed November 14, 2011</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Agreement dated as of May 1, 2009 by and between Home Loan</w:t>
            </w:r>
          </w:p>
        </w:tc>
        <w:tc>
          <w:tcPr>
            <w:tcW w:w="504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Center, Inc. and Bank of America, N.A.</w:t>
            </w:r>
          </w:p>
        </w:tc>
        <w:tc>
          <w:tcPr>
            <w:tcW w:w="50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10.108</w:t>
            </w:r>
          </w:p>
        </w:tc>
        <w:tc>
          <w:tcPr>
            <w:tcW w:w="10300" w:type="dxa"/>
            <w:vAlign w:val="bottom"/>
            <w:gridSpan w:val="2"/>
          </w:tcPr>
          <w:p>
            <w:pPr>
              <w:ind w:left="80"/>
              <w:spacing w:after="0"/>
              <w:rPr>
                <w:sz w:val="20"/>
                <w:szCs w:val="20"/>
                <w:color w:val="auto"/>
              </w:rPr>
            </w:pPr>
            <w:r>
              <w:rPr>
                <w:rFonts w:ascii="Arial" w:cs="Arial" w:eastAsia="Arial" w:hAnsi="Arial"/>
                <w:sz w:val="18"/>
                <w:szCs w:val="18"/>
                <w:color w:val="auto"/>
                <w:w w:val="93"/>
              </w:rPr>
              <w:t>Amendment No. 4 to Transaction Terms Letter dated as of November 1, Exhibit 10.12 to the Registrant's Quarterly Report on Form 10-Q</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3"/>
              </w:rPr>
              <w:t>2011, which supplements that certain Master Repurchase Agreement</w:t>
            </w:r>
          </w:p>
        </w:tc>
        <w:tc>
          <w:tcPr>
            <w:tcW w:w="5040" w:type="dxa"/>
            <w:vAlign w:val="bottom"/>
          </w:tcPr>
          <w:p>
            <w:pPr>
              <w:ind w:left="60"/>
              <w:spacing w:after="0"/>
              <w:rPr>
                <w:sz w:val="20"/>
                <w:szCs w:val="20"/>
                <w:color w:val="auto"/>
              </w:rPr>
            </w:pPr>
            <w:r>
              <w:rPr>
                <w:rFonts w:ascii="Arial" w:cs="Arial" w:eastAsia="Arial" w:hAnsi="Arial"/>
                <w:sz w:val="18"/>
                <w:szCs w:val="18"/>
                <w:color w:val="auto"/>
              </w:rPr>
              <w:t>filed November 14, 2011</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2"/>
              </w:rPr>
              <w:t>dated as of May 1, 2009 by and between Home Loan Center, Inc. and</w:t>
            </w:r>
          </w:p>
        </w:tc>
        <w:tc>
          <w:tcPr>
            <w:tcW w:w="50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Bank of America, N.A.</w:t>
            </w:r>
          </w:p>
        </w:tc>
        <w:tc>
          <w:tcPr>
            <w:tcW w:w="504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Amendment Number One dated as of December 13, 2011 to the Master</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Exhibit 10.97 to the Registrant's Annual Report on Form 10-K filed</w:t>
            </w:r>
          </w:p>
        </w:tc>
      </w:tr>
      <w:tr>
        <w:trPr>
          <w:trHeight w:val="216"/>
        </w:trPr>
        <w:tc>
          <w:tcPr>
            <w:tcW w:w="1120" w:type="dxa"/>
            <w:vAlign w:val="bottom"/>
            <w:shd w:val="clear" w:color="auto" w:fill="CCEEFF"/>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Repurchase Agreement dated as of October 13, 2011 by and between</w:t>
            </w: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16, 2012</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Home Loan Center, Inc. and CitiBank, N.A.</w:t>
            </w:r>
          </w:p>
        </w:tc>
        <w:tc>
          <w:tcPr>
            <w:tcW w:w="504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10.110</w:t>
            </w:r>
          </w:p>
        </w:tc>
        <w:tc>
          <w:tcPr>
            <w:tcW w:w="5260" w:type="dxa"/>
            <w:vAlign w:val="bottom"/>
          </w:tcPr>
          <w:p>
            <w:pPr>
              <w:ind w:left="80"/>
              <w:spacing w:after="0"/>
              <w:rPr>
                <w:sz w:val="20"/>
                <w:szCs w:val="20"/>
                <w:color w:val="auto"/>
              </w:rPr>
            </w:pPr>
            <w:r>
              <w:rPr>
                <w:rFonts w:ascii="Arial" w:cs="Arial" w:eastAsia="Arial" w:hAnsi="Arial"/>
                <w:sz w:val="18"/>
                <w:szCs w:val="18"/>
                <w:color w:val="auto"/>
                <w:w w:val="96"/>
              </w:rPr>
              <w:t>Master Repurchase Agreement dated as of January 6, 2012 by and</w:t>
            </w:r>
          </w:p>
        </w:tc>
        <w:tc>
          <w:tcPr>
            <w:tcW w:w="5040" w:type="dxa"/>
            <w:vAlign w:val="bottom"/>
          </w:tcPr>
          <w:p>
            <w:pPr>
              <w:ind w:left="60"/>
              <w:spacing w:after="0"/>
              <w:rPr>
                <w:sz w:val="20"/>
                <w:szCs w:val="20"/>
                <w:color w:val="auto"/>
              </w:rPr>
            </w:pPr>
            <w:r>
              <w:rPr>
                <w:rFonts w:ascii="Arial" w:cs="Arial" w:eastAsia="Arial" w:hAnsi="Arial"/>
                <w:sz w:val="18"/>
                <w:szCs w:val="18"/>
                <w:color w:val="auto"/>
                <w:w w:val="92"/>
              </w:rPr>
              <w:t>Exhibit 10.1 to the Registrant's Quarterly Report on Form 10-Q filed</w:t>
            </w:r>
          </w:p>
        </w:tc>
      </w:tr>
      <w:tr>
        <w:trPr>
          <w:trHeight w:val="216"/>
        </w:trPr>
        <w:tc>
          <w:tcPr>
            <w:tcW w:w="11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w w:val="93"/>
              </w:rPr>
              <w:t>between Credit Suisse First Boston Mortgage Capital LLC and Home</w:t>
            </w:r>
          </w:p>
        </w:tc>
        <w:tc>
          <w:tcPr>
            <w:tcW w:w="5040" w:type="dxa"/>
            <w:vAlign w:val="bottom"/>
          </w:tcPr>
          <w:p>
            <w:pPr>
              <w:ind w:left="60"/>
              <w:spacing w:after="0"/>
              <w:rPr>
                <w:sz w:val="20"/>
                <w:szCs w:val="20"/>
                <w:color w:val="auto"/>
              </w:rPr>
            </w:pPr>
            <w:r>
              <w:rPr>
                <w:rFonts w:ascii="Arial" w:cs="Arial" w:eastAsia="Arial" w:hAnsi="Arial"/>
                <w:sz w:val="18"/>
                <w:szCs w:val="18"/>
                <w:color w:val="auto"/>
              </w:rPr>
              <w:t>May 15, 2012</w:t>
            </w:r>
          </w:p>
        </w:tc>
      </w:tr>
      <w:tr>
        <w:trPr>
          <w:trHeight w:val="230"/>
        </w:trPr>
        <w:tc>
          <w:tcPr>
            <w:tcW w:w="1120" w:type="dxa"/>
            <w:vAlign w:val="bottom"/>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Loan Center, Inc.</w:t>
            </w:r>
          </w:p>
        </w:tc>
        <w:tc>
          <w:tcPr>
            <w:tcW w:w="5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p>
      <w:pPr>
        <w:spacing w:after="0" w:line="40" w:lineRule="exact"/>
        <w:rPr>
          <w:sz w:val="20"/>
          <w:szCs w:val="20"/>
          <w:color w:val="auto"/>
        </w:rPr>
      </w:pPr>
    </w:p>
    <w:p>
      <w:pPr>
        <w:ind w:left="1200" w:hanging="629"/>
        <w:spacing w:after="0" w:line="264" w:lineRule="auto"/>
        <w:tabs>
          <w:tab w:leader="none" w:pos="1180" w:val="left"/>
        </w:tabs>
        <w:rPr>
          <w:sz w:val="20"/>
          <w:szCs w:val="20"/>
          <w:color w:val="auto"/>
        </w:rPr>
      </w:pPr>
      <w:r>
        <w:rPr>
          <w:rFonts w:ascii="Arial" w:cs="Arial" w:eastAsia="Arial" w:hAnsi="Arial"/>
          <w:sz w:val="18"/>
          <w:szCs w:val="18"/>
          <w:color w:val="auto"/>
        </w:rPr>
        <w:t>10.111</w:t>
        <w:tab/>
        <w:t>Amendment No. 2 dated as of January 20, 2012 to the 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 10.2 to the Registrant's Quarterly Report on Form 10-Q filed May 15, 2012</w:t>
      </w:r>
    </w:p>
    <w:p>
      <w:pPr>
        <w:spacing w:after="0" w:line="224" w:lineRule="exact"/>
        <w:rPr>
          <w:sz w:val="20"/>
          <w:szCs w:val="20"/>
          <w:color w:val="auto"/>
        </w:rPr>
      </w:pPr>
    </w:p>
    <w:p>
      <w:pPr>
        <w:sectPr>
          <w:pgSz w:w="11900" w:h="16838" w:orient="portrait"/>
          <w:cols w:equalWidth="0" w:num="2">
            <w:col w:w="6180" w:space="260"/>
            <w:col w:w="4980"/>
          </w:cols>
          <w:pgMar w:left="240" w:top="283" w:right="239" w:bottom="1440" w:gutter="0" w:footer="0" w:header="0"/>
          <w:type w:val="continuous"/>
        </w:sectPr>
      </w:pPr>
    </w:p>
    <w:p>
      <w:pPr>
        <w:ind w:left="1200" w:hanging="636"/>
        <w:spacing w:after="0" w:line="264" w:lineRule="auto"/>
        <w:tabs>
          <w:tab w:leader="none" w:pos="1180" w:val="left"/>
        </w:tabs>
        <w:rPr>
          <w:sz w:val="20"/>
          <w:szCs w:val="20"/>
          <w:color w:val="auto"/>
        </w:rPr>
      </w:pPr>
      <w:r>
        <w:rPr>
          <w:rFonts w:ascii="Arial" w:cs="Arial" w:eastAsia="Arial" w:hAnsi="Arial"/>
          <w:sz w:val="18"/>
          <w:szCs w:val="18"/>
          <w:color w:val="auto"/>
        </w:rPr>
        <w:t>10.112</w:t>
        <w:tab/>
        <w:t>Amendment No. 3 dated as of January 31, 2012 to the Master Repurchase Agreement dated as of October 13, 2011 by and between Home Loan Center, Inc. and Citibank, N.A.</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Exhibit 10.3 to the Registrant's Quarterly Report on Form 10-Q filed May 15, 2012</w:t>
      </w:r>
    </w:p>
    <w:p>
      <w:pPr>
        <w:spacing w:after="0" w:line="212" w:lineRule="exact"/>
        <w:rPr>
          <w:sz w:val="20"/>
          <w:szCs w:val="20"/>
          <w:color w:val="auto"/>
        </w:rPr>
      </w:pPr>
    </w:p>
    <w:p>
      <w:pPr>
        <w:sectPr>
          <w:pgSz w:w="11900" w:h="16838" w:orient="portrait"/>
          <w:cols w:equalWidth="0" w:num="2">
            <w:col w:w="6180" w:space="260"/>
            <w:col w:w="49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Amendment to Asset Purchase Agreement dated as of February 7, 2012</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Exhibit 2.1 to the Registrant's Current Report on Form 8-K filed</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by and among Home Loan Center, Inc., HLC Escrow, Inc.,</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8, 2012</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LendingTree, LLC, Tree.com, Inc., Discover Bank and Discover</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Financial Services**</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10.114</w:t>
            </w:r>
          </w:p>
        </w:tc>
        <w:tc>
          <w:tcPr>
            <w:tcW w:w="5280" w:type="dxa"/>
            <w:vAlign w:val="bottom"/>
          </w:tcPr>
          <w:p>
            <w:pPr>
              <w:ind w:left="80"/>
              <w:spacing w:after="0"/>
              <w:rPr>
                <w:sz w:val="20"/>
                <w:szCs w:val="20"/>
                <w:color w:val="auto"/>
              </w:rPr>
            </w:pPr>
            <w:r>
              <w:rPr>
                <w:rFonts w:ascii="Arial" w:cs="Arial" w:eastAsia="Arial" w:hAnsi="Arial"/>
                <w:sz w:val="18"/>
                <w:szCs w:val="18"/>
                <w:color w:val="auto"/>
                <w:w w:val="96"/>
              </w:rPr>
              <w:t>Amended and Restated Master Repurchase Agreement dated as of</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10.5 to the Registrant's Quarterly Report on Form 10-Q filed</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8"/>
              </w:rPr>
              <w:t>February 17, 2012 by and between Citibank, N.A. and Home Loan</w:t>
            </w:r>
          </w:p>
        </w:tc>
        <w:tc>
          <w:tcPr>
            <w:tcW w:w="5020" w:type="dxa"/>
            <w:vAlign w:val="bottom"/>
          </w:tcPr>
          <w:p>
            <w:pPr>
              <w:ind w:left="40"/>
              <w:spacing w:after="0"/>
              <w:rPr>
                <w:sz w:val="20"/>
                <w:szCs w:val="20"/>
                <w:color w:val="auto"/>
              </w:rPr>
            </w:pPr>
            <w:r>
              <w:rPr>
                <w:rFonts w:ascii="Arial" w:cs="Arial" w:eastAsia="Arial" w:hAnsi="Arial"/>
                <w:sz w:val="18"/>
                <w:szCs w:val="18"/>
                <w:color w:val="auto"/>
              </w:rPr>
              <w:t>May 15, 2012</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Center, Inc.</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Amendment No. 8 to Master Repurchase Agreement dated as of</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Exhibit 10.6 to the Registrant's Quarterly Report on Form 10-Q filed</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April 25, 2012, by and between Home Loan Center, Inc. and JPMorgan</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15, 2012</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Chase Bank, N.A.</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10.116</w:t>
            </w:r>
          </w:p>
        </w:tc>
        <w:tc>
          <w:tcPr>
            <w:tcW w:w="5280" w:type="dxa"/>
            <w:vAlign w:val="bottom"/>
          </w:tcPr>
          <w:p>
            <w:pPr>
              <w:ind w:left="80"/>
              <w:spacing w:after="0"/>
              <w:rPr>
                <w:sz w:val="20"/>
                <w:szCs w:val="20"/>
                <w:color w:val="auto"/>
              </w:rPr>
            </w:pPr>
            <w:r>
              <w:rPr>
                <w:rFonts w:ascii="Arial" w:cs="Arial" w:eastAsia="Arial" w:hAnsi="Arial"/>
                <w:sz w:val="18"/>
                <w:szCs w:val="18"/>
                <w:color w:val="auto"/>
                <w:w w:val="96"/>
              </w:rPr>
              <w:t>Change in Control Letter dated as of July 27, 2012 by and between</w:t>
            </w:r>
          </w:p>
        </w:tc>
        <w:tc>
          <w:tcPr>
            <w:tcW w:w="5020" w:type="dxa"/>
            <w:vAlign w:val="bottom"/>
          </w:tcPr>
          <w:p>
            <w:pPr>
              <w:ind w:left="40"/>
              <w:spacing w:after="0"/>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Tree.com, Inc. and Alexander Mandel*</w:t>
            </w:r>
          </w:p>
        </w:tc>
        <w:tc>
          <w:tcPr>
            <w:tcW w:w="5020" w:type="dxa"/>
            <w:vAlign w:val="bottom"/>
          </w:tcPr>
          <w:p>
            <w:pPr>
              <w:ind w:left="40"/>
              <w:spacing w:after="0"/>
              <w:rPr>
                <w:sz w:val="20"/>
                <w:szCs w:val="20"/>
                <w:color w:val="auto"/>
              </w:rPr>
            </w:pPr>
            <w:r>
              <w:rPr>
                <w:rFonts w:ascii="Arial" w:cs="Arial" w:eastAsia="Arial" w:hAnsi="Arial"/>
                <w:sz w:val="18"/>
                <w:szCs w:val="18"/>
                <w:color w:val="auto"/>
              </w:rPr>
              <w:t>November 14, 2012</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of Restricted Stock Award Agreement*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10.118</w:t>
            </w:r>
          </w:p>
        </w:tc>
        <w:tc>
          <w:tcPr>
            <w:tcW w:w="5280" w:type="dxa"/>
            <w:vAlign w:val="bottom"/>
          </w:tcPr>
          <w:p>
            <w:pPr>
              <w:ind w:left="80"/>
              <w:spacing w:after="0"/>
              <w:rPr>
                <w:sz w:val="20"/>
                <w:szCs w:val="20"/>
                <w:color w:val="auto"/>
              </w:rPr>
            </w:pPr>
            <w:r>
              <w:rPr>
                <w:rFonts w:ascii="Arial" w:cs="Arial" w:eastAsia="Arial" w:hAnsi="Arial"/>
                <w:sz w:val="18"/>
                <w:szCs w:val="18"/>
                <w:color w:val="auto"/>
              </w:rPr>
              <w:t>Form of Notice of Restricted Stock Unit Award*</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702"/>
        </w:trPr>
        <w:tc>
          <w:tcPr>
            <w:tcW w:w="1120" w:type="dxa"/>
            <w:vAlign w:val="bottom"/>
          </w:tcPr>
          <w:p>
            <w:pPr>
              <w:spacing w:after="0"/>
              <w:rPr>
                <w:sz w:val="24"/>
                <w:szCs w:val="24"/>
                <w:color w:val="auto"/>
              </w:rPr>
            </w:pPr>
          </w:p>
        </w:tc>
        <w:tc>
          <w:tcPr>
            <w:tcW w:w="5280" w:type="dxa"/>
            <w:vAlign w:val="bottom"/>
          </w:tcPr>
          <w:p>
            <w:pPr>
              <w:ind w:left="4500"/>
              <w:spacing w:after="0"/>
              <w:rPr>
                <w:sz w:val="20"/>
                <w:szCs w:val="20"/>
                <w:color w:val="auto"/>
              </w:rPr>
            </w:pPr>
            <w:r>
              <w:rPr>
                <w:rFonts w:ascii="Arial" w:cs="Arial" w:eastAsia="Arial" w:hAnsi="Arial"/>
                <w:sz w:val="18"/>
                <w:szCs w:val="18"/>
                <w:color w:val="auto"/>
              </w:rPr>
              <w:t>77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type w:val="continuous"/>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2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28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c>
          <w:tcPr>
            <w:tcW w:w="5020" w:type="dxa"/>
            <w:vAlign w:val="bottom"/>
          </w:tcPr>
          <w:p>
            <w:pPr>
              <w:ind w:left="218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1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4"/>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of Notice of Stock Option Award*</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5280" w:type="dxa"/>
            <w:vAlign w:val="bottom"/>
          </w:tcPr>
          <w:p>
            <w:pPr>
              <w:ind w:left="80"/>
              <w:spacing w:after="0"/>
              <w:rPr>
                <w:sz w:val="20"/>
                <w:szCs w:val="20"/>
                <w:color w:val="auto"/>
              </w:rPr>
            </w:pPr>
            <w:r>
              <w:rPr>
                <w:rFonts w:ascii="Arial" w:cs="Arial" w:eastAsia="Arial" w:hAnsi="Arial"/>
                <w:sz w:val="18"/>
                <w:szCs w:val="18"/>
                <w:color w:val="auto"/>
              </w:rPr>
              <w:t>Subsidiaries of Tree.com, Inc.</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5280" w:type="dxa"/>
            <w:vAlign w:val="bottom"/>
          </w:tcPr>
          <w:p>
            <w:pPr>
              <w:ind w:left="80"/>
              <w:spacing w:after="0"/>
              <w:rPr>
                <w:sz w:val="20"/>
                <w:szCs w:val="20"/>
                <w:color w:val="auto"/>
              </w:rPr>
            </w:pPr>
            <w:r>
              <w:rPr>
                <w:rFonts w:ascii="Arial" w:cs="Arial" w:eastAsia="Arial" w:hAnsi="Arial"/>
                <w:sz w:val="18"/>
                <w:szCs w:val="18"/>
                <w:color w:val="auto"/>
                <w:w w:val="95"/>
              </w:rPr>
              <w:t>Power of Attorney (included on signature page of this Annual Report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on Form 10-K)</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Certification of the Chief Executive Officer pursuant to Rule 13a-14(a)</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5280" w:type="dxa"/>
            <w:vAlign w:val="bottom"/>
          </w:tcPr>
          <w:p>
            <w:pPr>
              <w:ind w:left="80"/>
              <w:spacing w:after="0"/>
              <w:rPr>
                <w:sz w:val="20"/>
                <w:szCs w:val="20"/>
                <w:color w:val="auto"/>
              </w:rPr>
            </w:pPr>
            <w:r>
              <w:rPr>
                <w:rFonts w:ascii="Arial" w:cs="Arial" w:eastAsia="Arial" w:hAnsi="Arial"/>
                <w:sz w:val="18"/>
                <w:szCs w:val="18"/>
                <w:color w:val="auto"/>
                <w:w w:val="94"/>
              </w:rPr>
              <w:t>Certification of the Chief Financial Officer pursuant to Rule 13a-14(a)</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4"/>
              </w:rPr>
              <w:t>or Rule 15d-14(a) of the Securities Exchange Act of 1934 as adopted</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pursuant to Section 302 of the Sarbanes-Oxley 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Certification of the Chief Executive Officer pursuant to 18 U.S.C.</w:t>
            </w:r>
          </w:p>
        </w:tc>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shd w:val="clear" w:color="auto" w:fill="CCEEFF"/>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shd w:val="clear" w:color="auto" w:fill="CCEEFF"/>
          </w:tcPr>
          <w:p>
            <w:pPr>
              <w:spacing w:after="0"/>
              <w:rPr>
                <w:sz w:val="18"/>
                <w:szCs w:val="18"/>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5280" w:type="dxa"/>
            <w:vAlign w:val="bottom"/>
          </w:tcPr>
          <w:p>
            <w:pPr>
              <w:ind w:left="80"/>
              <w:spacing w:after="0"/>
              <w:rPr>
                <w:sz w:val="20"/>
                <w:szCs w:val="20"/>
                <w:color w:val="auto"/>
              </w:rPr>
            </w:pPr>
            <w:r>
              <w:rPr>
                <w:rFonts w:ascii="Arial" w:cs="Arial" w:eastAsia="Arial" w:hAnsi="Arial"/>
                <w:sz w:val="18"/>
                <w:szCs w:val="18"/>
                <w:color w:val="auto"/>
              </w:rPr>
              <w:t>Certification of the Chief Financial Officer pursuant to 18 U.S.C.</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Sarbanes-Oxley</w:t>
            </w:r>
          </w:p>
        </w:tc>
        <w:tc>
          <w:tcPr>
            <w:tcW w:w="5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Act of 2002</w:t>
            </w:r>
          </w:p>
        </w:tc>
        <w:tc>
          <w:tcPr>
            <w:tcW w:w="50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101.CAL</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101.DEF</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101.INS</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101.LAB</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101.PRE</w:t>
            </w:r>
          </w:p>
        </w:tc>
        <w:tc>
          <w:tcPr>
            <w:tcW w:w="5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101.SCH</w:t>
            </w:r>
          </w:p>
        </w:tc>
        <w:tc>
          <w:tcPr>
            <w:tcW w:w="5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502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ind w:right="280" w:firstLine="8"/>
        <w:spacing w:after="0" w:line="264" w:lineRule="auto"/>
        <w:tabs>
          <w:tab w:leader="none" w:pos="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ind w:right="660" w:firstLine="8"/>
        <w:spacing w:after="0" w:line="312"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Management or compensation plan or agreement.</w:t>
      </w:r>
    </w:p>
    <w:p>
      <w:pPr>
        <w:spacing w:after="0" w:line="144" w:lineRule="exact"/>
        <w:rPr>
          <w:sz w:val="20"/>
          <w:szCs w:val="20"/>
          <w:color w:val="auto"/>
        </w:rPr>
      </w:pPr>
    </w:p>
    <w:p>
      <w:pPr>
        <w:ind w:right="160" w:firstLine="8"/>
        <w:spacing w:after="0" w:line="277" w:lineRule="auto"/>
        <w:tabs>
          <w:tab w:leader="none" w:pos="2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3"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2014</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TREE.COM,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6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Katharine Pierce his true and lawful attorney and agent, with full power of substitution and resubstitution, for him and in his name, place and stead, in any and all capacities, to sign any and all amendments to the Registrant's Annual Report on Form 10-K for the fiscal year ended December 31, 2013,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might or could do in person, hereby ratifying and confirming all that said attorney and agent may lawfully do or cause to be done by virtue hereof.</w:t>
      </w:r>
    </w:p>
    <w:p>
      <w:pPr>
        <w:spacing w:after="0" w:line="9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43" w:lineRule="exact"/>
        <w:rPr>
          <w:sz w:val="20"/>
          <w:szCs w:val="20"/>
          <w:color w:val="auto"/>
        </w:rPr>
      </w:pPr>
    </w:p>
    <w:p>
      <w:pPr>
        <w:ind w:left="1760"/>
        <w:spacing w:after="0"/>
        <w:tabs>
          <w:tab w:leader="none" w:pos="6460" w:val="left"/>
          <w:tab w:leader="none" w:pos="9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DOUGLAS R. LEBDA</w:t>
            </w:r>
          </w:p>
        </w:tc>
        <w:tc>
          <w:tcPr>
            <w:tcW w:w="4460" w:type="dxa"/>
            <w:vAlign w:val="bottom"/>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Douglas R. Lebda</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ALEXANDER MANDEL</w:t>
            </w:r>
          </w:p>
        </w:tc>
        <w:tc>
          <w:tcPr>
            <w:tcW w:w="44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Alexander Mandel</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CARLA SHUMATE</w:t>
            </w:r>
          </w:p>
        </w:tc>
        <w:tc>
          <w:tcPr>
            <w:tcW w:w="4460" w:type="dxa"/>
            <w:vAlign w:val="bottom"/>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41"/>
        </w:trPr>
        <w:tc>
          <w:tcPr>
            <w:tcW w:w="4120" w:type="dxa"/>
            <w:vAlign w:val="bottom"/>
            <w:tcBorders>
              <w:bottom w:val="single" w:sz="8" w:color="auto"/>
            </w:tcBorders>
          </w:tcPr>
          <w:p>
            <w:pPr>
              <w:spacing w:after="0"/>
              <w:rPr>
                <w:sz w:val="3"/>
                <w:szCs w:val="3"/>
                <w:color w:val="auto"/>
              </w:rPr>
            </w:pPr>
          </w:p>
        </w:tc>
        <w:tc>
          <w:tcPr>
            <w:tcW w:w="446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Carla Shumate</w:t>
            </w:r>
          </w:p>
        </w:tc>
        <w:tc>
          <w:tcPr>
            <w:tcW w:w="44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PETER HORAN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Peter Horan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JOSEPH LEVIN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Joseph Levin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NEAL DERMER</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Neal Dermer</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STEVEN OZONIAN</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Steven Ozonian</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/s/ W. MAC LACKEY</w:t>
            </w:r>
          </w:p>
        </w:tc>
        <w:tc>
          <w:tcPr>
            <w:tcW w:w="44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60"/>
              <w:spacing w:after="0"/>
              <w:rPr>
                <w:sz w:val="20"/>
                <w:szCs w:val="20"/>
                <w:color w:val="auto"/>
              </w:rPr>
            </w:pPr>
            <w:r>
              <w:rPr>
                <w:rFonts w:ascii="Arial" w:cs="Arial" w:eastAsia="Arial" w:hAnsi="Arial"/>
                <w:sz w:val="18"/>
                <w:szCs w:val="18"/>
                <w:color w:val="auto"/>
                <w:w w:val="89"/>
              </w:rPr>
              <w:t>March 17, 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W. Mac Lackey</w:t>
            </w:r>
          </w:p>
        </w:tc>
        <w:tc>
          <w:tcPr>
            <w:tcW w:w="4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4460" w:type="dxa"/>
            <w:vAlign w:val="bottom"/>
          </w:tcPr>
          <w:p>
            <w:pPr>
              <w:ind w:left="1500"/>
              <w:spacing w:after="0"/>
              <w:rPr>
                <w:sz w:val="20"/>
                <w:szCs w:val="20"/>
                <w:color w:val="auto"/>
              </w:rPr>
            </w:pPr>
            <w:r>
              <w:rPr>
                <w:rFonts w:ascii="Arial" w:cs="Arial" w:eastAsia="Arial" w:hAnsi="Arial"/>
                <w:sz w:val="18"/>
                <w:szCs w:val="18"/>
                <w:color w:val="auto"/>
              </w:rPr>
              <w:t>79</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8" w:right="2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Balance at</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Charges to</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Beginning of</w:t>
            </w:r>
          </w:p>
        </w:tc>
        <w:tc>
          <w:tcPr>
            <w:tcW w:w="360" w:type="dxa"/>
            <w:vAlign w:val="bottom"/>
          </w:tcPr>
          <w:p>
            <w:pPr>
              <w:spacing w:after="0"/>
              <w:rPr>
                <w:sz w:val="17"/>
                <w:szCs w:val="17"/>
                <w:color w:val="auto"/>
              </w:rPr>
            </w:pPr>
          </w:p>
        </w:tc>
        <w:tc>
          <w:tcPr>
            <w:tcW w:w="1560" w:type="dxa"/>
            <w:vAlign w:val="bottom"/>
          </w:tcPr>
          <w:p>
            <w:pPr>
              <w:jc w:val="center"/>
              <w:ind w:right="473"/>
              <w:spacing w:after="0"/>
              <w:rPr>
                <w:sz w:val="20"/>
                <w:szCs w:val="20"/>
                <w:color w:val="auto"/>
              </w:rPr>
            </w:pPr>
            <w:r>
              <w:rPr>
                <w:rFonts w:ascii="Arial" w:cs="Arial" w:eastAsia="Arial" w:hAnsi="Arial"/>
                <w:sz w:val="16"/>
                <w:szCs w:val="16"/>
                <w:b w:val="1"/>
                <w:bCs w:val="1"/>
                <w:color w:val="auto"/>
                <w:w w:val="90"/>
              </w:rPr>
              <w:t>Charges to</w:t>
            </w:r>
          </w:p>
        </w:tc>
        <w:tc>
          <w:tcPr>
            <w:tcW w:w="320" w:type="dxa"/>
            <w:vAlign w:val="bottom"/>
          </w:tcPr>
          <w:p>
            <w:pPr>
              <w:spacing w:after="0"/>
              <w:rPr>
                <w:sz w:val="17"/>
                <w:szCs w:val="17"/>
                <w:color w:val="auto"/>
              </w:rPr>
            </w:pPr>
          </w:p>
        </w:tc>
        <w:tc>
          <w:tcPr>
            <w:tcW w:w="1300" w:type="dxa"/>
            <w:vAlign w:val="bottom"/>
          </w:tcPr>
          <w:p>
            <w:pPr>
              <w:jc w:val="center"/>
              <w:ind w:right="116"/>
              <w:spacing w:after="0"/>
              <w:rPr>
                <w:sz w:val="20"/>
                <w:szCs w:val="20"/>
                <w:color w:val="auto"/>
              </w:rPr>
            </w:pPr>
            <w:r>
              <w:rPr>
                <w:rFonts w:ascii="Arial" w:cs="Arial" w:eastAsia="Arial" w:hAnsi="Arial"/>
                <w:sz w:val="16"/>
                <w:szCs w:val="16"/>
                <w:b w:val="1"/>
                <w:bCs w:val="1"/>
                <w:color w:val="auto"/>
                <w:w w:val="98"/>
              </w:rPr>
              <w:t>Other</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293"/>
              <w:spacing w:after="0"/>
              <w:rPr>
                <w:sz w:val="20"/>
                <w:szCs w:val="20"/>
                <w:color w:val="auto"/>
              </w:rPr>
            </w:pPr>
            <w:r>
              <w:rPr>
                <w:rFonts w:ascii="Arial" w:cs="Arial" w:eastAsia="Arial" w:hAnsi="Arial"/>
                <w:sz w:val="16"/>
                <w:szCs w:val="16"/>
                <w:b w:val="1"/>
                <w:bCs w:val="1"/>
                <w:color w:val="auto"/>
              </w:rPr>
              <w:t>Balance at</w:t>
            </w:r>
          </w:p>
        </w:tc>
      </w:tr>
      <w:tr>
        <w:trPr>
          <w:trHeight w:val="210"/>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420" w:type="dxa"/>
            <w:vAlign w:val="bottom"/>
          </w:tcPr>
          <w:p>
            <w:pPr>
              <w:spacing w:after="0"/>
              <w:rPr>
                <w:sz w:val="18"/>
                <w:szCs w:val="18"/>
                <w:color w:val="auto"/>
              </w:rPr>
            </w:pPr>
          </w:p>
        </w:tc>
        <w:tc>
          <w:tcPr>
            <w:tcW w:w="13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560" w:type="dxa"/>
            <w:vAlign w:val="bottom"/>
          </w:tcPr>
          <w:p>
            <w:pPr>
              <w:jc w:val="center"/>
              <w:ind w:right="473"/>
              <w:spacing w:after="0"/>
              <w:rPr>
                <w:sz w:val="20"/>
                <w:szCs w:val="20"/>
                <w:color w:val="auto"/>
              </w:rPr>
            </w:pPr>
            <w:r>
              <w:rPr>
                <w:rFonts w:ascii="Arial" w:cs="Arial" w:eastAsia="Arial" w:hAnsi="Arial"/>
                <w:sz w:val="16"/>
                <w:szCs w:val="16"/>
                <w:b w:val="1"/>
                <w:bCs w:val="1"/>
                <w:color w:val="auto"/>
                <w:w w:val="93"/>
              </w:rPr>
              <w:t>Earnings</w:t>
            </w:r>
          </w:p>
        </w:tc>
        <w:tc>
          <w:tcPr>
            <w:tcW w:w="320" w:type="dxa"/>
            <w:vAlign w:val="bottom"/>
          </w:tcPr>
          <w:p>
            <w:pPr>
              <w:spacing w:after="0"/>
              <w:rPr>
                <w:sz w:val="18"/>
                <w:szCs w:val="18"/>
                <w:color w:val="auto"/>
              </w:rPr>
            </w:pPr>
          </w:p>
        </w:tc>
        <w:tc>
          <w:tcPr>
            <w:tcW w:w="1300" w:type="dxa"/>
            <w:vAlign w:val="bottom"/>
          </w:tcPr>
          <w:p>
            <w:pPr>
              <w:jc w:val="center"/>
              <w:ind w:right="136"/>
              <w:spacing w:after="0"/>
              <w:rPr>
                <w:sz w:val="20"/>
                <w:szCs w:val="20"/>
                <w:color w:val="auto"/>
              </w:rPr>
            </w:pPr>
            <w:r>
              <w:rPr>
                <w:rFonts w:ascii="Arial" w:cs="Arial" w:eastAsia="Arial" w:hAnsi="Arial"/>
                <w:sz w:val="16"/>
                <w:szCs w:val="16"/>
                <w:b w:val="1"/>
                <w:bCs w:val="1"/>
                <w:color w:val="auto"/>
                <w:w w:val="87"/>
              </w:rPr>
              <w:t>Accounts</w:t>
            </w:r>
          </w:p>
        </w:tc>
        <w:tc>
          <w:tcPr>
            <w:tcW w:w="32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Arial" w:cs="Arial" w:eastAsia="Arial" w:hAnsi="Arial"/>
                <w:sz w:val="16"/>
                <w:szCs w:val="16"/>
                <w:b w:val="1"/>
                <w:bCs w:val="1"/>
                <w:color w:val="auto"/>
              </w:rPr>
              <w:t>Deductions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End of Period</w:t>
            </w:r>
          </w:p>
        </w:tc>
      </w:tr>
      <w:tr>
        <w:trPr>
          <w:trHeight w:val="33"/>
        </w:trPr>
        <w:tc>
          <w:tcPr>
            <w:tcW w:w="2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b w:val="1"/>
                <w:bCs w:val="1"/>
                <w:color w:val="auto"/>
              </w:rPr>
              <w:t>503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left="353"/>
              <w:spacing w:after="0"/>
              <w:rPr>
                <w:sz w:val="20"/>
                <w:szCs w:val="20"/>
                <w:color w:val="auto"/>
              </w:rPr>
            </w:pPr>
            <w:r>
              <w:rPr>
                <w:rFonts w:ascii="Arial" w:cs="Arial" w:eastAsia="Arial" w:hAnsi="Arial"/>
                <w:sz w:val="18"/>
                <w:szCs w:val="18"/>
                <w:color w:val="auto"/>
                <w:w w:val="93"/>
              </w:rPr>
              <w:t>248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7"/>
              <w:spacing w:after="0" w:line="270" w:lineRule="exact"/>
              <w:rPr>
                <w:sz w:val="20"/>
                <w:szCs w:val="20"/>
                <w:color w:val="auto"/>
              </w:rPr>
            </w:pPr>
            <w:r>
              <w:rPr>
                <w:rFonts w:ascii="Arial" w:cs="Arial" w:eastAsia="Arial" w:hAnsi="Arial"/>
                <w:sz w:val="18"/>
                <w:szCs w:val="18"/>
                <w:color w:val="auto"/>
              </w:rPr>
              <w:t xml:space="preserve">(343) </w:t>
            </w:r>
            <w:r>
              <w:rPr>
                <w:rFonts w:ascii="Arial" w:cs="Arial" w:eastAsia="Arial" w:hAnsi="Arial"/>
                <w:sz w:val="25"/>
                <w:szCs w:val="25"/>
                <w:color w:val="auto"/>
                <w:vertAlign w:val="superscript"/>
              </w:rPr>
              <w:t>(b)</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408</w:t>
            </w: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Deferred tax valuation allowance</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54,961</w:t>
            </w:r>
          </w:p>
        </w:tc>
        <w:tc>
          <w:tcPr>
            <w:tcW w:w="360" w:type="dxa"/>
            <w:vAlign w:val="bottom"/>
            <w:shd w:val="clear" w:color="auto" w:fill="CCEEFF"/>
          </w:tcPr>
          <w:p>
            <w:pPr>
              <w:spacing w:after="0"/>
              <w:rPr>
                <w:sz w:val="23"/>
                <w:szCs w:val="23"/>
                <w:color w:val="auto"/>
              </w:rPr>
            </w:pPr>
          </w:p>
        </w:tc>
        <w:tc>
          <w:tcPr>
            <w:tcW w:w="1560" w:type="dxa"/>
            <w:vAlign w:val="bottom"/>
            <w:shd w:val="clear" w:color="auto" w:fill="CCEEFF"/>
          </w:tcPr>
          <w:p>
            <w:pPr>
              <w:ind w:left="680"/>
              <w:spacing w:after="0" w:line="270" w:lineRule="exact"/>
              <w:rPr>
                <w:sz w:val="20"/>
                <w:szCs w:val="20"/>
                <w:color w:val="auto"/>
              </w:rPr>
            </w:pPr>
            <w:r>
              <w:rPr>
                <w:rFonts w:ascii="Arial" w:cs="Arial" w:eastAsia="Arial" w:hAnsi="Arial"/>
                <w:sz w:val="18"/>
                <w:szCs w:val="18"/>
                <w:color w:val="auto"/>
              </w:rPr>
              <w:t xml:space="preserve">(5,287) </w:t>
            </w:r>
            <w:r>
              <w:rPr>
                <w:rFonts w:ascii="Arial" w:cs="Arial" w:eastAsia="Arial" w:hAnsi="Arial"/>
                <w:sz w:val="25"/>
                <w:szCs w:val="25"/>
                <w:color w:val="auto"/>
                <w:vertAlign w:val="superscript"/>
              </w:rPr>
              <w:t>(a)</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49,674</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406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(b)</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503</w:t>
            </w:r>
          </w:p>
        </w:tc>
      </w:tr>
      <w:tr>
        <w:trPr>
          <w:trHeight w:val="270"/>
        </w:trPr>
        <w:tc>
          <w:tcPr>
            <w:tcW w:w="2660" w:type="dxa"/>
            <w:vAlign w:val="bottom"/>
            <w:tcBorders>
              <w:bottom w:val="single" w:sz="8" w:color="999999"/>
            </w:tcBorders>
          </w:tcPr>
          <w:p>
            <w:pPr>
              <w:ind w:left="40"/>
              <w:spacing w:after="0"/>
              <w:rPr>
                <w:sz w:val="20"/>
                <w:szCs w:val="20"/>
                <w:color w:val="auto"/>
              </w:rPr>
            </w:pPr>
            <w:r>
              <w:rPr>
                <w:rFonts w:ascii="Arial" w:cs="Arial" w:eastAsia="Arial" w:hAnsi="Arial"/>
                <w:sz w:val="18"/>
                <w:szCs w:val="18"/>
                <w:color w:val="auto"/>
                <w:w w:val="99"/>
              </w:rPr>
              <w:t>Deferred tax valuation allowance</w:t>
            </w:r>
          </w:p>
        </w:tc>
        <w:tc>
          <w:tcPr>
            <w:tcW w:w="420" w:type="dxa"/>
            <w:vAlign w:val="bottom"/>
            <w:tcBorders>
              <w:bottom w:val="single" w:sz="8" w:color="999999"/>
            </w:tcBorders>
          </w:tcPr>
          <w:p>
            <w:pPr>
              <w:spacing w:after="0"/>
              <w:rPr>
                <w:sz w:val="23"/>
                <w:szCs w:val="23"/>
                <w:color w:val="auto"/>
              </w:rPr>
            </w:pPr>
          </w:p>
        </w:tc>
        <w:tc>
          <w:tcPr>
            <w:tcW w:w="1320" w:type="dxa"/>
            <w:vAlign w:val="bottom"/>
            <w:tcBorders>
              <w:bottom w:val="single" w:sz="8" w:color="999999"/>
            </w:tcBorders>
          </w:tcPr>
          <w:p>
            <w:pPr>
              <w:jc w:val="right"/>
              <w:ind w:right="54"/>
              <w:spacing w:after="0"/>
              <w:rPr>
                <w:sz w:val="20"/>
                <w:szCs w:val="20"/>
                <w:color w:val="auto"/>
              </w:rPr>
            </w:pPr>
            <w:r>
              <w:rPr>
                <w:rFonts w:ascii="Arial" w:cs="Arial" w:eastAsia="Arial" w:hAnsi="Arial"/>
                <w:sz w:val="18"/>
                <w:szCs w:val="18"/>
                <w:b w:val="1"/>
                <w:bCs w:val="1"/>
                <w:color w:val="auto"/>
              </w:rPr>
              <w:t>68,138</w:t>
            </w:r>
          </w:p>
        </w:tc>
        <w:tc>
          <w:tcPr>
            <w:tcW w:w="360" w:type="dxa"/>
            <w:vAlign w:val="bottom"/>
            <w:tcBorders>
              <w:bottom w:val="single" w:sz="8" w:color="999999"/>
            </w:tcBorders>
          </w:tcPr>
          <w:p>
            <w:pPr>
              <w:spacing w:after="0"/>
              <w:rPr>
                <w:sz w:val="23"/>
                <w:szCs w:val="23"/>
                <w:color w:val="auto"/>
              </w:rPr>
            </w:pPr>
          </w:p>
        </w:tc>
        <w:tc>
          <w:tcPr>
            <w:tcW w:w="1560" w:type="dxa"/>
            <w:vAlign w:val="bottom"/>
            <w:tcBorders>
              <w:bottom w:val="single" w:sz="8" w:color="999999"/>
            </w:tcBorders>
          </w:tcPr>
          <w:p>
            <w:pPr>
              <w:jc w:val="center"/>
              <w:ind w:left="353"/>
              <w:spacing w:after="0" w:line="270" w:lineRule="exact"/>
              <w:rPr>
                <w:sz w:val="20"/>
                <w:szCs w:val="20"/>
                <w:color w:val="auto"/>
              </w:rPr>
            </w:pPr>
            <w:r>
              <w:rPr>
                <w:rFonts w:ascii="Arial" w:cs="Arial" w:eastAsia="Arial" w:hAnsi="Arial"/>
                <w:sz w:val="18"/>
                <w:szCs w:val="18"/>
                <w:color w:val="auto"/>
                <w:w w:val="90"/>
              </w:rPr>
              <w:t xml:space="preserve">(13,176) </w:t>
            </w:r>
            <w:r>
              <w:rPr>
                <w:rFonts w:ascii="Arial" w:cs="Arial" w:eastAsia="Arial" w:hAnsi="Arial"/>
                <w:sz w:val="25"/>
                <w:szCs w:val="25"/>
                <w:color w:val="auto"/>
                <w:w w:val="90"/>
                <w:vertAlign w:val="superscript"/>
              </w:rPr>
              <w:t>(a)</w:t>
            </w:r>
          </w:p>
        </w:tc>
        <w:tc>
          <w:tcPr>
            <w:tcW w:w="320" w:type="dxa"/>
            <w:vAlign w:val="bottom"/>
            <w:tcBorders>
              <w:bottom w:val="single" w:sz="8" w:color="999999"/>
            </w:tcBorders>
          </w:tcPr>
          <w:p>
            <w:pPr>
              <w:spacing w:after="0"/>
              <w:rPr>
                <w:sz w:val="23"/>
                <w:szCs w:val="23"/>
                <w:color w:val="auto"/>
              </w:rPr>
            </w:pPr>
          </w:p>
        </w:tc>
        <w:tc>
          <w:tcPr>
            <w:tcW w:w="1300" w:type="dxa"/>
            <w:vAlign w:val="bottom"/>
            <w:tcBorders>
              <w:bottom w:val="single" w:sz="8" w:color="999999"/>
            </w:tcBorders>
          </w:tcPr>
          <w:p>
            <w:pPr>
              <w:ind w:left="10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999999"/>
            </w:tcBorders>
          </w:tcPr>
          <w:p>
            <w:pPr>
              <w:spacing w:after="0"/>
              <w:rPr>
                <w:sz w:val="23"/>
                <w:szCs w:val="23"/>
                <w:color w:val="auto"/>
              </w:rPr>
            </w:pPr>
          </w:p>
        </w:tc>
        <w:tc>
          <w:tcPr>
            <w:tcW w:w="1200" w:type="dxa"/>
            <w:vAlign w:val="bottom"/>
            <w:tcBorders>
              <w:bottom w:val="single" w:sz="8" w:color="999999"/>
            </w:tcBorders>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999999"/>
            </w:tcBorders>
          </w:tcPr>
          <w:p>
            <w:pPr>
              <w:spacing w:after="0"/>
              <w:rPr>
                <w:sz w:val="23"/>
                <w:szCs w:val="23"/>
                <w:color w:val="auto"/>
              </w:rPr>
            </w:pPr>
          </w:p>
        </w:tc>
        <w:tc>
          <w:tcPr>
            <w:tcW w:w="320" w:type="dxa"/>
            <w:vAlign w:val="bottom"/>
            <w:tcBorders>
              <w:bottom w:val="single" w:sz="8" w:color="999999"/>
            </w:tcBorders>
          </w:tcPr>
          <w:p>
            <w:pPr>
              <w:spacing w:after="0"/>
              <w:rPr>
                <w:sz w:val="23"/>
                <w:szCs w:val="23"/>
                <w:color w:val="auto"/>
              </w:rPr>
            </w:pPr>
          </w:p>
        </w:tc>
        <w:tc>
          <w:tcPr>
            <w:tcW w:w="1280" w:type="dxa"/>
            <w:vAlign w:val="bottom"/>
            <w:tcBorders>
              <w:bottom w:val="single" w:sz="8" w:color="999999"/>
            </w:tcBorders>
          </w:tcPr>
          <w:p>
            <w:pPr>
              <w:jc w:val="right"/>
              <w:ind w:right="13"/>
              <w:spacing w:after="0"/>
              <w:rPr>
                <w:sz w:val="20"/>
                <w:szCs w:val="20"/>
                <w:color w:val="auto"/>
              </w:rPr>
            </w:pPr>
            <w:r>
              <w:rPr>
                <w:rFonts w:ascii="Arial" w:cs="Arial" w:eastAsia="Arial" w:hAnsi="Arial"/>
                <w:sz w:val="18"/>
                <w:szCs w:val="18"/>
                <w:b w:val="1"/>
                <w:bCs w:val="1"/>
                <w:color w:val="auto"/>
              </w:rPr>
              <w:t>54,961</w:t>
            </w:r>
          </w:p>
        </w:tc>
      </w:tr>
    </w:tbl>
    <w:p>
      <w:pPr>
        <w:spacing w:after="0" w:line="148" w:lineRule="exact"/>
        <w:rPr>
          <w:sz w:val="20"/>
          <w:szCs w:val="20"/>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is primarily related to Tree.com net operating losses and other deferred tax assets, including accrued expenses and goodwill, which impacted the income tax provision.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Write-off of uncollectible accounts receivable.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at to accept this Award and obtain other important information concerning this Award, such as a copy of the Fourth Amended and Restated Tree.com 2008 Stock and Annual Incentive Plan and the Terms and Conditions for Restricted Stock Awards. Additional copies of these documents are also available on the MyEquity page of the Company intranet or upon request from your Human Resources Department.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Restricted Stock Award Agreement (the “Agreement”) is made between Tree.com, Inc., a Delaware corporation (“Tree.com”), and [NAME]. The Grant Date for the Restricted Shares awarded under this Agreement is [DATE].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Tree.com sponsors the Tree.com Amended and Restated 2008 Stock and Annual Incentive Plan (the “Plan”). This Agreement represents an award of Shares of Restricted Stock under the Plan. All capitalized terms used herein, to the extent not defined, shall have the same meaning as set forth in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Shares of Restricted Stock covered by this Agreement are being awarded subject to the following terms and provisions:</w:t>
      </w:r>
    </w:p>
    <w:p>
      <w:pPr>
        <w:spacing w:after="0" w:line="225" w:lineRule="exact"/>
        <w:rPr>
          <w:sz w:val="20"/>
          <w:szCs w:val="20"/>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Agreement, Tree.com awards to you [NUMBER] Shares of Restricted Stock (the “Restricted Shares”).</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order for all or any portion of the Restricted Shares to vest, you must be continuously employed by Tree.com (or any of its Subsidiaries or Affiliates) to the vesting date on which the applicable performance conditions are met, as described in Section 3. The actual number of Restricted Shares that vest will be determined based on the extent to which the performance conditions described in Section 3 are met. Nothing in this Agreement or the Plan shall confer upon you any right to continue in the employ or service of Tree.com (or any of its Subsidiaries or Affiliates) or interfere in any way with their rights to terminate your employment or service at any time, [subject to the terms of [EMPLOYMENT AGREEMENT]].</w:t>
      </w:r>
    </w:p>
    <w:p>
      <w:pPr>
        <w:spacing w:after="0" w:line="19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will earn and become vested in the Restricted Shares in accordance with the conditions of this Section 3. Until they become vested, the Restricted Shares shall be subject to cancellation and forfeiture in accordance with Section 5 below. Until vested, you may not sell, transfer, pledge, assign or otherwise alienate or hypothecate the Restricted Shares (such period during which restrictions apply is the “Restriction Period”). Subject to the Performance Goals set forth below, the Restricted Shares shall vest as follows: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Tree.com’s EBITDA is $[XXX] or more for the [YEAR] fiscal year, [XXX] Restricted Shares will become vested on [DATE] if you have been in continuous employment or service with Tree.com (or any of its Subsidiaries or Affiliates) to that date.</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Tree.com’s EBITDA is less than $[XXX] for either the [YEAR] or the [YEAR] fiscal year, but Tree.com’s cumulative EBITDA is $[XXX] or more that fiscal year and the immediately following fiscal year (the “Second Fiscal Year”), [XXX] Restricted Shares will become vested on the [MONTH, DAY] immediately following the Second Fiscal Year if you have been in continuous employment or service with Tree.com (or any of its Subsidiaries or Affiliates) to that date.</w:t>
      </w:r>
    </w:p>
    <w:p>
      <w:pPr>
        <w:spacing w:after="0" w:line="18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Tree.com’s EBITDA did not equal or exceed $[XXX] for either the [YEAR] or the [YEAR] fiscal year, but its cumulative EBITDA for the [YEAR] through [YEAR] fiscal year period was $[XXX] or more, all [NUMBER] Restricted Shares will become vested on [DATE] if you have been in continuous employment or service with Tree.com (or any of its Subsidiaries or Affiliates) to that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3" w:name="page84"/>
    <w:bookmarkEnd w:id="83"/>
    <w:p>
      <w:pPr>
        <w:jc w:val="both"/>
        <w:ind w:left="660"/>
        <w:spacing w:after="0" w:line="221" w:lineRule="exact"/>
        <w:rPr>
          <w:sz w:val="20"/>
          <w:szCs w:val="20"/>
          <w:color w:val="auto"/>
        </w:rPr>
      </w:pPr>
      <w:r>
        <w:rPr>
          <w:rFonts w:ascii="Arial" w:cs="Arial" w:eastAsia="Arial" w:hAnsi="Arial"/>
          <w:sz w:val="18"/>
          <w:szCs w:val="18"/>
          <w:color w:val="auto"/>
        </w:rPr>
        <w:t>[Notwithstanding the foregoing, in the event of a Change in Control while you are still employed by Tree.com (or any of its Subsidiaries or Affiliates), [XXX]% of the then</w:t>
      </w:r>
      <w:r>
        <w:rPr>
          <w:rFonts w:ascii="MS PGothic" w:cs="MS PGothic" w:eastAsia="MS PGothic" w:hAnsi="MS PGothic"/>
          <w:sz w:val="18"/>
          <w:szCs w:val="18"/>
          <w:color w:val="auto"/>
        </w:rPr>
        <w:t>‑</w:t>
      </w:r>
      <w:r>
        <w:rPr>
          <w:rFonts w:ascii="Arial" w:cs="Arial" w:eastAsia="Arial" w:hAnsi="Arial"/>
          <w:sz w:val="18"/>
          <w:szCs w:val="18"/>
          <w:color w:val="auto"/>
        </w:rPr>
        <w:t>outstanding unvested Restricted Shares subject to this Award shall vest upon the occurrence of such Change in Control.]</w:t>
      </w:r>
    </w:p>
    <w:p>
      <w:pPr>
        <w:spacing w:after="0" w:line="202" w:lineRule="exact"/>
        <w:rPr>
          <w:sz w:val="20"/>
          <w:szCs w:val="20"/>
          <w:color w:val="auto"/>
        </w:rPr>
      </w:pPr>
    </w:p>
    <w:p>
      <w:pPr>
        <w:jc w:val="both"/>
        <w:ind w:left="660"/>
        <w:spacing w:after="0" w:line="223" w:lineRule="exact"/>
        <w:rPr>
          <w:sz w:val="20"/>
          <w:szCs w:val="20"/>
          <w:color w:val="auto"/>
        </w:rPr>
      </w:pPr>
      <w:r>
        <w:rPr>
          <w:rFonts w:ascii="Arial" w:cs="Arial" w:eastAsia="Arial" w:hAnsi="Arial"/>
          <w:sz w:val="18"/>
          <w:szCs w:val="18"/>
          <w:color w:val="auto"/>
        </w:rPr>
        <w:t>[Notwithstanding the foregoing, in the event you experience a Termination of Employment due to your death or Disability, then all of the then</w:t>
      </w:r>
      <w:r>
        <w:rPr>
          <w:rFonts w:ascii="MS PGothic" w:cs="MS PGothic" w:eastAsia="MS PGothic" w:hAnsi="MS PGothic"/>
          <w:sz w:val="18"/>
          <w:szCs w:val="18"/>
          <w:color w:val="auto"/>
        </w:rPr>
        <w:t>‑</w:t>
      </w:r>
      <w:r>
        <w:rPr>
          <w:rFonts w:ascii="Arial" w:cs="Arial" w:eastAsia="Arial" w:hAnsi="Arial"/>
          <w:sz w:val="18"/>
          <w:szCs w:val="18"/>
          <w:color w:val="auto"/>
        </w:rPr>
        <w:t>outstanding unvested Restricted Shares subject to this Award shall vest upon such Termination of Employment.]</w:t>
      </w:r>
    </w:p>
    <w:p>
      <w:pPr>
        <w:spacing w:after="0" w:line="20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cash dividends declared on the Shares shall be held subject to the vesting of the underlying Restricted Shares in accordance with this Section (and shall be paid only if and when such vesting conditions are satisfied), and subject to any adjustment pursuant to Section 3(d) of the Plan, dividends payable in Shares shall be paid in the form of Restricted Shares and shall be similarly held subject to the vesting of the underlying Restricted Shares in accordance with this Section.</w:t>
      </w:r>
    </w:p>
    <w:p>
      <w:pPr>
        <w:spacing w:after="0" w:line="187" w:lineRule="exact"/>
        <w:rPr>
          <w:sz w:val="20"/>
          <w:szCs w:val="20"/>
          <w:color w:val="auto"/>
        </w:rPr>
      </w:pPr>
    </w:p>
    <w:p>
      <w:pPr>
        <w:jc w:val="both"/>
        <w:ind w:left="660" w:hanging="652"/>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agree that you shall comply with (or provide adequate assurance as to future compliance with) all applicable securities laws and income tax laws as determined by Tree.com with respect to your receipt of the Restricted Shares. In addition, you agree that, upon request, you will furnish a letter agreement providing that (a) you will not distribute or resell any of said shares in violation of the Securities Act of 1933, as amended, (b) you will indemnify and hold Tree.com harmless against all liability for any such violation and (c) you will accept all liability for any such violation. You expressly acknowledge and agree to be bound by Section 14(o) of the Plan, which contains provisions addressing the Company’s policy on recoupment of equity or other compensation.</w:t>
      </w:r>
    </w:p>
    <w:p>
      <w:pPr>
        <w:spacing w:after="0" w:line="193" w:lineRule="exact"/>
        <w:rPr>
          <w:rFonts w:ascii="Arial" w:cs="Arial" w:eastAsia="Arial" w:hAnsi="Arial"/>
          <w:sz w:val="18"/>
          <w:szCs w:val="18"/>
          <w:color w:val="auto"/>
        </w:rPr>
      </w:pPr>
    </w:p>
    <w:p>
      <w:pPr>
        <w:jc w:val="both"/>
        <w:ind w:left="660"/>
        <w:spacing w:after="0" w:line="289" w:lineRule="auto"/>
        <w:rPr>
          <w:rFonts w:ascii="Arial" w:cs="Arial" w:eastAsia="Arial" w:hAnsi="Arial"/>
          <w:sz w:val="18"/>
          <w:szCs w:val="18"/>
          <w:color w:val="auto"/>
        </w:rPr>
      </w:pPr>
      <w:r>
        <w:rPr>
          <w:rFonts w:ascii="Arial" w:cs="Arial" w:eastAsia="Arial" w:hAnsi="Arial"/>
          <w:sz w:val="16"/>
          <w:szCs w:val="16"/>
          <w:color w:val="auto"/>
        </w:rPr>
        <w:t>You represent and warrant that you understand the federal, state and local income tax consequences of the granting of Restricted Shares. Under Section 83 of the Code, the Fair Market Value of the Restricted Shares on the date any forfeiture restrictions applicable to such Restricted Shares lapse will be reportable as ordinary income at that time. You may voluntarily elect to be taxed at the time the Restricted Shares are acquired to the extent that the Fair Market Value of the Restricted Shares exceeds the amount of consideration paid by you (if any) for such Restricted Shares at that time rather than when such Restricted Shares cease to be subject to such forfeiture restrictions, by filing an election under Section 83(b) of the Code with the Internal Revenue Service within thirty (30) days after the Grant Date. YOU ACKNOWLEDGE THAT IT IS YOUR SOLE RESPONSIBILITY, AND NOT TREE.COM’S, TO FILE A TIMELY ELECTION UNDER CODE SECTION 83(b), EVEN IF YOU REQUEST TREE.COM OR ITS REPRESENTATIVES TO MAKE THIS FILING ON YOUR BEHALF. MOREOVER, YOU ARE RELYING SOLELY ON YOUR OWN ADVISORS WITH RESPECT TO THE DECISION AS TO WHETHER OR NOT TO FILE A CODE SECTION 83(b) ELECTION.</w:t>
      </w:r>
    </w:p>
    <w:p>
      <w:pPr>
        <w:spacing w:after="0" w:line="166" w:lineRule="exact"/>
        <w:rPr>
          <w:rFonts w:ascii="Arial" w:cs="Arial" w:eastAsia="Arial" w:hAnsi="Arial"/>
          <w:sz w:val="18"/>
          <w:szCs w:val="18"/>
          <w:color w:val="auto"/>
        </w:rPr>
      </w:pPr>
    </w:p>
    <w:p>
      <w:pPr>
        <w:jc w:val="both"/>
        <w:ind w:left="660" w:hanging="652"/>
        <w:spacing w:after="0" w:line="217" w:lineRule="exact"/>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 acknowledge and agree that upon your ceasing to be employed by Tree.com or any of its Subsidiaries or Affiliates during the Restriction Period all then outstanding unvested Restricted Shares subject to this Award will be canceled and forfeited without consideration and returned to Tree.com upon your Termination of Employment. For the avoidance of doubt, transfers of employment among Tree.com and its Subsidiaries and Affiliates, without any break in service, is not a Termination of Employment. In order to facilitate the transfer to Tree.com of any Shares pursuant to the terms hereof and as a condition of this Award, you shall timely execute the enclosed stock power (Assignment Separate from Certificate). The stock power may be used by Tree.com to transfer any unvested Shares to Tree.com in accordance with this Section. You further hereby irrevocably appoint (which appointment is coupled with an interest) Tree.com as your agent and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to take any necessary or appropriate action to cause Shares to be returned to Tree.com in accordance with this Section, including without limitation executing and delivering stock powers and instruments of transfer, making endorsements and/or making, initiating or issuing instructions or entitlement orders, all in your name and on your behalf. Without limiting the foregoing, you expressly acknowledge and agree that any transfer agent for the Shares is fully authorized and protected in relying on, and shall incur no liability in acting on, any documents, instruments, endorsements, instructions, orders or communications from Tree.com in connection with the Shares or the transfer thereof, and that any such transfer agent is a third party beneficiary of this Agreement.</w:t>
      </w:r>
    </w:p>
    <w:p>
      <w:pPr>
        <w:spacing w:after="0" w:line="205"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of any conflict between this Agreement and the Plan, the Plan shall control; provided, that an action or provision that is permissive under the terms of the Plan, and required under this Agreement, shall not be deemed a conflict and this Agreement shall control. In the event of any ambiguity in this Agreement, or any matters as to which this Agreement are silent, the Plan shall govern.</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Tree.com may modify, amend or waive the terms of your Restricted Shares, prospectively or retroactively, but no such modification, amendment or waiver shall materially impair your rights without your consent, except as required by applicable law, NASDAQ or stock exchange rules, tax rules or accounting rules.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84" w:name="page85"/>
    <w:bookmarkEnd w:id="84"/>
    <w:p>
      <w:pPr>
        <w:jc w:val="both"/>
        <w:ind w:left="660" w:hanging="652"/>
        <w:spacing w:after="0" w:line="29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Your acceptance of the Restricted Shares constitutes your authorization of the release from time to time to Tree.com or any of its Subsidiaries or Affiliates and to the Agent (together, the “Relevant Companies”) of any and all personal or professional data that is necessary or desirable for the administration of your Restricted Shares and/or the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the Restricted Shares and/or the Plan and/or to implement or structure any further grants of equity awards (if any)). The acceptance of the Restricted Shares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66" w:lineRule="exact"/>
        <w:rPr>
          <w:rFonts w:ascii="Arial" w:cs="Arial" w:eastAsia="Arial" w:hAnsi="Arial"/>
          <w:sz w:val="16"/>
          <w:szCs w:val="16"/>
          <w:color w:val="auto"/>
        </w:rPr>
      </w:pPr>
    </w:p>
    <w:p>
      <w:pPr>
        <w:jc w:val="both"/>
        <w:ind w:left="660" w:hanging="652"/>
        <w:spacing w:after="0" w:line="220"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Your Award is not intended to constitute “nonqualified deferred compensation” within the meaning of Section 409A of the Code and the rules and regulations issued thereunder (“Section 409A”). In no event shall Tree.com be required to pay you any “gross</w:t>
      </w:r>
      <w:r>
        <w:rPr>
          <w:rFonts w:ascii="MS PGothic" w:cs="MS PGothic" w:eastAsia="MS PGothic" w:hAnsi="MS PGothic"/>
          <w:sz w:val="18"/>
          <w:szCs w:val="18"/>
          <w:color w:val="auto"/>
        </w:rPr>
        <w:t>‑</w:t>
      </w:r>
      <w:r>
        <w:rPr>
          <w:rFonts w:ascii="Arial" w:cs="Arial" w:eastAsia="Arial" w:hAnsi="Arial"/>
          <w:sz w:val="18"/>
          <w:szCs w:val="18"/>
          <w:color w:val="auto"/>
        </w:rPr>
        <w:t>up” or other payment with respect to any taxes or penalties imposed under Section 409A or Code Sections 280G or 4999 with respect to any amounts or benefits paid to you in respect of your Award.</w:t>
      </w:r>
    </w:p>
    <w:p>
      <w:pPr>
        <w:spacing w:after="0" w:line="204"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any provision of this Agreement shall be held illegal or invalid for any reason, the illegality or invalidity shall not affect the remaining parts of the Agreement, and the Agreement shall be construed and enforced as if the illegal or invalid provision had not been included. This Agreement and the Plan, constitutes the final understanding between you and Tree.com regarding the Restricted Shares. Any prior agreements, commitments or negotiations concerning the Restricted Shares are superseded.</w:t>
      </w:r>
    </w:p>
    <w:p>
      <w:pPr>
        <w:spacing w:after="0" w:line="186"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certificate(s) for the Restricted Shares may, in the discretion of Tree.com, be deposited in escrow with the Secretary of Tree.com (or his/her designee) to be held until vesting. No stock certificates evidencing Shares free from a restrictive legend shall be delivered to you until you have paid to Tree.com the amount that must be withheld with respect to those Shares under federal, state and local income and employment tax laws (the “Applicable Withholding Taxes”) or you and Tree.com have made arrangements that are agreed to in writing by Tree.com for the payment of such taxes. Unless you inform Tree.com in writing before the applicable date of vesting that you will timely pay the Applicable Withholding Taxes amount then due with cash, Tree.com shall automatically retain that number of Shares (valued at their Fair Market Value as of the applicable date of vesting of the Restricted Shares) that would satisfy the Applicable Withholding Taxes.</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WITNESS WHEREOF, Tree.com has caused this Agreement to be executed by its duly authorized officer, and you have hereunto set your hand, all effective as of the Grant Date listed above. By signing below, you are also acknowledging receipt of copies of the Plan and the Plan’s prospectus.</w:t>
      </w:r>
    </w:p>
    <w:p>
      <w:pPr>
        <w:spacing w:after="0" w:line="3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TREE.COM, INC.</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31750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486410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31750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85" w:name="page86"/>
    <w:bookmarkEnd w:id="85"/>
    <w:p>
      <w:pPr>
        <w:jc w:val="center"/>
        <w:ind w:right="-1200"/>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Power)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does hereby assign and transfer unto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Identification Number: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shares of the Stock of</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color w:val="auto"/>
        </w:rPr>
        <w:t>represented by Certificate No(s).</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color w:val="auto"/>
        </w:rPr>
        <w:t>herewith, standing in the name of the undersigned, and does hereby appoint</w:t>
      </w:r>
    </w:p>
    <w:p>
      <w:pPr>
        <w:spacing w:after="0" w:line="225"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attorney, with full power of substitution, to transfer said shares on the books of said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31750</wp:posOffset>
            </wp:positionV>
            <wp:extent cx="5402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02580"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64"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10.118</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Notice of Restricted Stock Unit Award Granted Under the Fourth Amended and Restated Tree.com, Inc. 2008 Stock and Annual Incentive Plan (the “2008 Amended Plan”)</w:t>
      </w:r>
    </w:p>
    <w:p>
      <w:pPr>
        <w:spacing w:after="0" w:line="39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u w:val="single" w:color="auto"/>
          <w:color w:val="auto"/>
        </w:rPr>
        <w:t>Important Note</w:t>
      </w:r>
      <w:r>
        <w:rPr>
          <w:rFonts w:ascii="Arial" w:cs="Arial" w:eastAsia="Arial" w:hAnsi="Arial"/>
          <w:sz w:val="16"/>
          <w:szCs w:val="16"/>
          <w:b w:val="1"/>
          <w:bCs w:val="1"/>
          <w:color w:val="auto"/>
        </w:rPr>
        <w:t>: You must login to your account at to accept this Award and obtain other important information concerning this Award, such as a copy of the Fourth Amended and Restated Tree.com 2008 Stock and Annual Incentive Plan and the Terms and Conditions for Restricted Stock Unit Awards (the “Terms and Conditions”). Additional copies of these documents are also available on the MyEquity page of the Company intranet or upon request from your Human Resources Department. You acknowledge that you have received copies of the Plan and the Plan’s prospectus.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Award Recipient:</w:t>
      </w:r>
    </w:p>
    <w:p>
      <w:pPr>
        <w:sectPr>
          <w:pgSz w:w="11900" w:h="16838" w:orient="portrait"/>
          <w:cols w:equalWidth="0" w:num="1">
            <w:col w:w="11420"/>
          </w:cols>
          <w:pgMar w:left="240" w:top="121" w:right="239" w:bottom="1440" w:gutter="0" w:footer="0" w:header="0"/>
        </w:sectPr>
      </w:pPr>
    </w:p>
    <w:p>
      <w:pPr>
        <w:spacing w:after="0" w:line="63" w:lineRule="exact"/>
        <w:rPr>
          <w:sz w:val="20"/>
          <w:szCs w:val="20"/>
          <w:color w:val="auto"/>
        </w:rPr>
      </w:pPr>
    </w:p>
    <w:p>
      <w:pPr>
        <w:ind w:left="520" w:right="140"/>
        <w:spacing w:after="0" w:line="281" w:lineRule="auto"/>
        <w:rPr>
          <w:sz w:val="20"/>
          <w:szCs w:val="20"/>
          <w:color w:val="auto"/>
        </w:rPr>
      </w:pPr>
      <w:r>
        <w:rPr>
          <w:rFonts w:ascii="Arial" w:cs="Arial" w:eastAsia="Arial" w:hAnsi="Arial"/>
          <w:sz w:val="18"/>
          <w:szCs w:val="18"/>
          <w:b w:val="1"/>
          <w:bCs w:val="1"/>
          <w:color w:val="auto"/>
        </w:rPr>
        <w:t>Restricted Stock Unit Award: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(“RSUs”) granted under the 2008 Amended Plan.</w:t>
      </w:r>
    </w:p>
    <w:p>
      <w:pPr>
        <w:spacing w:after="0" w:line="298" w:lineRule="exact"/>
        <w:rPr>
          <w:sz w:val="20"/>
          <w:szCs w:val="20"/>
          <w:color w:val="auto"/>
        </w:rPr>
      </w:pPr>
    </w:p>
    <w:p>
      <w:pPr>
        <w:sectPr>
          <w:pgSz w:w="11900" w:h="16838" w:orient="portrait"/>
          <w:cols w:equalWidth="0" w:num="2">
            <w:col w:w="2320" w:space="720"/>
            <w:col w:w="8380"/>
          </w:cols>
          <w:pgMar w:left="240" w:top="121" w:right="239" w:bottom="1440" w:gutter="0" w:footer="0" w:header="0"/>
          <w:type w:val="continuous"/>
        </w:sectPr>
      </w:pPr>
    </w:p>
    <w:p>
      <w:pPr>
        <w:ind w:left="520"/>
        <w:spacing w:after="0"/>
        <w:rPr>
          <w:sz w:val="20"/>
          <w:szCs w:val="20"/>
          <w:color w:val="auto"/>
        </w:rPr>
      </w:pPr>
      <w:r>
        <w:rPr>
          <w:rFonts w:ascii="Arial" w:cs="Arial" w:eastAsia="Arial" w:hAnsi="Arial"/>
          <w:sz w:val="16"/>
          <w:szCs w:val="16"/>
          <w:b w:val="1"/>
          <w:bCs w:val="1"/>
          <w:color w:val="auto"/>
        </w:rPr>
        <w:t>Award Date:</w:t>
      </w:r>
    </w:p>
    <w:p>
      <w:pPr>
        <w:sectPr>
          <w:pgSz w:w="11900" w:h="16838" w:orient="portrait"/>
          <w:cols w:equalWidth="0" w:num="1">
            <w:col w:w="11420"/>
          </w:cols>
          <w:pgMar w:left="240" w:top="121" w:right="239" w:bottom="1440" w:gutter="0" w:footer="0" w:header="0"/>
          <w:type w:val="continuous"/>
        </w:sectPr>
      </w:pPr>
    </w:p>
    <w:p>
      <w:pPr>
        <w:spacing w:after="0" w:line="86"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Subject to your continuous employment with Tree.com or its Subsidiaries or Affiliates, your RSUs shall, subject to the provisions of the 2008 Amended Plan and the Terms and Conditions, vest and no longer be subject to any restriction as of the vesting dates and the achievement of any applicable performance goals, as set forth below:</w:t>
      </w:r>
    </w:p>
    <w:p>
      <w:pPr>
        <w:spacing w:after="0" w:line="21" w:lineRule="exact"/>
        <w:rPr>
          <w:sz w:val="20"/>
          <w:szCs w:val="20"/>
          <w:color w:val="auto"/>
        </w:rPr>
      </w:pPr>
    </w:p>
    <w:p>
      <w:pPr>
        <w:sectPr>
          <w:pgSz w:w="11900" w:h="16838" w:orient="portrait"/>
          <w:cols w:equalWidth="0" w:num="2">
            <w:col w:w="2320" w:space="720"/>
            <w:col w:w="8380"/>
          </w:cols>
          <w:pgMar w:left="240" w:top="121" w:right="239" w:bottom="1440" w:gutter="0" w:footer="0" w:header="0"/>
          <w:type w:val="continuous"/>
        </w:sectPr>
      </w:pPr>
    </w:p>
    <w:p>
      <w:pPr>
        <w:ind w:left="520"/>
        <w:spacing w:after="0"/>
        <w:rPr>
          <w:sz w:val="20"/>
          <w:szCs w:val="20"/>
          <w:color w:val="auto"/>
        </w:rPr>
      </w:pPr>
      <w:r>
        <w:rPr>
          <w:rFonts w:ascii="Arial" w:cs="Arial" w:eastAsia="Arial" w:hAnsi="Arial"/>
          <w:sz w:val="16"/>
          <w:szCs w:val="16"/>
          <w:b w:val="1"/>
          <w:bCs w:val="1"/>
          <w:color w:val="auto"/>
        </w:rPr>
        <w:t>Impact of a Termination of</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Employment:</w:t>
      </w:r>
    </w:p>
    <w:p>
      <w:pPr>
        <w:spacing w:after="0" w:line="20" w:lineRule="exact"/>
        <w:rPr>
          <w:sz w:val="20"/>
          <w:szCs w:val="20"/>
          <w:color w:val="auto"/>
        </w:rPr>
      </w:pPr>
      <w:r>
        <w:rPr>
          <w:sz w:val="20"/>
          <w:szCs w:val="20"/>
          <w:color w:val="auto"/>
        </w:rPr>
        <w:br w:type="column"/>
      </w:r>
    </w:p>
    <w:p>
      <w:pPr>
        <w:jc w:val="both"/>
        <w:ind w:right="640"/>
        <w:spacing w:after="0" w:line="264" w:lineRule="auto"/>
        <w:rPr>
          <w:sz w:val="20"/>
          <w:szCs w:val="20"/>
          <w:color w:val="auto"/>
        </w:rPr>
      </w:pPr>
      <w:r>
        <w:rPr>
          <w:rFonts w:ascii="Arial" w:cs="Arial" w:eastAsia="Arial" w:hAnsi="Arial"/>
          <w:sz w:val="18"/>
          <w:szCs w:val="18"/>
          <w:color w:val="auto"/>
        </w:rPr>
        <w:t>Except as otherwise provided in the 2008 Amended Plan or in the Terms and Conditions, or any Individual Agreement, all of your unvested RSUs will be forfeited and canceled without consideration in their entirety upon a Termination of Employment.</w:t>
      </w:r>
    </w:p>
    <w:p>
      <w:pPr>
        <w:spacing w:after="0" w:line="15" w:lineRule="exact"/>
        <w:rPr>
          <w:sz w:val="20"/>
          <w:szCs w:val="20"/>
          <w:color w:val="auto"/>
        </w:rPr>
      </w:pPr>
    </w:p>
    <w:p>
      <w:pPr>
        <w:sectPr>
          <w:pgSz w:w="11900" w:h="16838" w:orient="portrait"/>
          <w:cols w:equalWidth="0" w:num="2">
            <w:col w:w="2600" w:space="440"/>
            <w:col w:w="8380"/>
          </w:cols>
          <w:pgMar w:left="240" w:top="121" w:right="239" w:bottom="1440" w:gutter="0" w:footer="0" w:header="0"/>
          <w:type w:val="continuous"/>
        </w:sectPr>
      </w:pPr>
    </w:p>
    <w:p>
      <w:pPr>
        <w:ind w:left="520"/>
        <w:spacing w:after="0"/>
        <w:rPr>
          <w:sz w:val="20"/>
          <w:szCs w:val="20"/>
          <w:color w:val="auto"/>
        </w:rPr>
      </w:pPr>
      <w:r>
        <w:rPr>
          <w:rFonts w:ascii="Arial" w:cs="Arial" w:eastAsia="Arial" w:hAnsi="Arial"/>
          <w:sz w:val="16"/>
          <w:szCs w:val="16"/>
          <w:b w:val="1"/>
          <w:bCs w:val="1"/>
          <w:color w:val="auto"/>
        </w:rPr>
        <w:t>Terms and Conditions:</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Capitalized terms used (but not defined) in this Award Notice shall have the meanings set forth in the 2008 Amended Plan.</w:t>
      </w:r>
    </w:p>
    <w:p>
      <w:pPr>
        <w:spacing w:after="0" w:line="170" w:lineRule="exact"/>
        <w:rPr>
          <w:sz w:val="20"/>
          <w:szCs w:val="20"/>
          <w:color w:val="auto"/>
        </w:rPr>
      </w:pPr>
    </w:p>
    <w:p>
      <w:pPr>
        <w:sectPr>
          <w:pgSz w:w="11900" w:h="16838" w:orient="portrait"/>
          <w:cols w:equalWidth="0" w:num="2">
            <w:col w:w="2320" w:space="720"/>
            <w:col w:w="8380"/>
          </w:cols>
          <w:pgMar w:left="240" w:top="121" w:right="239" w:bottom="1440" w:gutter="0" w:footer="0" w:header="0"/>
          <w:type w:val="continuous"/>
        </w:sectPr>
      </w:pPr>
    </w:p>
    <w:p>
      <w:pPr>
        <w:ind w:left="3040" w:right="640"/>
        <w:spacing w:after="0" w:line="264" w:lineRule="auto"/>
        <w:rPr>
          <w:sz w:val="20"/>
          <w:szCs w:val="20"/>
          <w:color w:val="auto"/>
        </w:rPr>
      </w:pPr>
      <w:r>
        <w:rPr>
          <w:rFonts w:ascii="Arial" w:cs="Arial" w:eastAsia="Arial" w:hAnsi="Arial"/>
          <w:sz w:val="18"/>
          <w:szCs w:val="18"/>
          <w:color w:val="auto"/>
        </w:rPr>
        <w:t>Your RSUs are subject to the Terms and Conditions and to the 2008 Amended Plan. We strongly encourage you to review the Terms and Conditions and the 2008 Amended Plan. These documents will help provide you with a full understanding of your RSU award.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for Restricted Stock Unit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Terms and Conditions apply to the restricted stock units (the “Award”) awarded to you by Tree.com, Inc. (“Tree.com” or the “Company”) pursuant to Section 7 of the Fourth Amended and Restated Tree.com 2008 Stock and Annual Incentive Plan (the “2008 Amended Plan”). You were notified of your Award by way of an award notice (the “Award Notice”). All capitalized terms used herein, to the extent not defined, shall have the meaning as set forth in the 2008 Amended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order for RSUs to vest, you must be continuously employed by Tree.com or any of its Subsidiaries or Affiliates during the Restriction Period (as defined below) or as otherwise provided in the Vesting section below. Nothing in your Award Notice, these Terms and Conditions, or the 2008 Amended Plan shall confer upon you any right to continue in the employ or service of Tree.com or any of its Subsidiaries or Affiliates or interfere in any way with their rights to terminate your employment or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Subject to the Award Notice, these Terms and Conditions and the 2008 Amended Plan, the RSUs in respect to your Award, shall vest and no longer be subject to satisfaction of any restriction on the dates and subject to any applicable performance conditions (such period during which restrictions apply is the “Restriction Period”) as follows: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87" w:name="page88"/>
    <w:bookmarkEnd w:id="87"/>
    <w:p>
      <w:pPr>
        <w:ind w:right="160"/>
        <w:spacing w:after="0" w:line="277" w:lineRule="auto"/>
        <w:rPr>
          <w:sz w:val="20"/>
          <w:szCs w:val="20"/>
          <w:color w:val="auto"/>
        </w:rPr>
      </w:pPr>
      <w:r>
        <w:rPr>
          <w:rFonts w:ascii="Arial" w:cs="Arial" w:eastAsia="Arial" w:hAnsi="Arial"/>
          <w:sz w:val="18"/>
          <w:szCs w:val="18"/>
          <w:color w:val="auto"/>
        </w:rPr>
        <w:t>The vesting of your Award is conditioned upon your continuous employment with Tree.com or its Subsidiaries or Affiliates through each respective vesting date.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[Notwithstanding the foregoing, 100% of your then-outstanding and unvested portion of your Award shall vest upon the occurrence of a Change in Control which occurs during your employment with Tree. Com (or any Subsidiary or Affiliate). The term “Change in Control” is defined in the 2008 Amended Plan, and includes certain events affecting Tree.com (not events only affecting specific businesses of Tree.com).]</w:t>
      </w:r>
    </w:p>
    <w:p>
      <w:pPr>
        <w:spacing w:after="0" w:line="1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[Notwithstanding the foregoing, in the event you experience a Termination of Employment due to your death or Disability, then 100% of your then-outstanding and unvested portion of your Award shall vest upon such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 any other specific vesting events approved by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Upon the Termination of your Employment with Tree.com or any of its Subsidiaries or Affiliates during the Restriction Period for any reason, any unvested portion of this RSU Award shall be forfeited and canceled in its entirety without consideration effective immediately upon such Termination of Employment.</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Subject to your satisfaction of the tax obligations described immediately below under “Taxes and Withholding,” as soon as practicable after any RSUs in respect of your Award have vested and are no longer subject to the Restriction Period (but in no event later than two and one-half months after the end of the fiscal year in which the RSUs vest), such RSUs shall be settled. For each RSU settled, Tree.com shall issue one Share (or cash equivalent) for each RSU that has vested. Notwithstanding the foregoing, Tree.com shall be entitled to hold the Shares or cash issuable to you upon settlement of all RSUs that have vested until Tree.com or the agent selected by Tree.com to administer the 2008 Amended Plan (the “Agent”) has received from you (i) a duly executed Form W-9 or W-8 and (ii) payment for any federal, state, local or foreign taxes of any kind required by law to be withheld with respect to such RSUs.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Withholding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 later than the date as of which an amount in respect of any RSUs first becomes includable in your gross income for federal, state, local or foreign income or employment or other tax purposes, Tree.com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Tree.com’s withholding obligation on the date of settlement. If the event that any such deduction and/or withholding is prohibited by law, you shall, prior to or contemporaneously with the settlement of your RSUs, be required to pay to Tree.com, or make arrangements satisfactory to Tree.com regarding the payment of, any federal, state, local or foreign taxes of any kind required by law to be withheld with respect to such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RSUs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Until such time as your RSUs are ultimately settled, they shall not be transferable by you by means of sale, assignment, exchange, encumbrance, pledge, hedge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Except as otherwise specifically provided in the 2008 Amended Plan, unless and until your RSUs are settled with Shares, you shall not be entitled to any rights of a stockholder with respect to the RSUs (including the right to vote the underlying Shares or receive dividends). Notwithstanding the foregoing, if Tree.com 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8" w:right="279" w:bottom="1440" w:gutter="0" w:footer="0" w:header="0"/>
        </w:sectPr>
      </w:pPr>
    </w:p>
    <w:bookmarkStart w:id="88" w:name="page89"/>
    <w:bookmarkEnd w:id="88"/>
    <w:p>
      <w:pPr>
        <w:ind w:right="680"/>
        <w:spacing w:after="0" w:line="342" w:lineRule="auto"/>
        <w:rPr>
          <w:sz w:val="20"/>
          <w:szCs w:val="20"/>
          <w:color w:val="auto"/>
        </w:rPr>
      </w:pPr>
      <w:r>
        <w:rPr>
          <w:rFonts w:ascii="Arial" w:cs="Arial" w:eastAsia="Arial" w:hAnsi="Arial"/>
          <w:sz w:val="16"/>
          <w:szCs w:val="16"/>
          <w:color w:val="auto"/>
        </w:rPr>
        <w:t>reinvested in RSUs or may be held in kind as restricted property) and shall vest concurrently with the vesting of the RSUs upon which such dividend equivalent amounts were paid (and shall be settled at the same time as the underlying RSUs and also subject to satisfaction of tax withholding).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event of any conflict between these Terms and Conditions and the 2008 Amended Plan, the 2008 Amended Plan shall control; provided, that an action or provision that is permissive under the terms of the 2008 Amended Plan, and required under these Terms and Conditions, shall not be deemed a conflict and these Terms and Conditions shall control. In the event of any ambiguity in these Terms and Conditions, or any matters as to which these Terms and Conditions are silent, the 2008 Amended Plan shall govern. In the event of (i) any conflict between the Award Notice (or any information posted on Tree.com’s intranet or given to you directly or indirectly through the Agent (including information posted on https://www.benefitaccess.com) and Tree.com’s books and records, or (ii) ambiguity in the Award Notice (or any information posted on Tree.com’s intranet or given to you directly or indirectly through the Agent (including information posted on https://www.benefitaccess.com), Tree.com’s books and records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Tree.com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acceptance of your RSUs constitutes your authorization of the release from time to time to Tree.com or any of its Subsidiaries or Affiliates and to the Agent (together, the “Relevant Companies”) of any and all personal or professional data that is necessary or desirable for the administration of your RSUs and/or the 2008 Amended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RSUs and/or the 2008 Amended Plan and/or to implement or structure any further grants of equity awards (if any)). The acceptance of your RSUs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 xml:space="preserve">Your Award is not intended to constitute “nonqualified deferred compensation” within the meaning of Section 409A of the Code and related rules and regulations (“Section 409A”). In no event shall Tree.com be required </w:t>
      </w:r>
      <w:r>
        <w:rPr>
          <w:rFonts w:ascii="Arial" w:cs="Arial" w:eastAsia="Arial" w:hAnsi="Arial"/>
          <w:sz w:val="16"/>
          <w:szCs w:val="16"/>
          <w:b w:val="1"/>
          <w:bCs w:val="1"/>
          <w:color w:val="auto"/>
        </w:rPr>
        <w:t>t</w:t>
      </w:r>
      <w:r>
        <w:rPr>
          <w:rFonts w:ascii="Arial" w:cs="Arial" w:eastAsia="Arial" w:hAnsi="Arial"/>
          <w:sz w:val="16"/>
          <w:szCs w:val="16"/>
          <w:color w:val="auto"/>
        </w:rPr>
        <w:t>o pay you any “gross-up” or other payment with respect to any taxes or penalties imposed under Section 409A (or Code Section 280G or 4999) with respect to any amounts or benefits paid to you in respect of your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changes to these Terms and Conditions shall either be posted on Tree.com’s intranet or communicated (either directly by Tree.com or indirectly through any of its Subsidiaries, Affiliates or the Agent) to you electronically via e-mail (or otherwise in writing) after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[YEAR] Stock Option Award Granted Under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Tree.com, Inc. 2008 Stock and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at to accept this Award and obtain other important information concerning this Award, such as a copy of the Fourth Amended and Restated Tree.com 2008 Stock and Annual Incentive Plan (the “Amended 2008 Plan”) and the Terms and Conditions for Option Awards (the “Terms and Conditions”). Additional copies of these documents are also available on the MyEquity page of the Company intranet or upon request from your Human Resources Department. You acknowledge that you have received copies of the Plan and the Plan’s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Award Recipient:</w:t>
            </w:r>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auto"/>
                <w:w w:val="99"/>
              </w:rPr>
              <w:t>[YEAR] Stock Option Award:</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Under the Amended 2008 Plan:</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5"/>
              </w:rPr>
              <w:t xml:space="preserve">You have been awarded a nonqualified option to acquire </w:t>
            </w:r>
            <w:r>
              <w:rPr>
                <w:rFonts w:ascii="Arial" w:cs="Arial" w:eastAsia="Arial" w:hAnsi="Arial"/>
                <w:sz w:val="18"/>
                <w:szCs w:val="18"/>
                <w:b w:val="1"/>
                <w:bCs w:val="1"/>
                <w:i w:val="1"/>
                <w:iCs w:val="1"/>
                <w:color w:val="auto"/>
                <w:w w:val="95"/>
              </w:rPr>
              <w:t>xxx</w:t>
            </w:r>
            <w:r>
              <w:rPr>
                <w:rFonts w:ascii="Arial" w:cs="Arial" w:eastAsia="Arial" w:hAnsi="Arial"/>
                <w:sz w:val="18"/>
                <w:szCs w:val="18"/>
                <w:color w:val="auto"/>
                <w:w w:val="95"/>
              </w:rPr>
              <w:t xml:space="preserve"> Shares of Tree.com common stock at an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 xml:space="preserve">“Exercise Price” of </w:t>
            </w:r>
            <w:r>
              <w:rPr>
                <w:rFonts w:ascii="Arial" w:cs="Arial" w:eastAsia="Arial" w:hAnsi="Arial"/>
                <w:sz w:val="18"/>
                <w:szCs w:val="18"/>
                <w:b w:val="1"/>
                <w:bCs w:val="1"/>
                <w:i w:val="1"/>
                <w:iCs w:val="1"/>
                <w:color w:val="auto"/>
              </w:rPr>
              <w:t>$xxx</w:t>
            </w:r>
            <w:r>
              <w:rPr>
                <w:rFonts w:ascii="Arial" w:cs="Arial" w:eastAsia="Arial" w:hAnsi="Arial"/>
                <w:sz w:val="18"/>
                <w:szCs w:val="18"/>
                <w:color w:val="auto"/>
              </w:rPr>
              <w:t xml:space="preserve"> per Share (“Stock Option”);</w:t>
            </w:r>
          </w:p>
        </w:tc>
      </w:tr>
      <w:tr>
        <w:trPr>
          <w:trHeight w:val="270"/>
        </w:trPr>
        <w:tc>
          <w:tcPr>
            <w:tcW w:w="2460" w:type="dxa"/>
            <w:vAlign w:val="bottom"/>
          </w:tcPr>
          <w:p>
            <w:pPr>
              <w:spacing w:after="0"/>
              <w:rPr>
                <w:sz w:val="20"/>
                <w:szCs w:val="20"/>
                <w:color w:val="auto"/>
              </w:rPr>
            </w:pPr>
            <w:r>
              <w:rPr>
                <w:rFonts w:ascii="Arial" w:cs="Arial" w:eastAsia="Arial" w:hAnsi="Arial"/>
                <w:sz w:val="18"/>
                <w:szCs w:val="18"/>
                <w:b w:val="1"/>
                <w:bCs w:val="1"/>
                <w:color w:val="auto"/>
              </w:rPr>
              <w:t>Award Date:</w:t>
            </w:r>
          </w:p>
        </w:tc>
        <w:tc>
          <w:tcPr>
            <w:tcW w:w="3360" w:type="dxa"/>
            <w:vAlign w:val="bottom"/>
            <w:gridSpan w:val="2"/>
          </w:tcPr>
          <w:p>
            <w:pPr>
              <w:ind w:left="140"/>
              <w:spacing w:after="0"/>
              <w:rPr>
                <w:sz w:val="20"/>
                <w:szCs w:val="20"/>
                <w:color w:val="auto"/>
              </w:rPr>
            </w:pPr>
            <w:r>
              <w:rPr>
                <w:rFonts w:ascii="Arial" w:cs="Arial" w:eastAsia="Arial" w:hAnsi="Arial"/>
                <w:sz w:val="18"/>
                <w:szCs w:val="18"/>
                <w:color w:val="auto"/>
              </w:rPr>
              <w:t>_______________, 201___</w:t>
            </w:r>
          </w:p>
        </w:tc>
        <w:tc>
          <w:tcPr>
            <w:tcW w:w="4540" w:type="dxa"/>
            <w:vAlign w:val="bottom"/>
          </w:tcPr>
          <w:p>
            <w:pPr>
              <w:spacing w:after="0"/>
              <w:rPr>
                <w:sz w:val="23"/>
                <w:szCs w:val="23"/>
                <w:color w:val="auto"/>
              </w:rPr>
            </w:pPr>
          </w:p>
        </w:tc>
      </w:tr>
      <w:tr>
        <w:trPr>
          <w:trHeight w:val="256"/>
        </w:trPr>
        <w:tc>
          <w:tcPr>
            <w:tcW w:w="246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Subject to your continued employment with Tree.com or its Subsidiaries or Affiliates, your Stock Option</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shall, subject to the provisions of the Amended 2008 Plan, vest and no longer be subject to any vesting</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restriction </w:t>
            </w:r>
            <w:r>
              <w:rPr>
                <w:rFonts w:ascii="Arial" w:cs="Arial" w:eastAsia="Arial" w:hAnsi="Arial"/>
                <w:sz w:val="18"/>
                <w:szCs w:val="18"/>
                <w:b w:val="1"/>
                <w:bCs w:val="1"/>
                <w:i w:val="1"/>
                <w:iCs w:val="1"/>
                <w:color w:val="auto"/>
                <w:w w:val="91"/>
              </w:rPr>
              <w:t>in three equal annual installments (rounded to nearest whole number) on each of the first</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b w:val="1"/>
                <w:bCs w:val="1"/>
                <w:i w:val="1"/>
                <w:iCs w:val="1"/>
                <w:color w:val="auto"/>
              </w:rPr>
              <w:t>three anniversaries of your Award Date, beginning [DATE].</w:t>
            </w:r>
          </w:p>
        </w:tc>
      </w:tr>
      <w:tr>
        <w:trPr>
          <w:trHeight w:val="256"/>
        </w:trPr>
        <w:tc>
          <w:tcPr>
            <w:tcW w:w="246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5"/>
              </w:rPr>
              <w:t>Once vested, your Stock Option will expire upon the earlier of (i) the expiration of the 12-month period</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following your Termination of Employment for any reason other than death, Disability or Retirement, (ii)</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the expiration of the one-year period following your Termination of Employment due to death, Disability or</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Retirement or (iii) 10 years from your Award Date (the “Expiration Date”), except as otherwise provided in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the Amended 2008 Plan or the attached Terms and Conditions.</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If you do not exercise your vested Stock Option before the Expiration Date, your unexercised Stock Option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will be forfeited and canceled in its entirety.</w:t>
            </w:r>
          </w:p>
        </w:tc>
      </w:tr>
      <w:tr>
        <w:trPr>
          <w:trHeight w:val="252"/>
        </w:trPr>
        <w:tc>
          <w:tcPr>
            <w:tcW w:w="2460" w:type="dxa"/>
            <w:vAlign w:val="bottom"/>
          </w:tcPr>
          <w:p>
            <w:pPr>
              <w:spacing w:after="0"/>
              <w:rPr>
                <w:sz w:val="20"/>
                <w:szCs w:val="20"/>
                <w:color w:val="auto"/>
              </w:rPr>
            </w:pPr>
            <w:r>
              <w:rPr>
                <w:rFonts w:ascii="Arial" w:cs="Arial" w:eastAsia="Arial" w:hAnsi="Arial"/>
                <w:sz w:val="18"/>
                <w:szCs w:val="18"/>
                <w:b w:val="1"/>
                <w:bCs w:val="1"/>
                <w:color w:val="auto"/>
              </w:rPr>
              <w:t>Impact of a Termination of</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89"/>
              </w:rPr>
              <w:t>Except as otherwise provided in the Amended 2008 Plan, and any employment agreement between you and</w:t>
            </w:r>
          </w:p>
        </w:tc>
      </w:tr>
      <w:tr>
        <w:trPr>
          <w:trHeight w:val="220"/>
        </w:trPr>
        <w:tc>
          <w:tcPr>
            <w:tcW w:w="2460" w:type="dxa"/>
            <w:vAlign w:val="bottom"/>
          </w:tcPr>
          <w:p>
            <w:pPr>
              <w:spacing w:after="0"/>
              <w:rPr>
                <w:sz w:val="20"/>
                <w:szCs w:val="20"/>
                <w:color w:val="auto"/>
              </w:rPr>
            </w:pPr>
            <w:r>
              <w:rPr>
                <w:rFonts w:ascii="Arial" w:cs="Arial" w:eastAsia="Arial" w:hAnsi="Arial"/>
                <w:sz w:val="18"/>
                <w:szCs w:val="18"/>
                <w:b w:val="1"/>
                <w:bCs w:val="1"/>
                <w:color w:val="auto"/>
              </w:rPr>
              <w:t>Employment: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Tree.com, the unvested portion of this Stock Option will be forfeited without consideration and canceled in</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its entirety upon your Termination of Employment.</w:t>
            </w:r>
          </w:p>
        </w:tc>
      </w:tr>
      <w:tr>
        <w:trPr>
          <w:trHeight w:val="256"/>
        </w:trPr>
        <w:tc>
          <w:tcPr>
            <w:tcW w:w="2460" w:type="dxa"/>
            <w:vAlign w:val="bottom"/>
          </w:tcPr>
          <w:p>
            <w:pPr>
              <w:spacing w:after="0"/>
              <w:rPr>
                <w:sz w:val="20"/>
                <w:szCs w:val="20"/>
                <w:color w:val="auto"/>
              </w:rPr>
            </w:pPr>
            <w:r>
              <w:rPr>
                <w:rFonts w:ascii="Arial" w:cs="Arial" w:eastAsia="Arial" w:hAnsi="Arial"/>
                <w:sz w:val="18"/>
                <w:szCs w:val="18"/>
                <w:b w:val="1"/>
                <w:bCs w:val="1"/>
                <w:color w:val="auto"/>
              </w:rPr>
              <w:t>Terms and Conditions:</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6"/>
              </w:rPr>
              <w:t>Capitalized terms used (but not defined) in this Award Notice shall have the meanings set forth in the</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Amended 2008 Plan.</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1"/>
              </w:rPr>
              <w:t>Your Stock Option is subject to the Terms and Conditions attached hereto and to the Amended 2008 Plan,</w:t>
            </w:r>
          </w:p>
        </w:tc>
      </w:tr>
      <w:tr>
        <w:trPr>
          <w:trHeight w:val="190"/>
        </w:trPr>
        <w:tc>
          <w:tcPr>
            <w:tcW w:w="2460" w:type="dxa"/>
            <w:vAlign w:val="bottom"/>
          </w:tcPr>
          <w:p>
            <w:pPr>
              <w:spacing w:after="0"/>
              <w:rPr>
                <w:sz w:val="16"/>
                <w:szCs w:val="16"/>
                <w:color w:val="auto"/>
              </w:rPr>
            </w:pPr>
          </w:p>
        </w:tc>
        <w:tc>
          <w:tcPr>
            <w:tcW w:w="7900" w:type="dxa"/>
            <w:vAlign w:val="bottom"/>
            <w:gridSpan w:val="3"/>
          </w:tcPr>
          <w:p>
            <w:pPr>
              <w:ind w:left="140"/>
              <w:spacing w:after="0" w:line="190" w:lineRule="exact"/>
              <w:rPr>
                <w:sz w:val="20"/>
                <w:szCs w:val="20"/>
                <w:color w:val="auto"/>
              </w:rPr>
            </w:pPr>
            <w:r>
              <w:rPr>
                <w:rFonts w:ascii="Arial" w:cs="Arial" w:eastAsia="Arial" w:hAnsi="Arial"/>
                <w:sz w:val="18"/>
                <w:szCs w:val="18"/>
                <w:color w:val="auto"/>
                <w:w w:val="92"/>
              </w:rPr>
              <w:t xml:space="preserve">which are posted on </w:t>
            </w:r>
            <w:r>
              <w:rPr>
                <w:rFonts w:ascii="Arial" w:cs="Arial" w:eastAsia="Arial" w:hAnsi="Arial"/>
                <w:sz w:val="18"/>
                <w:szCs w:val="18"/>
                <w:color w:val="0000FF"/>
                <w:w w:val="92"/>
              </w:rPr>
              <w:t>www.benefitaccess.com</w:t>
            </w:r>
            <w:r>
              <w:rPr>
                <w:rFonts w:ascii="Arial" w:cs="Arial" w:eastAsia="Arial" w:hAnsi="Arial"/>
                <w:sz w:val="18"/>
                <w:szCs w:val="18"/>
                <w:color w:val="auto"/>
                <w:w w:val="92"/>
              </w:rPr>
              <w:t xml:space="preserve"> and incorporated herein by reference, and any employment</w:t>
            </w:r>
          </w:p>
        </w:tc>
      </w:tr>
      <w:tr>
        <w:trPr>
          <w:trHeight w:val="20"/>
        </w:trPr>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22"/>
        </w:trPr>
        <w:tc>
          <w:tcPr>
            <w:tcW w:w="2460" w:type="dxa"/>
            <w:vAlign w:val="bottom"/>
          </w:tcPr>
          <w:p>
            <w:pPr>
              <w:spacing w:after="0"/>
              <w:rPr>
                <w:sz w:val="19"/>
                <w:szCs w:val="19"/>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agreement between you and Tree.com. Copies of these documents are also available upon request from</w:t>
            </w:r>
          </w:p>
        </w:tc>
      </w:tr>
      <w:tr>
        <w:trPr>
          <w:trHeight w:val="216"/>
        </w:trPr>
        <w:tc>
          <w:tcPr>
            <w:tcW w:w="2460" w:type="dxa"/>
            <w:vAlign w:val="bottom"/>
          </w:tcPr>
          <w:p>
            <w:pPr>
              <w:spacing w:after="0"/>
              <w:rPr>
                <w:sz w:val="18"/>
                <w:szCs w:val="18"/>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2"/>
              </w:rPr>
              <w:t>your Human Resources Department. In the event of a conflict between the Terms and Conditions and this</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Notice, this Notice shall control.</w:t>
            </w:r>
          </w:p>
        </w:tc>
      </w:tr>
      <w:tr>
        <w:trPr>
          <w:trHeight w:val="418"/>
        </w:trPr>
        <w:tc>
          <w:tcPr>
            <w:tcW w:w="246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w w:val="94"/>
              </w:rPr>
              <w:t>Without a complete review of these documents, you will not have a full understanding of all the material</w:t>
            </w:r>
          </w:p>
        </w:tc>
      </w:tr>
      <w:tr>
        <w:trPr>
          <w:trHeight w:val="230"/>
        </w:trPr>
        <w:tc>
          <w:tcPr>
            <w:tcW w:w="2460" w:type="dxa"/>
            <w:vAlign w:val="bottom"/>
          </w:tcPr>
          <w:p>
            <w:pPr>
              <w:spacing w:after="0"/>
              <w:rPr>
                <w:sz w:val="20"/>
                <w:szCs w:val="20"/>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terms of your Stock Option.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Terms and Conditions for Stock Option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Terms and Conditions apply to the stock option (the “Award”) awarded to you by Tree.com, Inc. (“Tree.com” or the “Company”) pursuant to Section 5 of the Fourth Amended and Restated Tree.com 2008 Stock and Annual Incentive Plan (the “2008 Amended Plan”). You were notified of your Award by way of an award notice (the “Award Notice”). All capitalized terms used herein, to the extent not defined, shall have the meaning as set forth in the 2008 Amended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for the Award to vest, you must be continuously employed by Tree.com or any of its Subsidiaries or Affiliates during the Restriction Period (as defined below) or as otherwise provided in the Vesting section below. Nothing in your Award Notice, these Terms and Conditions, or the 2008 Amended Plan shall confer upon you any right to continue in the employ or service of Tree.com or any of its Subsidiaries or Affiliates or interfere in any way with their rights to terminate your employment or service at any time and for any or no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Subject to the Award Notice, these Terms and Conditions and the 2008 Amended Plan, the Award shall vest and no longer be subject to satisfaction of any restriction on the dates and subject to any applicable performance conditions (such period during which restrictions apply is the “Restriction Period”) as set forth in the Vesting Schedule section of the Award Notice.</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[Notwithstanding the foregoing, 100% of your then-outstanding and unvested portion of your Award shall vest upon the occurrence of a Change in Control which occurs during your employment with Tree. Com (or any Subsidiary or Affiliate). The term “Change in Control” is defined in the 2008 Amended Plan, and includes certain events affecting Tree.com (not events only affecting specific businesses of Tree.com).]</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the foregoing, in the event you experience a Termination of Employment due to your Retirement, death or Disability, then 100% of your then-outstanding and unvested portion of your Award shall vest upon such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 any other specific vesting events approved by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Upon your Termination of Employment with Tree.com or any of its Subsidiaries or Affiliates during the Restriction Period for any reason, any unvested portion of this Award shall be forfeited and canceled in its entirety without consideration effective immediately upon such Termination of Employment. The then vested portion of this Stock Option may remain exercisable after your Termination Employment to the extent permitted under Plan section 5(i).</w:t>
      </w:r>
    </w:p>
    <w:p>
      <w:pPr>
        <w:spacing w:after="0" w:line="14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you wish to exercise this Award, you must notify the Company by filing a “Notice of Exercise” in the form prescribed by Tree.com at the address given on the form. Your notice must specify how many Shares you wish to purchase and is subject to the minimum purchase limitation set forth in Plan section 5(g).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Plan sections 5(g)(i), 5(g)(ii), or 5(g)(iii).</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Taxes and Withholding</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 later than the date as of which an amount in respect of any part of this Award first becomes includable in your gross income for federal, state, local or foreign income or employment or other tax purposes, Tree.com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Award that gives rise to the withholding requirement. In the event Shares are deducted to cover tax withholdings, the number of Shares withheld shall generally have a Fair Market Value equal to the aggregate amount of Tree.com’s withholding obligation on the date of exercise of the Stock Option. If the event that any such deduction and/or withholding is prohibited by law, you shall, prior to or contemporaneously with the settlement of your Award, be required to pay to Tree.com, or make arrangements satisfactory to Tree.com regarding the payment of, any federal, state, local or foreign taxes of any kind required by law to be withheld with respect to such amount. To the extent approved by the Committee, you may satisfy the applicable tax withholding amounts as permitted under Plan section 14(d).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Award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Your Award shall not be transferable by you by means of sale, assignment, exchange, encumbrance, pledge, hedge or otherwise except as may be permitted under Plan section 5(j).</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Tree.com declares and pays dividends on the Common Stock during the Restriction Period, this Award will not be credited with any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event of any conflict between these Terms and Conditions and the 2008 Amended Plan, the 2008 Amended Plan shall control; provided, that an action or provision that is permissive under the terms of the 2008 Amended Plan, and required under these Terms and Conditions, shall not be deemed a conflict and these Terms and Conditions shall control. In the event of any ambiguity in these Terms and Conditions, or any matters as to which these Terms and Conditions are silent, the 2008 Amended Plan shall govern. In the event of (i) any conflict between the Award Notice (or any information posted on Tree.com’s intranet or given to you directly or indirectly through the Agent (including information posted on https://www.benefitaccess.com) and Tree.com’s books and records, or (ii) ambiguity in the Award Notice (or any information posted on Tree.com’s intranet or given to you directly or indirectly through the Agent (including information posted on https://www.benefitaccess.com), Tree.com’s books and records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Tree.com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acceptance of your Award constitutes your authorization of the release from time to time to Tree.com or any of its Subsidiaries or Affiliates and to the Agent (together, the “Relevant Companies”) of any and all personal or professional data that is necessary or desirable for the administration of your Award and/or the 2008 Amended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92" w:name="page93"/>
    <w:bookmarkEnd w:id="92"/>
    <w:p>
      <w:pPr>
        <w:spacing w:after="0" w:line="259" w:lineRule="auto"/>
        <w:rPr>
          <w:sz w:val="20"/>
          <w:szCs w:val="20"/>
          <w:color w:val="auto"/>
        </w:rPr>
      </w:pPr>
      <w:r>
        <w:rPr>
          <w:rFonts w:ascii="Arial" w:cs="Arial" w:eastAsia="Arial" w:hAnsi="Arial"/>
          <w:sz w:val="18"/>
          <w:szCs w:val="18"/>
          <w:color w:val="auto"/>
        </w:rPr>
        <w:t>the purposes of the administration of your Award and/or the 2008 Amended Plan and/or to implement or structure any further grants of equity awards (if any)). The acceptance of your Award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 xml:space="preserve">Your Award is not intended to constitute “nonqualified deferred compensation” within the meaning of Section 409A of the Code and related rules and regulations (“Section 409A”). In no event shall Tree.com be required </w:t>
      </w:r>
      <w:r>
        <w:rPr>
          <w:rFonts w:ascii="Arial" w:cs="Arial" w:eastAsia="Arial" w:hAnsi="Arial"/>
          <w:sz w:val="16"/>
          <w:szCs w:val="16"/>
          <w:b w:val="1"/>
          <w:bCs w:val="1"/>
          <w:color w:val="auto"/>
        </w:rPr>
        <w:t>t</w:t>
      </w:r>
      <w:r>
        <w:rPr>
          <w:rFonts w:ascii="Arial" w:cs="Arial" w:eastAsia="Arial" w:hAnsi="Arial"/>
          <w:sz w:val="16"/>
          <w:szCs w:val="16"/>
          <w:color w:val="auto"/>
        </w:rPr>
        <w:t>o pay you any “gross-up” or other payment with respect to any taxes or penalties imposed under Section 409A (or Code Section 280G or 4999) with respect to any amounts or benefits paid to you in respect of your Award.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changes to these Terms and Conditions shall either be posted on Tree.com’s intranet or communicated (either directly by Tree.com or indirectly through any of its Subsidiaries, Affiliates or the Agent) to you electronically via e-mail (or otherwise in writing) after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368"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tcPr>
          <w:p>
            <w:pPr>
              <w:ind w:left="654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7480" w:type="dxa"/>
            <w:vAlign w:val="bottom"/>
          </w:tcPr>
          <w:p>
            <w:pPr>
              <w:ind w:left="240"/>
              <w:spacing w:after="0"/>
              <w:rPr>
                <w:sz w:val="20"/>
                <w:szCs w:val="20"/>
                <w:color w:val="auto"/>
              </w:rPr>
            </w:pPr>
            <w:r>
              <w:rPr>
                <w:rFonts w:ascii="Arial" w:cs="Arial" w:eastAsia="Arial" w:hAnsi="Arial"/>
                <w:sz w:val="18"/>
                <w:szCs w:val="18"/>
                <w:b w:val="1"/>
                <w:bCs w:val="1"/>
                <w:color w:val="auto"/>
              </w:rPr>
              <w:t>SUBSIDIARIES OF TREE.COM, INC.</w:t>
            </w:r>
          </w:p>
        </w:tc>
        <w:tc>
          <w:tcPr>
            <w:tcW w:w="0" w:type="dxa"/>
            <w:vAlign w:val="bottom"/>
          </w:tcPr>
          <w:p>
            <w:pPr>
              <w:spacing w:after="0"/>
              <w:rPr>
                <w:sz w:val="1"/>
                <w:szCs w:val="1"/>
                <w:color w:val="auto"/>
              </w:rPr>
            </w:pPr>
          </w:p>
        </w:tc>
      </w:tr>
      <w:tr>
        <w:trPr>
          <w:trHeight w:val="585"/>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7480" w:type="dxa"/>
            <w:vAlign w:val="bottom"/>
          </w:tcPr>
          <w:p>
            <w:pPr>
              <w:ind w:left="630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7480" w:type="dxa"/>
            <w:vAlign w:val="bottom"/>
            <w:tcBorders>
              <w:bottom w:val="single" w:sz="8" w:color="auto"/>
            </w:tcBorders>
          </w:tcPr>
          <w:p>
            <w:pPr>
              <w:ind w:left="6420"/>
              <w:spacing w:after="0"/>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LLC</w:t>
            </w:r>
          </w:p>
        </w:tc>
        <w:tc>
          <w:tcPr>
            <w:tcW w:w="7480" w:type="dxa"/>
            <w:vAlign w:val="bottom"/>
            <w:tcBorders>
              <w:bottom w:val="single" w:sz="8" w:color="CCEEFF"/>
            </w:tcBorders>
            <w:shd w:val="clear" w:color="auto" w:fill="CCEEFF"/>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Tree BU Holding Company, Inc.</w:t>
            </w:r>
          </w:p>
        </w:tc>
        <w:tc>
          <w:tcPr>
            <w:tcW w:w="7480" w:type="dxa"/>
            <w:vAlign w:val="bottom"/>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DegreeTree, Inc. f/k/a Tree Insurance Agency, Inc.</w:t>
            </w:r>
          </w:p>
        </w:tc>
        <w:tc>
          <w:tcPr>
            <w:tcW w:w="7480" w:type="dxa"/>
            <w:vAlign w:val="bottom"/>
            <w:tcBorders>
              <w:bottom w:val="single" w:sz="8" w:color="CCEEFF"/>
            </w:tcBorders>
            <w:shd w:val="clear" w:color="auto" w:fill="CCEEFF"/>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Tree Home Services, Inc.</w:t>
            </w:r>
          </w:p>
        </w:tc>
        <w:tc>
          <w:tcPr>
            <w:tcW w:w="7480" w:type="dxa"/>
            <w:vAlign w:val="bottom"/>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Loan Center, Inc.</w:t>
            </w:r>
          </w:p>
        </w:tc>
        <w:tc>
          <w:tcPr>
            <w:tcW w:w="7480" w:type="dxa"/>
            <w:vAlign w:val="bottom"/>
            <w:tcBorders>
              <w:bottom w:val="single" w:sz="8" w:color="CCEEFF"/>
            </w:tcBorders>
            <w:shd w:val="clear" w:color="auto" w:fill="CCEEFF"/>
          </w:tcPr>
          <w:p>
            <w:pPr>
              <w:ind w:left="604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HLC Escrow, Inc.</w:t>
            </w:r>
          </w:p>
        </w:tc>
        <w:tc>
          <w:tcPr>
            <w:tcW w:w="7480" w:type="dxa"/>
            <w:vAlign w:val="bottom"/>
          </w:tcPr>
          <w:p>
            <w:pPr>
              <w:ind w:left="604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Settlement Services, LLC</w:t>
            </w:r>
          </w:p>
        </w:tc>
        <w:tc>
          <w:tcPr>
            <w:tcW w:w="7480" w:type="dxa"/>
            <w:vAlign w:val="bottom"/>
            <w:tcBorders>
              <w:bottom w:val="single" w:sz="8" w:color="CCEEFF"/>
            </w:tcBorders>
            <w:shd w:val="clear" w:color="auto" w:fill="CCEEFF"/>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Realestate.com, Inc.</w:t>
            </w:r>
          </w:p>
        </w:tc>
        <w:tc>
          <w:tcPr>
            <w:tcW w:w="7480" w:type="dxa"/>
            <w:vAlign w:val="bottom"/>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Real Estate, Inc.</w:t>
            </w:r>
          </w:p>
        </w:tc>
        <w:tc>
          <w:tcPr>
            <w:tcW w:w="7480" w:type="dxa"/>
            <w:vAlign w:val="bottom"/>
            <w:tcBorders>
              <w:bottom w:val="single" w:sz="8" w:color="CCEEFF"/>
            </w:tcBorders>
            <w:shd w:val="clear" w:color="auto" w:fill="CCEEFF"/>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Robin Acquisition Corp.</w:t>
            </w:r>
          </w:p>
        </w:tc>
        <w:tc>
          <w:tcPr>
            <w:tcW w:w="7480" w:type="dxa"/>
            <w:vAlign w:val="bottom"/>
          </w:tcPr>
          <w:p>
            <w:pPr>
              <w:ind w:left="604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iNest Realty, Inc.</w:t>
            </w:r>
          </w:p>
        </w:tc>
        <w:tc>
          <w:tcPr>
            <w:tcW w:w="7480" w:type="dxa"/>
            <w:vAlign w:val="bottom"/>
            <w:shd w:val="clear" w:color="auto" w:fill="CCEEFF"/>
          </w:tcPr>
          <w:p>
            <w:pPr>
              <w:ind w:left="6040"/>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6"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333-182670) of Tree.com, Inc. of our report dated March 17, 2014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2014</w:t>
      </w:r>
    </w:p>
    <w:p>
      <w:pPr>
        <w:sectPr>
          <w:pgSz w:w="11900" w:h="16838" w:orient="portrait"/>
          <w:cols w:equalWidth="0" w:num="1">
            <w:col w:w="11420"/>
          </w:cols>
          <w:pgMar w:left="240" w:top="25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2013 of Tree.com, Inc.;</w:t>
      </w:r>
    </w:p>
    <w:p>
      <w:pPr>
        <w:spacing w:after="0" w:line="144"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2014</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27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2013 of Tree.com, Inc.;</w:t>
      </w:r>
    </w:p>
    <w:p>
      <w:pPr>
        <w:spacing w:after="0" w:line="144"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2014</w:t>
      </w:r>
    </w:p>
    <w:p>
      <w:pPr>
        <w:spacing w:after="0" w:line="302"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Alexander Mandel</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256"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660" w:right="2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2013 of Tree.com,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520" w:val="left"/>
        </w:tabs>
        <w:rPr>
          <w:sz w:val="20"/>
          <w:szCs w:val="20"/>
          <w:color w:val="auto"/>
        </w:rPr>
      </w:pPr>
      <w:r>
        <w:rPr>
          <w:rFonts w:ascii="Arial" w:cs="Arial" w:eastAsia="Arial" w:hAnsi="Arial"/>
          <w:sz w:val="18"/>
          <w:szCs w:val="18"/>
          <w:color w:val="auto"/>
        </w:rPr>
        <w:t>Dated:</w:t>
        <w:tab/>
        <w:t>March 17, 2014</w:t>
      </w:r>
      <w:r>
        <w:rPr>
          <w:sz w:val="20"/>
          <w:szCs w:val="20"/>
          <w:color w:val="auto"/>
        </w:rPr>
        <w:tab/>
      </w:r>
      <w:r>
        <w:rPr>
          <w:rFonts w:ascii="Arial" w:cs="Arial" w:eastAsia="Arial" w:hAnsi="Arial"/>
          <w:sz w:val="17"/>
          <w:szCs w:val="17"/>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660" w:right="2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2013 of Tree.com,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420" w:val="left"/>
        </w:tabs>
        <w:rPr>
          <w:sz w:val="20"/>
          <w:szCs w:val="20"/>
          <w:color w:val="auto"/>
        </w:rPr>
      </w:pPr>
      <w:r>
        <w:rPr>
          <w:rFonts w:ascii="Arial" w:cs="Arial" w:eastAsia="Arial" w:hAnsi="Arial"/>
          <w:sz w:val="18"/>
          <w:szCs w:val="18"/>
          <w:color w:val="auto"/>
        </w:rPr>
        <w:t>Dated:</w:t>
        <w:tab/>
        <w:t>March 17, 2014</w:t>
      </w:r>
      <w:r>
        <w:rPr>
          <w:sz w:val="20"/>
          <w:szCs w:val="20"/>
          <w:color w:val="auto"/>
        </w:rPr>
        <w:tab/>
      </w:r>
      <w:r>
        <w:rPr>
          <w:rFonts w:ascii="Arial" w:cs="Arial" w:eastAsia="Arial" w:hAnsi="Arial"/>
          <w:sz w:val="17"/>
          <w:szCs w:val="17"/>
          <w:b w:val="1"/>
          <w:bCs w:val="1"/>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Alexander Mandel</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4"/>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1"/>
    </w:lvl>
    <w:lvl w:ilvl="1">
      <w:lvlJc w:val="left"/>
      <w:lvlText w:val="(%2)"/>
      <w:numFmt w:val="lowerLetter"/>
      <w:start w:val="1"/>
    </w:lvl>
  </w:abstractNum>
  <w:abstractNum w:abstractNumId="27">
    <w:nsid w:val="1E7FF521"/>
    <w:multiLevelType w:val="hybridMultilevel"/>
    <w:lvl w:ilvl="0">
      <w:lvlJc w:val="left"/>
      <w:lvlText w:val="%1."/>
      <w:numFmt w:val="decimal"/>
      <w:start w:val="4"/>
    </w:lvl>
  </w:abstractNum>
  <w:abstractNum w:abstractNumId="28">
    <w:nsid w:val="7C3DBD3D"/>
    <w:multiLevelType w:val="hybridMultilevel"/>
    <w:lvl w:ilvl="0">
      <w:lvlJc w:val="left"/>
      <w:lvlText w:val="%1."/>
      <w:numFmt w:val="decimal"/>
      <w:start w:val="8"/>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2019-12-07T18:47:32Z</dcterms:created>
  <dcterms:modified xsi:type="dcterms:W3CDTF">2019-12-07T18:47:32Z</dcterms:modified>
</cp:coreProperties>
</file>