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109855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7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80645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345" w:lineRule="exact"/>
        <w:rPr>
          <w:sz w:val="24"/>
          <w:szCs w:val="24"/>
          <w:color w:val="auto"/>
        </w:rPr>
      </w:pPr>
    </w:p>
    <w:p>
      <w:pPr>
        <w:ind w:left="960" w:hanging="561"/>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2023</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28" w:lineRule="exact"/>
        <w:rPr>
          <w:sz w:val="24"/>
          <w:szCs w:val="24"/>
          <w:color w:val="auto"/>
        </w:rPr>
      </w:pPr>
    </w:p>
    <w:p>
      <w:pPr>
        <w:ind w:left="960" w:hanging="561"/>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62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43815</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155575</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2280" w:type="dxa"/>
            <w:vAlign w:val="bottom"/>
            <w:gridSpan w:val="3"/>
          </w:tcPr>
          <w:p>
            <w:pPr>
              <w:jc w:val="center"/>
              <w:ind w:left="557"/>
              <w:spacing w:after="0"/>
              <w:rPr>
                <w:sz w:val="20"/>
                <w:szCs w:val="20"/>
                <w:color w:val="auto"/>
              </w:rPr>
            </w:pPr>
            <w:r>
              <w:rPr>
                <w:rFonts w:ascii="Arial" w:cs="Arial" w:eastAsia="Arial" w:hAnsi="Arial"/>
                <w:sz w:val="16"/>
                <w:szCs w:val="16"/>
                <w:b w:val="1"/>
                <w:bCs w:val="1"/>
                <w:color w:val="auto"/>
                <w:w w:val="91"/>
              </w:rPr>
              <w:t>Delaware</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gridSpan w:val="3"/>
          </w:tcPr>
          <w:p>
            <w:pPr>
              <w:jc w:val="right"/>
              <w:ind w:right="1580"/>
              <w:spacing w:after="0"/>
              <w:rPr>
                <w:sz w:val="20"/>
                <w:szCs w:val="20"/>
                <w:color w:val="auto"/>
              </w:rPr>
            </w:pPr>
            <w:r>
              <w:rPr>
                <w:rFonts w:ascii="Arial" w:cs="Arial" w:eastAsia="Arial" w:hAnsi="Arial"/>
                <w:sz w:val="16"/>
                <w:szCs w:val="16"/>
                <w:b w:val="1"/>
                <w:bCs w:val="1"/>
                <w:color w:val="auto"/>
              </w:rPr>
              <w:t>26-2414818</w:t>
            </w:r>
          </w:p>
        </w:tc>
      </w:tr>
      <w:tr>
        <w:trPr>
          <w:trHeight w:val="229"/>
        </w:trPr>
        <w:tc>
          <w:tcPr>
            <w:tcW w:w="7440" w:type="dxa"/>
            <w:vAlign w:val="bottom"/>
            <w:gridSpan w:val="7"/>
          </w:tcPr>
          <w:p>
            <w:pPr>
              <w:jc w:val="center"/>
              <w:ind w:right="184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160" w:type="dxa"/>
            <w:vAlign w:val="bottom"/>
            <w:gridSpan w:val="3"/>
          </w:tcPr>
          <w:p>
            <w:pPr>
              <w:jc w:val="center"/>
              <w:ind w:right="800"/>
              <w:spacing w:after="0"/>
              <w:rPr>
                <w:sz w:val="20"/>
                <w:szCs w:val="20"/>
                <w:color w:val="auto"/>
              </w:rPr>
            </w:pPr>
            <w:r>
              <w:rPr>
                <w:rFonts w:ascii="Arial" w:cs="Arial" w:eastAsia="Arial" w:hAnsi="Arial"/>
                <w:sz w:val="16"/>
                <w:szCs w:val="16"/>
                <w:color w:val="auto"/>
                <w:w w:val="95"/>
              </w:rPr>
              <w:t>(I.R.S. Employer Identification No.)</w:t>
            </w:r>
          </w:p>
        </w:tc>
      </w:tr>
      <w:tr>
        <w:trPr>
          <w:trHeight w:val="407"/>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8"/>
          </w:tcPr>
          <w:p>
            <w:pPr>
              <w:ind w:left="500"/>
              <w:spacing w:after="0"/>
              <w:rPr>
                <w:sz w:val="20"/>
                <w:szCs w:val="20"/>
                <w:color w:val="auto"/>
              </w:rPr>
            </w:pPr>
            <w:r>
              <w:rPr>
                <w:rFonts w:ascii="Arial" w:cs="Arial" w:eastAsia="Arial" w:hAnsi="Arial"/>
                <w:sz w:val="18"/>
                <w:szCs w:val="18"/>
                <w:b w:val="1"/>
                <w:bCs w:val="1"/>
                <w:color w:val="auto"/>
              </w:rPr>
              <w:t>1415 Vantage Park Dr., Suite 700, Charlotte, North Carolina 28203</w:t>
            </w: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113"/>
              <w:spacing w:after="0"/>
              <w:rPr>
                <w:sz w:val="20"/>
                <w:szCs w:val="20"/>
                <w:color w:val="auto"/>
              </w:rPr>
            </w:pPr>
            <w:r>
              <w:rPr>
                <w:rFonts w:ascii="Arial" w:cs="Arial" w:eastAsia="Arial" w:hAnsi="Arial"/>
                <w:sz w:val="17"/>
                <w:szCs w:val="17"/>
                <w:color w:val="auto"/>
                <w:w w:val="93"/>
              </w:rPr>
              <w:t>(Address of principal executive offices)(Zip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10"/>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8"/>
                <w:szCs w:val="18"/>
                <w:b w:val="1"/>
                <w:bCs w:val="1"/>
                <w:color w:val="auto"/>
                <w:w w:val="90"/>
              </w:rPr>
              <w:t>(704) 541-5351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7"/>
                <w:szCs w:val="17"/>
                <w:color w:val="auto"/>
                <w:w w:val="90"/>
              </w:rPr>
              <w:t>(Registrant's telephone number, including area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33"/>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r>
      <w:tr>
        <w:trPr>
          <w:trHeight w:val="334"/>
        </w:trPr>
        <w:tc>
          <w:tcPr>
            <w:tcW w:w="7440" w:type="dxa"/>
            <w:vAlign w:val="bottom"/>
            <w:gridSpan w:val="7"/>
          </w:tcPr>
          <w:p>
            <w:pPr>
              <w:jc w:val="center"/>
              <w:ind w:right="350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01"/>
        </w:trPr>
        <w:tc>
          <w:tcPr>
            <w:tcW w:w="1340" w:type="dxa"/>
            <w:vAlign w:val="bottom"/>
          </w:tcPr>
          <w:p>
            <w:pPr>
              <w:spacing w:after="0"/>
              <w:rPr>
                <w:sz w:val="24"/>
                <w:szCs w:val="24"/>
                <w:color w:val="auto"/>
              </w:rPr>
            </w:pPr>
          </w:p>
        </w:tc>
        <w:tc>
          <w:tcPr>
            <w:tcW w:w="2280" w:type="dxa"/>
            <w:vAlign w:val="bottom"/>
            <w:gridSpan w:val="3"/>
          </w:tcPr>
          <w:p>
            <w:pPr>
              <w:jc w:val="center"/>
              <w:ind w:right="1040"/>
              <w:spacing w:after="0"/>
              <w:rPr>
                <w:sz w:val="20"/>
                <w:szCs w:val="20"/>
                <w:color w:val="auto"/>
              </w:rPr>
            </w:pPr>
            <w:r>
              <w:rPr>
                <w:rFonts w:ascii="Arial" w:cs="Arial" w:eastAsia="Arial" w:hAnsi="Arial"/>
                <w:sz w:val="17"/>
                <w:szCs w:val="17"/>
                <w:color w:val="auto"/>
                <w:w w:val="91"/>
              </w:rPr>
              <w:t>Title of each class</w:t>
            </w:r>
          </w:p>
        </w:tc>
        <w:tc>
          <w:tcPr>
            <w:tcW w:w="3820" w:type="dxa"/>
            <w:vAlign w:val="bottom"/>
            <w:gridSpan w:val="3"/>
          </w:tcPr>
          <w:p>
            <w:pPr>
              <w:jc w:val="center"/>
              <w:ind w:right="220"/>
              <w:spacing w:after="0"/>
              <w:rPr>
                <w:sz w:val="20"/>
                <w:szCs w:val="20"/>
                <w:color w:val="auto"/>
              </w:rPr>
            </w:pPr>
            <w:r>
              <w:rPr>
                <w:rFonts w:ascii="Arial" w:cs="Arial" w:eastAsia="Arial" w:hAnsi="Arial"/>
                <w:sz w:val="17"/>
                <w:szCs w:val="17"/>
                <w:color w:val="auto"/>
                <w:w w:val="92"/>
              </w:rPr>
              <w:t>Trading Symbol(s)</w:t>
            </w:r>
          </w:p>
        </w:tc>
        <w:tc>
          <w:tcPr>
            <w:tcW w:w="12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r>
      <w:tr>
        <w:trPr>
          <w:trHeight w:val="246"/>
        </w:trPr>
        <w:tc>
          <w:tcPr>
            <w:tcW w:w="3620" w:type="dxa"/>
            <w:vAlign w:val="bottom"/>
            <w:gridSpan w:val="4"/>
          </w:tcPr>
          <w:p>
            <w:pPr>
              <w:jc w:val="center"/>
              <w:ind w:left="216"/>
              <w:spacing w:after="0"/>
              <w:rPr>
                <w:sz w:val="20"/>
                <w:szCs w:val="20"/>
                <w:color w:val="auto"/>
              </w:rPr>
            </w:pPr>
            <w:r>
              <w:rPr>
                <w:rFonts w:ascii="Arial" w:cs="Arial" w:eastAsia="Arial" w:hAnsi="Arial"/>
                <w:sz w:val="17"/>
                <w:szCs w:val="17"/>
                <w:color w:val="auto"/>
                <w:w w:val="90"/>
              </w:rPr>
              <w:t>Common Stock, $0.01 par value per share</w:t>
            </w:r>
          </w:p>
        </w:tc>
        <w:tc>
          <w:tcPr>
            <w:tcW w:w="1160" w:type="dxa"/>
            <w:vAlign w:val="bottom"/>
          </w:tcPr>
          <w:p>
            <w:pPr>
              <w:spacing w:after="0"/>
              <w:rPr>
                <w:sz w:val="21"/>
                <w:szCs w:val="21"/>
                <w:color w:val="auto"/>
              </w:rPr>
            </w:pPr>
          </w:p>
        </w:tc>
        <w:tc>
          <w:tcPr>
            <w:tcW w:w="2660" w:type="dxa"/>
            <w:vAlign w:val="bottom"/>
            <w:gridSpan w:val="2"/>
          </w:tcPr>
          <w:p>
            <w:pPr>
              <w:jc w:val="center"/>
              <w:ind w:right="1380"/>
              <w:spacing w:after="0"/>
              <w:rPr>
                <w:sz w:val="20"/>
                <w:szCs w:val="20"/>
                <w:color w:val="auto"/>
              </w:rPr>
            </w:pPr>
            <w:r>
              <w:rPr>
                <w:rFonts w:ascii="Arial" w:cs="Arial" w:eastAsia="Arial" w:hAnsi="Arial"/>
                <w:sz w:val="17"/>
                <w:szCs w:val="17"/>
                <w:color w:val="auto"/>
                <w:w w:val="96"/>
              </w:rPr>
              <w:t>TREE</w:t>
            </w:r>
          </w:p>
        </w:tc>
        <w:tc>
          <w:tcPr>
            <w:tcW w:w="120" w:type="dxa"/>
            <w:vAlign w:val="bottom"/>
          </w:tcPr>
          <w:p>
            <w:pPr>
              <w:spacing w:after="0"/>
              <w:rPr>
                <w:sz w:val="21"/>
                <w:szCs w:val="21"/>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175" w:lineRule="exact"/>
        <w:rPr>
          <w:sz w:val="24"/>
          <w:szCs w:val="24"/>
          <w:color w:val="auto"/>
        </w:rPr>
      </w:pPr>
    </w:p>
    <w:p>
      <w:pPr>
        <w:jc w:val="both"/>
        <w:ind w:firstLine="162"/>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54" w:lineRule="exact"/>
        <w:rPr>
          <w:sz w:val="24"/>
          <w:szCs w:val="24"/>
          <w:color w:val="auto"/>
        </w:rPr>
      </w:pPr>
    </w:p>
    <w:p>
      <w:pPr>
        <w:jc w:val="both"/>
        <w:ind w:firstLine="162"/>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54" w:lineRule="exact"/>
        <w:rPr>
          <w:sz w:val="24"/>
          <w:szCs w:val="24"/>
          <w:color w:val="auto"/>
        </w:rPr>
      </w:pPr>
    </w:p>
    <w:p>
      <w:pPr>
        <w:jc w:val="both"/>
        <w:ind w:firstLine="162"/>
        <w:spacing w:after="0" w:line="27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20" w:type="dxa"/>
        <w:tblCellMar>
          <w:top w:w="0" w:type="dxa"/>
          <w:left w:w="0" w:type="dxa"/>
          <w:bottom w:w="0" w:type="dxa"/>
          <w:right w:w="0" w:type="dxa"/>
        </w:tblCellMar>
      </w:tblPr>
      <w:tr>
        <w:trPr>
          <w:trHeight w:val="243"/>
        </w:trPr>
        <w:tc>
          <w:tcPr>
            <w:tcW w:w="2040" w:type="dxa"/>
            <w:vAlign w:val="bottom"/>
          </w:tcPr>
          <w:p>
            <w:pPr>
              <w:jc w:val="center"/>
              <w:ind w:right="415"/>
              <w:spacing w:after="0"/>
              <w:rPr>
                <w:sz w:val="20"/>
                <w:szCs w:val="20"/>
                <w:color w:val="auto"/>
              </w:rPr>
            </w:pPr>
            <w:r>
              <w:rPr>
                <w:rFonts w:ascii="Arial" w:cs="Arial" w:eastAsia="Arial" w:hAnsi="Arial"/>
                <w:sz w:val="17"/>
                <w:szCs w:val="17"/>
                <w:color w:val="auto"/>
                <w:w w:val="91"/>
              </w:rPr>
              <w:t>Large 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Arial" w:cs="Arial" w:eastAsia="Arial" w:hAnsi="Arial"/>
                <w:sz w:val="17"/>
                <w:szCs w:val="17"/>
                <w:color w:val="auto"/>
              </w:rPr>
              <w:t>Accelerated filer</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3"/>
        </w:trPr>
        <w:tc>
          <w:tcPr>
            <w:tcW w:w="2040" w:type="dxa"/>
            <w:vAlign w:val="bottom"/>
          </w:tcPr>
          <w:p>
            <w:pPr>
              <w:jc w:val="center"/>
              <w:ind w:right="415"/>
              <w:spacing w:after="0"/>
              <w:rPr>
                <w:sz w:val="20"/>
                <w:szCs w:val="20"/>
                <w:color w:val="auto"/>
              </w:rPr>
            </w:pPr>
            <w:r>
              <w:rPr>
                <w:rFonts w:ascii="Arial" w:cs="Arial" w:eastAsia="Arial" w:hAnsi="Arial"/>
                <w:sz w:val="17"/>
                <w:szCs w:val="17"/>
                <w:color w:val="auto"/>
                <w:w w:val="93"/>
              </w:rPr>
              <w:t>Non-accelerated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Arial" w:cs="Arial" w:eastAsia="Arial" w:hAnsi="Arial"/>
                <w:sz w:val="17"/>
                <w:szCs w:val="17"/>
                <w:color w:val="auto"/>
              </w:rPr>
              <w:t>Smaller reporting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00" w:type="dxa"/>
            <w:vAlign w:val="bottom"/>
          </w:tcPr>
          <w:p>
            <w:pPr>
              <w:ind w:left="660"/>
              <w:spacing w:after="0"/>
              <w:rPr>
                <w:sz w:val="20"/>
                <w:szCs w:val="20"/>
                <w:color w:val="auto"/>
              </w:rPr>
            </w:pPr>
            <w:r>
              <w:rPr>
                <w:rFonts w:ascii="Arial" w:cs="Arial" w:eastAsia="Arial" w:hAnsi="Arial"/>
                <w:sz w:val="17"/>
                <w:szCs w:val="17"/>
                <w:color w:val="auto"/>
              </w:rPr>
              <w:t>Emerging growth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4" w:lineRule="exact"/>
        <w:rPr>
          <w:sz w:val="24"/>
          <w:szCs w:val="24"/>
          <w:color w:val="auto"/>
        </w:rPr>
      </w:pPr>
    </w:p>
    <w:p>
      <w:pPr>
        <w:ind w:right="20" w:firstLine="162"/>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27, 2023, there were 13,002,786 shares of the registrant's common stock, par value $0.01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5"/>
        </w:trPr>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0000FF"/>
              </w:rPr>
              <w:t>Item 1.</w:t>
            </w: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920" w:type="dxa"/>
            <w:vAlign w:val="bottom"/>
            <w:gridSpan w:val="8"/>
          </w:tcPr>
          <w:p>
            <w:pPr>
              <w:jc w:val="center"/>
              <w:ind w:right="2220"/>
              <w:spacing w:after="0" w:line="176" w:lineRule="exact"/>
              <w:rPr>
                <w:sz w:val="20"/>
                <w:szCs w:val="20"/>
                <w:color w:val="auto"/>
              </w:rPr>
            </w:pPr>
            <w:r>
              <w:rPr>
                <w:rFonts w:ascii="Arial" w:cs="Arial" w:eastAsia="Arial" w:hAnsi="Arial"/>
                <w:sz w:val="18"/>
                <w:szCs w:val="18"/>
                <w:b w:val="1"/>
                <w:bCs w:val="1"/>
                <w:color w:val="0000FF"/>
              </w:rPr>
              <w:t>PART I—FINANCIAL INFORMATION</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3340" w:type="dxa"/>
            <w:vAlign w:val="bottom"/>
            <w:gridSpan w:val="7"/>
          </w:tcPr>
          <w:p>
            <w:pPr>
              <w:ind w:left="720"/>
              <w:spacing w:after="0"/>
              <w:rPr>
                <w:sz w:val="20"/>
                <w:szCs w:val="20"/>
                <w:color w:val="auto"/>
              </w:rPr>
            </w:pPr>
            <w:r>
              <w:rPr>
                <w:rFonts w:ascii="Arial" w:cs="Arial" w:eastAsia="Arial" w:hAnsi="Arial"/>
                <w:sz w:val="18"/>
                <w:szCs w:val="18"/>
                <w:b w:val="1"/>
                <w:bCs w:val="1"/>
                <w:i w:val="1"/>
                <w:iCs w:val="1"/>
                <w:color w:val="0000FF"/>
              </w:rPr>
              <w:t>Financial Statements</w:t>
            </w:r>
          </w:p>
        </w:tc>
        <w:tc>
          <w:tcPr>
            <w:tcW w:w="3140" w:type="dxa"/>
            <w:vAlign w:val="bottom"/>
            <w:tcBorders>
              <w:top w:val="single" w:sz="8" w:color="0000FF"/>
            </w:tcBorders>
            <w:gridSpan w:val="4"/>
          </w:tcPr>
          <w:p>
            <w:pPr>
              <w:spacing w:after="0"/>
              <w:rPr>
                <w:sz w:val="18"/>
                <w:szCs w:val="18"/>
                <w:color w:val="auto"/>
              </w:rPr>
            </w:pPr>
          </w:p>
        </w:tc>
        <w:tc>
          <w:tcPr>
            <w:tcW w:w="3000" w:type="dxa"/>
            <w:vAlign w:val="bottom"/>
            <w:gridSpan w:val="3"/>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rPr>
              <w:t>Item 2.</w:t>
            </w:r>
          </w:p>
        </w:tc>
        <w:tc>
          <w:tcPr>
            <w:tcW w:w="9480" w:type="dxa"/>
            <w:vAlign w:val="bottom"/>
            <w:gridSpan w:val="14"/>
          </w:tcPr>
          <w:p>
            <w:pPr>
              <w:ind w:left="720"/>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rPr>
              <w:t>Item 3.</w:t>
            </w:r>
          </w:p>
        </w:tc>
        <w:tc>
          <w:tcPr>
            <w:tcW w:w="9480" w:type="dxa"/>
            <w:vAlign w:val="bottom"/>
            <w:gridSpan w:val="14"/>
          </w:tcPr>
          <w:p>
            <w:pPr>
              <w:ind w:left="720"/>
              <w:spacing w:after="0"/>
              <w:rPr>
                <w:sz w:val="20"/>
                <w:szCs w:val="20"/>
                <w:color w:val="auto"/>
              </w:rPr>
            </w:pPr>
            <w:r>
              <w:rPr>
                <w:rFonts w:ascii="Arial" w:cs="Arial" w:eastAsia="Arial" w:hAnsi="Arial"/>
                <w:sz w:val="18"/>
                <w:szCs w:val="18"/>
                <w:b w:val="1"/>
                <w:bCs w:val="1"/>
                <w:i w:val="1"/>
                <w:iCs w:val="1"/>
                <w:color w:val="0000FF"/>
              </w:rPr>
              <w:t>Quantitative and Qualitative Disclosures About Market Risk</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bottom w:val="single" w:sz="8" w:color="0000FF"/>
            </w:tcBorders>
            <w:gridSpan w:val="2"/>
            <w:shd w:val="clear" w:color="auto" w:fill="0000FF"/>
          </w:tcPr>
          <w:p>
            <w:pPr>
              <w:spacing w:after="0" w:line="20" w:lineRule="exact"/>
              <w:rPr>
                <w:sz w:val="1"/>
                <w:szCs w:val="1"/>
                <w:color w:val="auto"/>
              </w:rPr>
            </w:pPr>
          </w:p>
        </w:tc>
        <w:tc>
          <w:tcPr>
            <w:tcW w:w="920" w:type="dxa"/>
            <w:vAlign w:val="bottom"/>
            <w:tcBorders>
              <w:bottom w:val="single" w:sz="8" w:color="0000FF"/>
            </w:tcBorders>
            <w:gridSpan w:val="2"/>
            <w:shd w:val="clear" w:color="auto" w:fill="0000FF"/>
          </w:tcPr>
          <w:p>
            <w:pPr>
              <w:spacing w:after="0" w:line="20" w:lineRule="exact"/>
              <w:rPr>
                <w:sz w:val="1"/>
                <w:szCs w:val="1"/>
                <w:color w:val="auto"/>
              </w:rPr>
            </w:pPr>
          </w:p>
        </w:tc>
        <w:tc>
          <w:tcPr>
            <w:tcW w:w="1700" w:type="dxa"/>
            <w:vAlign w:val="bottom"/>
            <w:tcBorders>
              <w:bottom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2"/>
          </w:tcPr>
          <w:p>
            <w:pPr>
              <w:spacing w:after="0" w:line="189" w:lineRule="exact"/>
              <w:rPr>
                <w:sz w:val="20"/>
                <w:szCs w:val="20"/>
                <w:color w:val="auto"/>
              </w:rPr>
            </w:pPr>
            <w:r>
              <w:rPr>
                <w:rFonts w:ascii="Arial" w:cs="Arial" w:eastAsia="Arial" w:hAnsi="Arial"/>
                <w:sz w:val="18"/>
                <w:szCs w:val="18"/>
                <w:b w:val="1"/>
                <w:bCs w:val="1"/>
                <w:color w:val="0000FF"/>
              </w:rPr>
              <w:t>Item 4.</w:t>
            </w:r>
          </w:p>
        </w:tc>
        <w:tc>
          <w:tcPr>
            <w:tcW w:w="9480" w:type="dxa"/>
            <w:vAlign w:val="bottom"/>
            <w:gridSpan w:val="14"/>
          </w:tcPr>
          <w:p>
            <w:pPr>
              <w:ind w:left="720"/>
              <w:spacing w:after="0" w:line="189" w:lineRule="exact"/>
              <w:rPr>
                <w:sz w:val="20"/>
                <w:szCs w:val="20"/>
                <w:color w:val="auto"/>
              </w:rPr>
            </w:pPr>
            <w:r>
              <w:rPr>
                <w:rFonts w:ascii="Arial" w:cs="Arial" w:eastAsia="Arial" w:hAnsi="Arial"/>
                <w:sz w:val="18"/>
                <w:szCs w:val="18"/>
                <w:b w:val="1"/>
                <w:bCs w:val="1"/>
                <w:i w:val="1"/>
                <w:iCs w:val="1"/>
                <w:color w:val="0000FF"/>
              </w:rPr>
              <w:t>Controls and Procedures</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9"/>
        </w:trPr>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2"/>
          </w:tcPr>
          <w:p>
            <w:pPr>
              <w:jc w:val="center"/>
              <w:spacing w:after="0"/>
              <w:rPr>
                <w:sz w:val="20"/>
                <w:szCs w:val="20"/>
                <w:color w:val="auto"/>
              </w:rPr>
            </w:pPr>
            <w:r>
              <w:rPr>
                <w:rFonts w:ascii="Arial" w:cs="Arial" w:eastAsia="Arial" w:hAnsi="Arial"/>
                <w:sz w:val="18"/>
                <w:szCs w:val="18"/>
                <w:b w:val="1"/>
                <w:bCs w:val="1"/>
                <w:color w:val="0000FF"/>
              </w:rPr>
              <w:t>PART II—OTHER INFORMATION</w:t>
            </w:r>
          </w:p>
        </w:tc>
        <w:tc>
          <w:tcPr>
            <w:tcW w:w="3140" w:type="dxa"/>
            <w:vAlign w:val="bottom"/>
            <w:gridSpan w:val="4"/>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rPr>
              <w:t>Item 1.</w:t>
            </w:r>
          </w:p>
        </w:tc>
        <w:tc>
          <w:tcPr>
            <w:tcW w:w="9480" w:type="dxa"/>
            <w:vAlign w:val="bottom"/>
            <w:gridSpan w:val="14"/>
          </w:tcPr>
          <w:p>
            <w:pPr>
              <w:ind w:left="720"/>
              <w:spacing w:after="0"/>
              <w:rPr>
                <w:sz w:val="20"/>
                <w:szCs w:val="20"/>
                <w:color w:val="auto"/>
              </w:rPr>
            </w:pPr>
            <w:r>
              <w:rPr>
                <w:rFonts w:ascii="Arial" w:cs="Arial" w:eastAsia="Arial" w:hAnsi="Arial"/>
                <w:sz w:val="18"/>
                <w:szCs w:val="18"/>
                <w:b w:val="1"/>
                <w:bCs w:val="1"/>
                <w:i w:val="1"/>
                <w:iCs w:val="1"/>
                <w:color w:val="0000FF"/>
              </w:rPr>
              <w:t>Legal Proceedings</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w w:val="94"/>
              </w:rPr>
              <w:t>Item 1A.</w:t>
            </w:r>
          </w:p>
        </w:tc>
        <w:tc>
          <w:tcPr>
            <w:tcW w:w="9480" w:type="dxa"/>
            <w:vAlign w:val="bottom"/>
            <w:gridSpan w:val="14"/>
          </w:tcPr>
          <w:p>
            <w:pPr>
              <w:ind w:left="720"/>
              <w:spacing w:after="0"/>
              <w:rPr>
                <w:sz w:val="20"/>
                <w:szCs w:val="20"/>
                <w:color w:val="auto"/>
              </w:rPr>
            </w:pPr>
            <w:r>
              <w:rPr>
                <w:rFonts w:ascii="Arial" w:cs="Arial" w:eastAsia="Arial" w:hAnsi="Arial"/>
                <w:sz w:val="18"/>
                <w:szCs w:val="18"/>
                <w:b w:val="1"/>
                <w:bCs w:val="1"/>
                <w:i w:val="1"/>
                <w:iCs w:val="1"/>
                <w:color w:val="0000FF"/>
              </w:rPr>
              <w:t>Risk Factors</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rPr>
              <w:t>Item 2.</w:t>
            </w:r>
          </w:p>
        </w:tc>
        <w:tc>
          <w:tcPr>
            <w:tcW w:w="9480" w:type="dxa"/>
            <w:vAlign w:val="bottom"/>
            <w:gridSpan w:val="14"/>
          </w:tcPr>
          <w:p>
            <w:pPr>
              <w:ind w:left="720"/>
              <w:spacing w:after="0"/>
              <w:rPr>
                <w:sz w:val="20"/>
                <w:szCs w:val="20"/>
                <w:color w:val="auto"/>
              </w:rPr>
            </w:pPr>
            <w:r>
              <w:rPr>
                <w:rFonts w:ascii="Arial" w:cs="Arial" w:eastAsia="Arial" w:hAnsi="Arial"/>
                <w:sz w:val="18"/>
                <w:szCs w:val="18"/>
                <w:b w:val="1"/>
                <w:bCs w:val="1"/>
                <w:i w:val="1"/>
                <w:iCs w:val="1"/>
                <w:color w:val="0000FF"/>
              </w:rPr>
              <w:t>Unregistered Sales of Equity Securities, Use of Proceeds, and Issuer Purchases of Equity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gridSpan w:val="2"/>
            <w:shd w:val="clear" w:color="auto" w:fill="0000FF"/>
          </w:tcPr>
          <w:p>
            <w:pPr>
              <w:spacing w:after="0" w:line="20" w:lineRule="exact"/>
              <w:rPr>
                <w:sz w:val="1"/>
                <w:szCs w:val="1"/>
                <w:color w:val="auto"/>
              </w:rPr>
            </w:pPr>
          </w:p>
        </w:tc>
        <w:tc>
          <w:tcPr>
            <w:tcW w:w="5980" w:type="dxa"/>
            <w:vAlign w:val="bottom"/>
            <w:tcBorders>
              <w:bottom w:val="single" w:sz="8" w:color="0000FF"/>
            </w:tcBorders>
            <w:gridSpan w:val="9"/>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2"/>
          </w:tcPr>
          <w:p>
            <w:pPr>
              <w:spacing w:after="0" w:line="189" w:lineRule="exact"/>
              <w:rPr>
                <w:sz w:val="20"/>
                <w:szCs w:val="20"/>
                <w:color w:val="auto"/>
              </w:rPr>
            </w:pPr>
            <w:r>
              <w:rPr>
                <w:rFonts w:ascii="Arial" w:cs="Arial" w:eastAsia="Arial" w:hAnsi="Arial"/>
                <w:sz w:val="18"/>
                <w:szCs w:val="18"/>
                <w:b w:val="1"/>
                <w:bCs w:val="1"/>
                <w:color w:val="0000FF"/>
              </w:rPr>
              <w:t>Item 5.</w:t>
            </w:r>
          </w:p>
        </w:tc>
        <w:tc>
          <w:tcPr>
            <w:tcW w:w="9480" w:type="dxa"/>
            <w:vAlign w:val="bottom"/>
            <w:gridSpan w:val="14"/>
          </w:tcPr>
          <w:p>
            <w:pPr>
              <w:ind w:left="720"/>
              <w:spacing w:after="0" w:line="189" w:lineRule="exact"/>
              <w:rPr>
                <w:sz w:val="20"/>
                <w:szCs w:val="20"/>
                <w:color w:val="auto"/>
              </w:rPr>
            </w:pPr>
            <w:r>
              <w:rPr>
                <w:rFonts w:ascii="Arial" w:cs="Arial" w:eastAsia="Arial" w:hAnsi="Arial"/>
                <w:sz w:val="18"/>
                <w:szCs w:val="18"/>
                <w:b w:val="1"/>
                <w:bCs w:val="1"/>
                <w:i w:val="1"/>
                <w:iCs w:val="1"/>
                <w:color w:val="0000FF"/>
              </w:rPr>
              <w:t>Other Information</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rPr>
              <w:t>Item 6.</w:t>
            </w:r>
          </w:p>
        </w:tc>
        <w:tc>
          <w:tcPr>
            <w:tcW w:w="9480" w:type="dxa"/>
            <w:vAlign w:val="bottom"/>
            <w:gridSpan w:val="14"/>
          </w:tcPr>
          <w:p>
            <w:pPr>
              <w:ind w:left="720"/>
              <w:spacing w:after="0"/>
              <w:rPr>
                <w:sz w:val="20"/>
                <w:szCs w:val="20"/>
                <w:color w:val="auto"/>
              </w:rPr>
            </w:pPr>
            <w:r>
              <w:rPr>
                <w:rFonts w:ascii="Arial" w:cs="Arial" w:eastAsia="Arial" w:hAnsi="Arial"/>
                <w:sz w:val="18"/>
                <w:szCs w:val="18"/>
                <w:b w:val="1"/>
                <w:bCs w:val="1"/>
                <w:i w:val="1"/>
                <w:iCs w:val="1"/>
                <w:color w:val="0000FF"/>
              </w:rPr>
              <w:t>Exhibits</w:t>
            </w: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96"/>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340" w:type="dxa"/>
            <w:vAlign w:val="bottom"/>
          </w:tcPr>
          <w:p>
            <w:pPr>
              <w:spacing w:after="0"/>
              <w:rPr>
                <w:sz w:val="17"/>
                <w:szCs w:val="17"/>
                <w:color w:val="auto"/>
              </w:rPr>
            </w:pPr>
          </w:p>
        </w:tc>
        <w:tc>
          <w:tcPr>
            <w:tcW w:w="1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r>
      <w:tr>
        <w:trPr>
          <w:trHeight w:val="196"/>
        </w:trPr>
        <w:tc>
          <w:tcPr>
            <w:tcW w:w="50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3"/>
              </w:rPr>
              <w:t>2022</w:t>
            </w:r>
          </w:p>
        </w:tc>
      </w:tr>
      <w:tr>
        <w:trPr>
          <w:trHeight w:val="182"/>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4"/>
          </w:tcPr>
          <w:p>
            <w:pPr>
              <w:jc w:val="right"/>
              <w:ind w:right="212"/>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155,188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237,836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538,149</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782,937</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75"/>
        </w:trPr>
        <w:tc>
          <w:tcPr>
            <w:tcW w:w="5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 xml:space="preserve">Cost of revenue </w:t>
            </w:r>
            <w:r>
              <w:rPr>
                <w:rFonts w:ascii="Arial" w:cs="Arial" w:eastAsia="Arial" w:hAnsi="Arial"/>
                <w:sz w:val="18"/>
                <w:szCs w:val="18"/>
                <w:i w:val="1"/>
                <w:iCs w:val="1"/>
                <w:color w:val="auto"/>
                <w:w w:val="92"/>
              </w:rPr>
              <w:t>(exclusive of depreciation and amortization shown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separately below)</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7,570</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30,632</w:t>
            </w:r>
          </w:p>
        </w:tc>
        <w:tc>
          <w:tcPr>
            <w:tcW w:w="6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44,240</w:t>
            </w: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97,244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176,875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350,420</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565,569</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26,380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92,223</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115,808</w:t>
            </w: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10,840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36,096</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42,413</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4,760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14,239</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15,024</w:t>
            </w: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1,981</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6,012</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21,574</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38,600</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38,600</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Restructuring and severance</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1,955</w:t>
            </w: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9,967</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3,760</w:t>
            </w:r>
          </w:p>
        </w:tc>
      </w:tr>
      <w:tr>
        <w:trPr>
          <w:trHeight w:val="229"/>
        </w:trPr>
        <w:tc>
          <w:tcPr>
            <w:tcW w:w="5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189,180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256,412</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578,539</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808,347</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(33,992)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(40,390)</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(25,410)</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10,992</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(19,990)</w:t>
            </w:r>
          </w:p>
        </w:tc>
      </w:tr>
      <w:tr>
        <w:trPr>
          <w:trHeight w:val="230"/>
        </w:trPr>
        <w:tc>
          <w:tcPr>
            <w:tcW w:w="5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(expense) income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(110,910)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(108,637)</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(151,999)</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(138,035)</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(43,594)</w:t>
            </w:r>
          </w:p>
        </w:tc>
      </w:tr>
      <w:tr>
        <w:trPr>
          <w:trHeight w:val="23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3,534</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2,912</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(133,954)</w:t>
            </w: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(148,465)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(158,684)</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(135,123)</w:t>
            </w:r>
          </w:p>
        </w:tc>
        <w:tc>
          <w:tcPr>
            <w:tcW w:w="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(177,548)</w:t>
            </w:r>
          </w:p>
        </w:tc>
      </w:tr>
      <w:tr>
        <w:trPr>
          <w:trHeight w:val="256"/>
        </w:trPr>
        <w:tc>
          <w:tcPr>
            <w:tcW w:w="5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12,993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12,919</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12,794</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12,993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12,919</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12,794</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Net loss per share: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30"/>
        </w:trPr>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143"/>
        </w:trPr>
        <w:tc>
          <w:tcPr>
            <w:tcW w:w="8720" w:type="dxa"/>
            <w:vAlign w:val="bottom"/>
          </w:tcPr>
          <w:p>
            <w:pPr>
              <w:spacing w:after="0"/>
              <w:rPr>
                <w:sz w:val="12"/>
                <w:szCs w:val="12"/>
                <w:color w:val="auto"/>
              </w:rPr>
            </w:pPr>
          </w:p>
        </w:tc>
        <w:tc>
          <w:tcPr>
            <w:tcW w:w="2520" w:type="dxa"/>
            <w:vAlign w:val="bottom"/>
            <w:gridSpan w:val="4"/>
          </w:tcPr>
          <w:p>
            <w:pPr>
              <w:ind w:left="20"/>
              <w:spacing w:after="0" w:line="143" w:lineRule="exact"/>
              <w:rPr>
                <w:sz w:val="20"/>
                <w:szCs w:val="20"/>
                <w:color w:val="auto"/>
              </w:rPr>
            </w:pPr>
            <w:r>
              <w:rPr>
                <w:rFonts w:ascii="Arial" w:cs="Arial" w:eastAsia="Arial" w:hAnsi="Arial"/>
                <w:sz w:val="14"/>
                <w:szCs w:val="14"/>
                <w:b w:val="1"/>
                <w:bCs w:val="1"/>
                <w:i w:val="1"/>
                <w:iCs w:val="1"/>
                <w:color w:val="auto"/>
                <w:w w:val="88"/>
              </w:rPr>
              <w:t>(in thousands, except par value and share</w:t>
            </w:r>
          </w:p>
        </w:tc>
      </w:tr>
      <w:tr>
        <w:trPr>
          <w:trHeight w:val="188"/>
        </w:trPr>
        <w:tc>
          <w:tcPr>
            <w:tcW w:w="8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3"/>
          </w:tcPr>
          <w:p>
            <w:pPr>
              <w:jc w:val="right"/>
              <w:ind w:right="891"/>
              <w:spacing w:after="0"/>
              <w:rPr>
                <w:sz w:val="20"/>
                <w:szCs w:val="20"/>
                <w:color w:val="auto"/>
              </w:rPr>
            </w:pPr>
            <w:r>
              <w:rPr>
                <w:rFonts w:ascii="Arial" w:cs="Arial" w:eastAsia="Arial" w:hAnsi="Arial"/>
                <w:sz w:val="14"/>
                <w:szCs w:val="14"/>
                <w:b w:val="1"/>
                <w:bCs w:val="1"/>
                <w:i w:val="1"/>
                <w:iCs w:val="1"/>
                <w:color w:val="auto"/>
              </w:rPr>
              <w:t>amounts)</w:t>
            </w:r>
          </w:p>
        </w:tc>
      </w:tr>
      <w:tr>
        <w:trPr>
          <w:trHeight w:val="23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175,580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298,845</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$2,449 and $2,317, respectively)</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64,334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83,060</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26,959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w:t>
            </w:r>
          </w:p>
        </w:tc>
      </w:tr>
      <w:tr>
        <w:trPr>
          <w:trHeight w:val="229"/>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Assets held for sale (Note 7)</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266,876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413,968</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$37,116 and $33,851, respectively)</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54,199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59,160</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63,565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67,050</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381,539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420,139</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52,302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58,315</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60,076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174,580</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6,426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w:t>
            </w: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884,983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1,199,313</w:t>
            </w:r>
          </w:p>
        </w:tc>
      </w:tr>
      <w:tr>
        <w:trPr>
          <w:trHeight w:val="243"/>
        </w:trPr>
        <w:tc>
          <w:tcPr>
            <w:tcW w:w="8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Accounts payable, trade</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1,560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66,986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75,095</w:t>
            </w: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Liabilities held for sale (Note 7)</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71,046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82,534</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625,749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813,516</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82,822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88,232</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2,494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6,783</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253</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782,364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991,373</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720" w:type="dxa"/>
            <w:vAlign w:val="bottom"/>
          </w:tcPr>
          <w:p>
            <w:pPr>
              <w:ind w:left="140"/>
              <w:spacing w:after="0" w:line="189" w:lineRule="exact"/>
              <w:rPr>
                <w:sz w:val="20"/>
                <w:szCs w:val="20"/>
                <w:color w:val="auto"/>
              </w:rPr>
            </w:pPr>
            <w:r>
              <w:rPr>
                <w:rFonts w:ascii="Arial" w:cs="Arial" w:eastAsia="Arial" w:hAnsi="Arial"/>
                <w:sz w:val="18"/>
                <w:szCs w:val="18"/>
                <w:color w:val="auto"/>
                <w:w w:val="89"/>
              </w:rPr>
              <w:t>Common stock $0.01 par value; 50,000,000 shares authorized; 16,357,312 and 16,167,184 shares issued, respectively,</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and 13,001,846 and 12,811,718 shares outstanding, respectively</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1,219,055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1,189,255</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(850,422)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(715,299)</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Treasury stock; 3,355,466 and 3,355,466 shares,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(266,178)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(266,178)</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102,619</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207,940</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884,983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1,199,313</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right"/>
              <w:ind w:right="52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gridSpan w:val="3"/>
          </w:tcPr>
          <w:p>
            <w:pPr>
              <w:ind w:left="6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w w:val="95"/>
              </w:rPr>
              <w:t>Accumulated</w:t>
            </w:r>
          </w:p>
        </w:tc>
        <w:tc>
          <w:tcPr>
            <w:tcW w:w="106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right"/>
              <w:ind w:right="265"/>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of Shares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Deficit</w:t>
            </w:r>
          </w:p>
        </w:tc>
        <w:tc>
          <w:tcPr>
            <w:tcW w:w="10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of Shares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2022</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207,940</w:t>
            </w:r>
          </w:p>
        </w:tc>
        <w:tc>
          <w:tcPr>
            <w:tcW w:w="1160" w:type="dxa"/>
            <w:vAlign w:val="bottom"/>
            <w:tcBorders>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16,167</w:t>
            </w:r>
          </w:p>
        </w:tc>
        <w:tc>
          <w:tcPr>
            <w:tcW w:w="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1,189,255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(715,299)</w:t>
            </w: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3,355</w:t>
            </w:r>
          </w:p>
        </w:tc>
        <w:tc>
          <w:tcPr>
            <w:tcW w:w="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b w:val="1"/>
                <w:bCs w:val="1"/>
                <w:color w:val="auto"/>
                <w:w w:val="93"/>
              </w:rPr>
              <w:t>(266,178)</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13,457</w:t>
            </w:r>
          </w:p>
        </w:tc>
        <w:tc>
          <w:tcPr>
            <w:tcW w:w="100" w:type="dxa"/>
            <w:vAlign w:val="bottom"/>
          </w:tcPr>
          <w:p>
            <w:pPr>
              <w:spacing w:after="0"/>
              <w:rPr>
                <w:sz w:val="17"/>
                <w:szCs w:val="17"/>
                <w:color w:val="auto"/>
              </w:rPr>
            </w:pP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13,457</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11,274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11,274</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00" w:type="dxa"/>
            <w:vAlign w:val="bottom"/>
          </w:tcPr>
          <w:p>
            <w:pPr>
              <w:ind w:left="140"/>
              <w:spacing w:after="0" w:line="162"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(1,693)</w:t>
            </w:r>
          </w:p>
        </w:tc>
        <w:tc>
          <w:tcPr>
            <w:tcW w:w="1160" w:type="dxa"/>
            <w:vAlign w:val="bottom"/>
            <w:gridSpan w:val="2"/>
            <w:vMerge w:val="restart"/>
          </w:tcPr>
          <w:p>
            <w:pPr>
              <w:jc w:val="right"/>
              <w:ind w:right="25"/>
              <w:spacing w:after="0"/>
              <w:rPr>
                <w:sz w:val="20"/>
                <w:szCs w:val="20"/>
                <w:color w:val="auto"/>
              </w:rPr>
            </w:pPr>
            <w:r>
              <w:rPr>
                <w:rFonts w:ascii="Arial" w:cs="Arial" w:eastAsia="Arial" w:hAnsi="Arial"/>
                <w:sz w:val="15"/>
                <w:szCs w:val="15"/>
                <w:color w:val="auto"/>
              </w:rPr>
              <w:t>98</w:t>
            </w: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2"/>
                <w:szCs w:val="12"/>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(1,694)</w:t>
            </w:r>
          </w:p>
        </w:tc>
        <w:tc>
          <w:tcPr>
            <w:tcW w:w="200" w:type="dxa"/>
            <w:vAlign w:val="bottom"/>
          </w:tcPr>
          <w:p>
            <w:pPr>
              <w:spacing w:after="0"/>
              <w:rPr>
                <w:sz w:val="12"/>
                <w:szCs w:val="12"/>
                <w:color w:val="auto"/>
              </w:rPr>
            </w:pPr>
          </w:p>
        </w:tc>
        <w:tc>
          <w:tcPr>
            <w:tcW w:w="116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860" w:type="dxa"/>
            <w:vAlign w:val="bottom"/>
            <w:vMerge w:val="restart"/>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March 31, 2023</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230,979</w:t>
            </w:r>
          </w:p>
        </w:tc>
        <w:tc>
          <w:tcPr>
            <w:tcW w:w="116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b w:val="1"/>
                <w:bCs w:val="1"/>
                <w:color w:val="auto"/>
              </w:rPr>
              <w:t>16,265</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1,198,836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(701,842)</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3,355</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(266,178)</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 and comprehensive loss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(115)</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10,199</w:t>
            </w:r>
          </w:p>
        </w:tc>
        <w:tc>
          <w:tcPr>
            <w:tcW w:w="100" w:type="dxa"/>
            <w:vAlign w:val="bottom"/>
          </w:tcPr>
          <w:p>
            <w:pPr>
              <w:spacing w:after="0"/>
              <w:rPr>
                <w:sz w:val="17"/>
                <w:szCs w:val="17"/>
                <w:color w:val="auto"/>
              </w:rPr>
            </w:pP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10,199</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3200" w:type="dxa"/>
            <w:vAlign w:val="bottom"/>
            <w:shd w:val="clear" w:color="auto" w:fill="CCEEFF"/>
          </w:tcPr>
          <w:p>
            <w:pPr>
              <w:ind w:left="140"/>
              <w:spacing w:after="0" w:line="167"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w w:val="97"/>
              </w:rPr>
              <w:t>employee stock purchase plan, restricted stock</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awards and restricted stock units, net of</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652</w:t>
            </w:r>
          </w:p>
        </w:tc>
        <w:tc>
          <w:tcPr>
            <w:tcW w:w="116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59</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652</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withholding taxes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gridSpan w:val="2"/>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June 30, 2023</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241,715</w:t>
            </w:r>
          </w:p>
        </w:tc>
        <w:tc>
          <w:tcPr>
            <w:tcW w:w="116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b w:val="1"/>
                <w:bCs w:val="1"/>
                <w:color w:val="auto"/>
              </w:rPr>
              <w:t>16,324</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1,209,687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(701,957)</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3,355</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(266,178)</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 and comprehensive loss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(148,465)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(148,465)</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9,854</w:t>
            </w:r>
          </w:p>
        </w:tc>
        <w:tc>
          <w:tcPr>
            <w:tcW w:w="100" w:type="dxa"/>
            <w:vAlign w:val="bottom"/>
          </w:tcPr>
          <w:p>
            <w:pPr>
              <w:spacing w:after="0"/>
              <w:rPr>
                <w:sz w:val="17"/>
                <w:szCs w:val="17"/>
                <w:color w:val="auto"/>
              </w:rPr>
            </w:pP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9,854</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3200" w:type="dxa"/>
            <w:vAlign w:val="bottom"/>
            <w:shd w:val="clear" w:color="auto" w:fill="CCEEFF"/>
          </w:tcPr>
          <w:p>
            <w:pPr>
              <w:ind w:left="140"/>
              <w:spacing w:after="0" w:line="167"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116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33</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(486)</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net of withholding taxes and cancellations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gridSpan w:val="2"/>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September 30, 2023</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102,619</w:t>
            </w:r>
          </w:p>
        </w:tc>
        <w:tc>
          <w:tcPr>
            <w:tcW w:w="116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b w:val="1"/>
                <w:bCs w:val="1"/>
                <w:color w:val="auto"/>
              </w:rPr>
              <w:t>16,357</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1,219,055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(850,422)</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3,355</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93"/>
              </w:rPr>
              <w:t>(266,178)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gridSpan w:val="3"/>
          </w:tcPr>
          <w:p>
            <w:pPr>
              <w:jc w:val="right"/>
              <w:ind w:right="52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gridSpan w:val="3"/>
          </w:tcPr>
          <w:p>
            <w:pPr>
              <w:jc w:val="right"/>
              <w:ind w:right="54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w w:val="95"/>
              </w:rPr>
              <w:t>Accumulated</w:t>
            </w:r>
          </w:p>
        </w:tc>
        <w:tc>
          <w:tcPr>
            <w:tcW w:w="10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right"/>
              <w:ind w:right="265"/>
              <w:spacing w:after="0" w:line="145"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Deficit</w:t>
            </w:r>
          </w:p>
        </w:tc>
        <w:tc>
          <w:tcPr>
            <w:tcW w:w="10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447,992</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16,071</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1,242,794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(571,794)</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2,976</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(223,169)</w:t>
            </w:r>
          </w:p>
        </w:tc>
        <w:tc>
          <w:tcPr>
            <w:tcW w:w="0" w:type="dxa"/>
            <w:vAlign w:val="bottom"/>
          </w:tcPr>
          <w:p>
            <w:pPr>
              <w:spacing w:after="0"/>
              <w:rPr>
                <w:sz w:val="1"/>
                <w:szCs w:val="1"/>
                <w:color w:val="auto"/>
              </w:rPr>
            </w:pPr>
          </w:p>
        </w:tc>
      </w:tr>
      <w:tr>
        <w:trPr>
          <w:trHeight w:val="199"/>
        </w:trPr>
        <w:tc>
          <w:tcPr>
            <w:tcW w:w="3200" w:type="dxa"/>
            <w:vAlign w:val="bottom"/>
          </w:tcPr>
          <w:p>
            <w:pPr>
              <w:ind w:left="140"/>
              <w:spacing w:after="0"/>
              <w:rPr>
                <w:sz w:val="20"/>
                <w:szCs w:val="20"/>
                <w:color w:val="auto"/>
              </w:rPr>
            </w:pPr>
            <w:r>
              <w:rPr>
                <w:rFonts w:ascii="Arial" w:cs="Arial" w:eastAsia="Arial" w:hAnsi="Arial"/>
                <w:sz w:val="15"/>
                <w:szCs w:val="15"/>
                <w:color w:val="auto"/>
              </w:rPr>
              <w:t>Net loss and comprehensive loss</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(10,826)</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(10,826)</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15,080</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15,080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200" w:type="dxa"/>
            <w:vAlign w:val="bottom"/>
          </w:tcPr>
          <w:p>
            <w:pPr>
              <w:ind w:left="140"/>
              <w:spacing w:after="0"/>
              <w:rPr>
                <w:sz w:val="20"/>
                <w:szCs w:val="20"/>
                <w:color w:val="auto"/>
              </w:rPr>
            </w:pPr>
            <w:r>
              <w:rPr>
                <w:rFonts w:ascii="Arial" w:cs="Arial" w:eastAsia="Arial" w:hAnsi="Arial"/>
                <w:sz w:val="15"/>
                <w:szCs w:val="15"/>
                <w:color w:val="auto"/>
              </w:rPr>
              <w:t>Purchase of treasury stock</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(43,009)</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379</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(43,009)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(3,086)</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49</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(3,086)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5"/>
              </w:rPr>
              <w:t>Cumulative effect adjustment due to ASU 2020-</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06</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(65,303)</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(109,750)</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44,447</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2022</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340,848</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16,120</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1,145,038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(538,173)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(266,178)</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loss and comprehensive loss</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(8,038)</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(8,038)</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17,335</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17,335</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40"/>
              <w:spacing w:after="0" w:line="162"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341</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341</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June 30, 2022</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350,486</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16,141</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1,162,714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(546,211)</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(266,178)</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loss and comprehensive loss</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(158,684)</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(158,684)</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15,575</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15,575</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40"/>
              <w:spacing w:after="0" w:line="162"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(880)</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(880)</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September 30, 2022</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206,497</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16,140</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1,177,409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(704,895)</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(266,178)</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Nine Months Ended</w:t>
      </w:r>
    </w:p>
    <w:p>
      <w:pPr>
        <w:jc w:val="center"/>
        <w:ind w:left="870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2022</w:t>
            </w:r>
          </w:p>
        </w:tc>
      </w:tr>
      <w:tr>
        <w:trPr>
          <w:trHeight w:val="182"/>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0"/>
        </w:trPr>
        <w:tc>
          <w:tcPr>
            <w:tcW w:w="8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8720" w:type="dxa"/>
            <w:vAlign w:val="bottom"/>
          </w:tcPr>
          <w:p>
            <w:pPr>
              <w:ind w:left="140"/>
              <w:spacing w:after="0"/>
              <w:rPr>
                <w:sz w:val="20"/>
                <w:szCs w:val="20"/>
                <w:color w:val="auto"/>
              </w:rPr>
            </w:pPr>
            <w:r>
              <w:rPr>
                <w:rFonts w:ascii="Arial" w:cs="Arial" w:eastAsia="Arial" w:hAnsi="Arial"/>
                <w:sz w:val="17"/>
                <w:szCs w:val="17"/>
                <w:b w:val="1"/>
                <w:bCs w:val="1"/>
                <w:color w:val="auto"/>
              </w:rPr>
              <w:t>Net loss and comprehensive loss</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(135,123)</w:t>
            </w:r>
          </w:p>
        </w:tc>
        <w:tc>
          <w:tcPr>
            <w:tcW w:w="48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(177,548)</w:t>
            </w:r>
          </w:p>
        </w:tc>
      </w:tr>
      <w:tr>
        <w:trPr>
          <w:trHeight w:val="234"/>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Loss on impairments and disposal of assets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5,255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4,261</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intangibles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6,012</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21,574</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14,239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15,024</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compensation expense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31,327</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47,990</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(4,289)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133,943</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Bad debt expense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1,803</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2,708</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3,473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5,443</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Write-off of previously-capitalized debt issuance costs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2,373</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 of debt discount</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1,475</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Reduction in carrying amount of ROU asset, offset by change in operating lease liabilities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(3,118)</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Gain on settlement of convertible 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(34,308)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impairment of investments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114,504</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Loss on impairment of goodwill</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38,600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current assets and liabilities: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18,276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(1,380)</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and other current assets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(6,271)</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Accounts payable, accrued expenses and other current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(11,878)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(19,149)</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receivable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1,115</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r>
      <w:tr>
        <w:trPr>
          <w:trHeight w:val="223"/>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46,692</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26,322</w:t>
            </w:r>
          </w:p>
        </w:tc>
      </w:tr>
      <w:tr>
        <w:trPr>
          <w:trHeight w:val="216"/>
        </w:trPr>
        <w:tc>
          <w:tcPr>
            <w:tcW w:w="872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(9,928)</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(8,970)</w:t>
            </w:r>
          </w:p>
        </w:tc>
      </w:tr>
      <w:tr>
        <w:trPr>
          <w:trHeight w:val="223"/>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Equity investments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(16,440)</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(9,928)</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(25,410)</w:t>
            </w:r>
          </w:p>
        </w:tc>
      </w:tr>
      <w:tr>
        <w:trPr>
          <w:trHeight w:val="221"/>
        </w:trPr>
        <w:tc>
          <w:tcPr>
            <w:tcW w:w="872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term loan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r>
      <w:tr>
        <w:trPr>
          <w:trHeight w:val="223"/>
        </w:trPr>
        <w:tc>
          <w:tcPr>
            <w:tcW w:w="8720" w:type="dxa"/>
            <w:vAlign w:val="bottom"/>
          </w:tcPr>
          <w:p>
            <w:pPr>
              <w:ind w:left="140"/>
              <w:spacing w:after="0"/>
              <w:rPr>
                <w:sz w:val="20"/>
                <w:szCs w:val="20"/>
                <w:color w:val="auto"/>
              </w:rPr>
            </w:pPr>
            <w:r>
              <w:rPr>
                <w:rFonts w:ascii="Arial" w:cs="Arial" w:eastAsia="Arial" w:hAnsi="Arial"/>
                <w:sz w:val="17"/>
                <w:szCs w:val="17"/>
                <w:color w:val="auto"/>
              </w:rPr>
              <w:t>Repayment of term loan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(1,250)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(625)</w:t>
            </w:r>
          </w:p>
        </w:tc>
      </w:tr>
      <w:tr>
        <w:trPr>
          <w:trHeight w:val="23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Payments related to net-share settlement of stock-based compensation, net of proceeds from exercise of stock options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(3,292)</w:t>
            </w:r>
          </w:p>
        </w:tc>
      </w:tr>
      <w:tr>
        <w:trPr>
          <w:trHeight w:val="223"/>
        </w:trPr>
        <w:tc>
          <w:tcPr>
            <w:tcW w:w="8720" w:type="dxa"/>
            <w:vAlign w:val="bottom"/>
          </w:tcPr>
          <w:p>
            <w:pPr>
              <w:ind w:left="140"/>
              <w:spacing w:after="0"/>
              <w:rPr>
                <w:sz w:val="20"/>
                <w:szCs w:val="20"/>
                <w:color w:val="auto"/>
              </w:rPr>
            </w:pPr>
            <w:r>
              <w:rPr>
                <w:rFonts w:ascii="Arial" w:cs="Arial" w:eastAsia="Arial" w:hAnsi="Arial"/>
                <w:sz w:val="17"/>
                <w:szCs w:val="17"/>
                <w:color w:val="auto"/>
              </w:rPr>
              <w:t>Purchase of treasury stock</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(43,009)</w:t>
            </w:r>
          </w:p>
        </w:tc>
      </w:tr>
      <w:tr>
        <w:trPr>
          <w:trHeight w:val="23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Repurchase of 0.50% Convertible Senior Notes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(156,294)</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720" w:type="dxa"/>
            <w:vAlign w:val="bottom"/>
          </w:tcPr>
          <w:p>
            <w:pPr>
              <w:ind w:left="140"/>
              <w:spacing w:after="0"/>
              <w:rPr>
                <w:sz w:val="20"/>
                <w:szCs w:val="20"/>
                <w:color w:val="auto"/>
              </w:rPr>
            </w:pPr>
            <w:r>
              <w:rPr>
                <w:rFonts w:ascii="Arial" w:cs="Arial" w:eastAsia="Arial" w:hAnsi="Arial"/>
                <w:sz w:val="17"/>
                <w:szCs w:val="17"/>
                <w:color w:val="auto"/>
              </w:rPr>
              <w:t>Repayment of 0.625% Convertible Senior Notes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(169,659)</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Payment of debt costs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5"/>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(160,150)</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33,411</w:t>
            </w:r>
          </w:p>
        </w:tc>
      </w:tr>
      <w:tr>
        <w:trPr>
          <w:trHeight w:val="228"/>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(decrease) increase in cash, cash equivalents, restricted cash and restricted cash equivalents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(123,386)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34,323</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restricted cash and restricted cash equivalents at beginning of period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298,969</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251,342</w:t>
            </w:r>
          </w:p>
        </w:tc>
      </w:tr>
      <w:tr>
        <w:trPr>
          <w:trHeight w:val="236"/>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period</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175,583</w:t>
            </w:r>
          </w:p>
        </w:tc>
        <w:tc>
          <w:tcPr>
            <w:tcW w:w="48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285,665</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accompanying unaudited interim consolidated financial statements as of September 30, 2023 and for the three and nine months ended September 30, 2023 and 2022,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2023 are not necessarily indicative of the results to be expected for the year ending December 31, 2023, or any other period. The accompanying consolidated balance sheet as of December 31, 2022 was derived from audited financial statements included in the Company's Annual Report on Form 10-K for the year ended December 31, 2022 (the “2022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2022 Annual Report. The Company reclassified certain amounts in the prior year consolidated statements of operations and comprehensive income and consolidated statement of cash flows to be consistent with the current year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33"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Significant estimates underlying the accompanying consolidated financial statements include: the recoverability of long-lived assets, goodwill and intangible assets; the determination of income taxes payable and deferred income taxes, including related valuation allowances; fair value of assets acquired in a business combination; litigation accruals; contract assets; various other allowances, reserves and accruals; assumptions related to the determination of stock-based compensation; and the determination of right-of-use assets and lease liabilities.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considered the impact of the current economic conditions, including interest rates and inflation on the assumptions and estimates used when preparing its consolidated financial statements including, but not limited to, the allowance for doubtful accounts, valuation allowances, contract asset, and the recoverability of long-lived assets, goodwill and intangible assets. These assumptions and estimates may change as new events occur and additional information is obtained. If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economic conditions worsen, such future changes may have an adverse impact on the Company's results of operations, financial position and liquidity.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which potentially subject the Company to concentration of credit risk at September 30, 2023,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August 2020, the Financial Accounting Standards Board issued Accounting Standards Update ("ASU") 2020-06, which simplifies the accounting for convertible instruments, amends the derivatives scope exception guidance for contracts in an entity’s own equity, and amends the related earnings-per-share guidance. Under the new guidance, the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As a result, a convertible debt instrument will be accounted for as a single liability measured at its amortized cost, as long as no other features require bifurcation and recognition as derivatives. The Company adopted ASU 2020-06 on January 1, 2022 using the modified retrospective transition approach and recognized the cumulative effect of initially applying ASU 2020-06 as a $44.4 million adjustment to the opening balance of accumulated deficit, comprised of $60.8 million for the interest adjustment, net of $16.4 million for the related tax impacts. The recombination of the equity conversion component of the Company's convertible debt remaining outstanding caused a reduction in additional paid-in capital and an increase in deferred income tax assets. The removal of the remaining debt discounts recorded for this previous separation had the effect of increasing our net debt balance. ASU 2020-06 also requires the dilutive impact of convertible debt instruments to utilize the if-converted method when calculating diluted earnings per share and the result is more dilutive. The adoption of ASU 2020-06 did not impact the Company's cash flows or compliance with debt covenants.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has considered the applicability of recently issued accounting pronouncements by the Financial Accounting Standards Board and have determined that they are either not applicable or are not expected to have a material impact on the Company's consolidated financial statements.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33,390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118,628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240,809</w:t>
            </w:r>
          </w:p>
        </w:tc>
      </w:tr>
      <w:tr>
        <w:trPr>
          <w:trHeight w:val="229"/>
        </w:trPr>
        <w:tc>
          <w:tcPr>
            <w:tcW w:w="6060" w:type="dxa"/>
            <w:vAlign w:val="bottom"/>
          </w:tcPr>
          <w:p>
            <w:pPr>
              <w:ind w:left="120"/>
              <w:spacing w:after="0"/>
              <w:rPr>
                <w:sz w:val="20"/>
                <w:szCs w:val="20"/>
                <w:color w:val="auto"/>
              </w:rPr>
            </w:pPr>
            <w:r>
              <w:rPr>
                <w:rFonts w:ascii="Arial" w:cs="Arial" w:eastAsia="Arial" w:hAnsi="Arial"/>
                <w:sz w:val="18"/>
                <w:szCs w:val="18"/>
                <w:color w:val="auto"/>
              </w:rPr>
              <w:t>Credit cards</w:t>
            </w:r>
          </w:p>
        </w:tc>
        <w:tc>
          <w:tcPr>
            <w:tcW w:w="28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14,571</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53,942</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81,426</w:t>
            </w:r>
          </w:p>
        </w:tc>
      </w:tr>
      <w:tr>
        <w:trPr>
          <w:trHeight w:val="230"/>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Personal loans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26,524</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78,260</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115,209</w:t>
            </w:r>
          </w:p>
        </w:tc>
      </w:tr>
      <w:tr>
        <w:trPr>
          <w:trHeight w:val="229"/>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Consumer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26,158</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97,237</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113,238</w:t>
            </w: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Consumer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67,253</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229,439</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309,873</w:t>
            </w: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54,536</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190,016</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232,025</w:t>
            </w:r>
          </w:p>
        </w:tc>
      </w:tr>
      <w:tr>
        <w:trPr>
          <w:trHeight w:val="230"/>
        </w:trPr>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66</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155,188</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237,836</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538,149</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782,937</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were derived from consumers in the Company's credit services product. Upfront fees paid by consumers were recognized as revenue over the estimated time the consumer will remain a customer and receive services. Subscription fees were recognized over the period a consumer is receiving services. As of the second quarter of 2023, the Company discontinued providing its credit services product to consumers and no longer receives upfront and subscription fees.</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was $13.7 million and $12.2 million at September 30, 2023 and December 31, 2022,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contract liability recorded within accrued expenses and other current liabilities on the consolidated balance sheet related to upfront fees paid by consumers was $0.9 million at December 31, 2022. During the first nine months of 2023, the Company recognized revenue of $0.9 million, that was included in the contract liability balance at December 31, 2022. During the first nine months of 2022, the Company recognized revenue of $0.8 million that was included in the contract liability balance at December 31, 2021.</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There was a decrease of $0.1 million in the third quarter of 2023, and there was an increase of $0.1 million in the third quarter of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17"/>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87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175,580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298,845</w:t>
            </w: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175,583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298,969</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5—ALLOWANCE FOR DOUBTFUL ACCOUNTS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5"/>
        </w:trPr>
        <w:tc>
          <w:tcPr>
            <w:tcW w:w="45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2,609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2,317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1,456</w:t>
            </w: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Charges to earnings</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1,803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2,708</w:t>
            </w: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uncollectible accounts receivable</w:t>
            </w: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Recoveries collected</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 held for sale (Note 7)</w:t>
            </w:r>
          </w:p>
        </w:tc>
        <w:tc>
          <w:tcPr>
            <w:tcW w:w="16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371</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19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2,449</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2,449</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2,356</w:t>
            </w:r>
          </w:p>
        </w:tc>
      </w:tr>
      <w:tr>
        <w:trPr>
          <w:trHeight w:val="898"/>
        </w:trPr>
        <w:tc>
          <w:tcPr>
            <w:tcW w:w="4500" w:type="dxa"/>
            <w:vAlign w:val="bottom"/>
          </w:tcPr>
          <w:p>
            <w:pPr>
              <w:spacing w:after="0"/>
              <w:rPr>
                <w:sz w:val="24"/>
                <w:szCs w:val="24"/>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903,227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903,227</w:t>
            </w:r>
          </w:p>
        </w:tc>
      </w:tr>
      <w:tr>
        <w:trPr>
          <w:trHeight w:val="22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(521,688)</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goodwill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381,539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r>
      <w:tr>
        <w:trPr>
          <w:trHeight w:val="257"/>
        </w:trPr>
        <w:tc>
          <w:tcPr>
            <w:tcW w:w="8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10,142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with definite lives, net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42,160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48,173</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52,302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58,315</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at September 30, 2023 consisted of $59.3 million associated with the Home segment, $166.1 million associated with the Consumer segment, and $156.1 million associated with the Insurance segment.</w:t>
      </w:r>
    </w:p>
    <w:p>
      <w:pPr>
        <w:spacing w:after="0" w:line="35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third quarter of 2023, the Company’s market capitalization declined significantly compared to the second quarter of 2023. The closing stock price on September 29, 2023 was $15.50 reflecting a market capitalization below the Company's book value. In addition, the effects of the challenging interest rate environment, low for-sale home inventories and the rise in home prices in the Home reporting unit and consumer price inflation negatively impacting carrier underwriting in the Insurance reporting unit continue to provide revenue headwinds. Based on these factors, it was concluded that a</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triggering event had occurred, and an interim quantitative impairment test was performed as of September 30, 2023. Upon completing the quantitative goodwill impairment test, the Company concluded that the carrying value of the Insurance reporting unit exceeded its fair value which resulted in a goodwill impairment charge of $38.6 million. The fair value of the Home and Consumer reporting units exceeded their carrying amounts, indicating no goodwill impairment. The fair values of each reporting unit were determined using a combination of the income approach and the market approach valuation methodologies.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will continue to monitor the recovery of the Insurance and Home reporting units. Changes in the timing of the recovery compared to current expectations could cause an impairment to the Home reporting unit or further impairment to the Insurance reporting unit.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lists</w:t>
            </w:r>
          </w:p>
        </w:tc>
        <w:tc>
          <w:tcPr>
            <w:tcW w:w="26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77,300</w:t>
            </w: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(35,357)</w:t>
            </w:r>
          </w:p>
        </w:tc>
        <w:tc>
          <w:tcPr>
            <w:tcW w:w="4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Trademarks and tradenames</w:t>
            </w:r>
          </w:p>
        </w:tc>
        <w:tc>
          <w:tcPr>
            <w:tcW w:w="2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3560" w:type="dxa"/>
            <w:vAlign w:val="bottom"/>
            <w:tcBorders>
              <w:bottom w:val="single" w:sz="8" w:color="auto"/>
            </w:tcBorders>
            <w:gridSpan w:val="2"/>
            <w:shd w:val="clear" w:color="auto" w:fill="CCEEFF"/>
          </w:tcPr>
          <w:p>
            <w:pPr>
              <w:jc w:val="right"/>
              <w:ind w:right="682"/>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86,400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(44,240)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9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24"/>
                <w:szCs w:val="2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lists</w:t>
            </w:r>
          </w:p>
        </w:tc>
        <w:tc>
          <w:tcPr>
            <w:tcW w:w="26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77,300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(30,775)</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Trademarks and tradenames</w:t>
            </w:r>
          </w:p>
        </w:tc>
        <w:tc>
          <w:tcPr>
            <w:tcW w:w="2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10,100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3560" w:type="dxa"/>
            <w:vAlign w:val="bottom"/>
            <w:tcBorders>
              <w:bottom w:val="single" w:sz="8" w:color="auto"/>
            </w:tcBorders>
            <w:gridSpan w:val="2"/>
            <w:shd w:val="clear" w:color="auto" w:fill="CCEEFF"/>
          </w:tcPr>
          <w:p>
            <w:pPr>
              <w:jc w:val="right"/>
              <w:ind w:right="682"/>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87,400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(39,227)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3960" w:type="dxa"/>
            <w:vAlign w:val="bottom"/>
          </w:tcPr>
          <w:p>
            <w:pPr>
              <w:spacing w:after="0"/>
              <w:rPr>
                <w:sz w:val="24"/>
                <w:szCs w:val="24"/>
                <w:color w:val="auto"/>
              </w:rPr>
            </w:pPr>
          </w:p>
        </w:tc>
        <w:tc>
          <w:tcPr>
            <w:tcW w:w="2680" w:type="dxa"/>
            <w:vAlign w:val="bottom"/>
          </w:tcPr>
          <w:p>
            <w:pPr>
              <w:jc w:val="right"/>
              <w:ind w:right="830"/>
              <w:spacing w:after="0"/>
              <w:rPr>
                <w:sz w:val="20"/>
                <w:szCs w:val="20"/>
                <w:color w:val="auto"/>
              </w:rPr>
            </w:pPr>
            <w:r>
              <w:rPr>
                <w:rFonts w:ascii="Arial" w:cs="Arial" w:eastAsia="Arial" w:hAnsi="Arial"/>
                <w:sz w:val="18"/>
                <w:szCs w:val="18"/>
                <w:color w:val="auto"/>
              </w:rPr>
              <w:t>12</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September 30, 2023,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86"/>
        </w:trPr>
        <w:tc>
          <w:tcPr>
            <w:tcW w:w="9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Amortization Expense</w:t>
            </w:r>
          </w:p>
        </w:tc>
      </w:tr>
      <w:tr>
        <w:trPr>
          <w:trHeight w:val="26"/>
        </w:trPr>
        <w:tc>
          <w:tcPr>
            <w:tcW w:w="9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current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2024</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5,889</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2025</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2026</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5,504</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2027</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r>
      <w:tr>
        <w:trPr>
          <w:trHeight w:val="229"/>
        </w:trPr>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18,057</w:t>
            </w:r>
          </w:p>
        </w:tc>
      </w:tr>
      <w:tr>
        <w:trPr>
          <w:trHeight w:val="230"/>
        </w:trPr>
        <w:tc>
          <w:tcPr>
            <w:tcW w:w="9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42,160</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7—Assets and Liabilities Held for Sale for intangible assets with definite lives classified as held for 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7—ASSETS AND LIABILITIES HELD FOR SALE</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the fourth quarter of 2022, the Company approved a plan to sell its Ovation credit services business, an asset group associated with the Company's Consumer segment. The asset group was expected to be sold in 2023 to an unrelated third party and is classified, at its carrying value, as current assets held for sale and current liabilities held for sale in the consolidated balance sheet as of December 31, 2022.</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first quarter of 2023, the third party withdrew the letter of intent to purchase the asset group held for sale. The Company made the decision to close the Ovation credit services business. As a result, the Company recorded asset impairment charges of $4.2 million, of which $2.1 million related to intangible assets, $1.7 million related to property and equipment, and $0.4 million related to an operating lease right-of-use asset.</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carrying value of the accounts receivable, prepaid and other assets, and other non-current assets previously held for sale, and the liabilities previously held for sale approximate their fair value and were no longer classified as assets and liabilities held for sale in the consolidated balance sheet as of March 31, 2023.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presents information related to the major classes of assets and liabilities that were classified as held for sale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2022</w:t>
            </w:r>
          </w:p>
        </w:tc>
      </w:tr>
      <w:tr>
        <w:trPr>
          <w:trHeight w:val="223"/>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of allowance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$1,102</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 of accumulated amortization of $3,857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r>
      <w:tr>
        <w:trPr>
          <w:trHeight w:val="230"/>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9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5,689</w:t>
            </w:r>
          </w:p>
        </w:tc>
      </w:tr>
      <w:tr>
        <w:trPr>
          <w:trHeight w:val="250"/>
        </w:trPr>
        <w:tc>
          <w:tcPr>
            <w:tcW w:w="9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trade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9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held for sale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2,909</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8—EQUITY INVESTMENT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investments in equity securities do not have a readily determinable fair value and, upon their acquisition, the Company elected the measurement alternative to value its securities. The equity securities will be carried at cost less impairment, if any, and subsequently measured to fair value upon observable price changes in an orderly transaction for the identical or similar investments with any gains or losses recorded to the consolidated statement of operations and comprehensive income.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third quarter of 2023, the Company determined there was an impairment indicator related to one of its investments in equity securities and</w:t>
      </w:r>
    </w:p>
    <w:p>
      <w:pPr>
        <w:spacing w:after="0" w:line="4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performed a valuation of the investment. Based on the valuation, the Company determined the estimated fair value was below the carrying value of the investment and recorded an impairment charge of $113.1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2023, the Company recorded an impairment charge of $1.4 million on one of its investments in equity securities.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impairments are included within other income on the consolidated statement of operations and comprehensive income. As of December 31, 2022, there had been no impairments to the acquisition cost of the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September 30,</w:t>
            </w:r>
          </w:p>
        </w:tc>
        <w:tc>
          <w:tcPr>
            <w:tcW w:w="260" w:type="dxa"/>
            <w:vAlign w:val="bottom"/>
          </w:tcPr>
          <w:p>
            <w:pPr>
              <w:spacing w:after="0"/>
              <w:rPr>
                <w:sz w:val="14"/>
                <w:szCs w:val="14"/>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27,696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10,693</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11,444</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Customer deposits and escrows</w:t>
            </w:r>
          </w:p>
        </w:tc>
        <w:tc>
          <w:tcPr>
            <w:tcW w:w="18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7,282</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7,273</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LendingTree Foundation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18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8,442</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8,513</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 and severance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2,002</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9,857</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7,965</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66,986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75,095</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7—Assets and Liabilities Held for Sale for accrued expenses and other current liabilities classified as held for 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860" w:type="dxa"/>
            <w:vAlign w:val="bottom"/>
            <w:gridSpan w:val="3"/>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520" w:type="dxa"/>
            <w:vAlign w:val="bottom"/>
            <w:gridSpan w:val="2"/>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60" w:type="dxa"/>
            <w:vAlign w:val="bottom"/>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5"/>
        </w:trPr>
        <w:tc>
          <w:tcPr>
            <w:tcW w:w="586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978"/>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98"/>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common shares</w:t>
            </w:r>
          </w:p>
        </w:tc>
        <w:tc>
          <w:tcPr>
            <w:tcW w:w="1880" w:type="dxa"/>
            <w:vAlign w:val="bottom"/>
            <w:shd w:val="clear" w:color="auto" w:fill="CCEEFF"/>
          </w:tcPr>
          <w:p>
            <w:pPr>
              <w:jc w:val="right"/>
              <w:ind w:right="538"/>
              <w:spacing w:after="0"/>
              <w:rPr>
                <w:sz w:val="20"/>
                <w:szCs w:val="20"/>
                <w:color w:val="auto"/>
              </w:rPr>
            </w:pPr>
            <w:r>
              <w:rPr>
                <w:rFonts w:ascii="Arial" w:cs="Arial" w:eastAsia="Arial" w:hAnsi="Arial"/>
                <w:sz w:val="18"/>
                <w:szCs w:val="18"/>
                <w:b w:val="1"/>
                <w:bCs w:val="1"/>
                <w:color w:val="auto"/>
              </w:rPr>
              <w:t>12,993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12,758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8"/>
              <w:spacing w:after="0"/>
              <w:rPr>
                <w:sz w:val="20"/>
                <w:szCs w:val="20"/>
                <w:color w:val="auto"/>
              </w:rPr>
            </w:pPr>
            <w:r>
              <w:rPr>
                <w:rFonts w:ascii="Arial" w:cs="Arial" w:eastAsia="Arial" w:hAnsi="Arial"/>
                <w:sz w:val="18"/>
                <w:szCs w:val="18"/>
                <w:b w:val="1"/>
                <w:bCs w:val="1"/>
                <w:color w:val="auto"/>
              </w:rPr>
              <w:t>12,919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12,794</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Effect of stock options</w:t>
            </w:r>
          </w:p>
        </w:tc>
        <w:tc>
          <w:tcPr>
            <w:tcW w:w="1880" w:type="dxa"/>
            <w:vAlign w:val="bottom"/>
          </w:tcPr>
          <w:p>
            <w:pPr>
              <w:jc w:val="right"/>
              <w:ind w:right="53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share awards</w:t>
            </w:r>
          </w:p>
        </w:tc>
        <w:tc>
          <w:tcPr>
            <w:tcW w:w="188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Weighted average diluted common shares</w:t>
            </w:r>
          </w:p>
        </w:tc>
        <w:tc>
          <w:tcPr>
            <w:tcW w:w="1880" w:type="dxa"/>
            <w:vAlign w:val="bottom"/>
            <w:tcBorders>
              <w:bottom w:val="single" w:sz="8" w:color="auto"/>
            </w:tcBorders>
          </w:tcPr>
          <w:p>
            <w:pPr>
              <w:jc w:val="right"/>
              <w:ind w:right="538"/>
              <w:spacing w:after="0"/>
              <w:rPr>
                <w:sz w:val="20"/>
                <w:szCs w:val="20"/>
                <w:color w:val="auto"/>
              </w:rPr>
            </w:pPr>
            <w:r>
              <w:rPr>
                <w:rFonts w:ascii="Arial" w:cs="Arial" w:eastAsia="Arial" w:hAnsi="Arial"/>
                <w:sz w:val="18"/>
                <w:szCs w:val="18"/>
                <w:b w:val="1"/>
                <w:bCs w:val="1"/>
                <w:color w:val="auto"/>
              </w:rPr>
              <w:t>12,993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12,758</w:t>
            </w: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12,919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12,794</w:t>
            </w:r>
          </w:p>
        </w:tc>
      </w:tr>
    </w:tbl>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third quarter and first nine months of 2023,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An immaterial amount of shares related to potentially dilutive securities were excluded from the calculation of diluted loss per share for the third quarter and first nine months of 2023 because their inclusion would have been anti-dilutive. For the third quarter of 2023, the weighted average shares that were anti-dilutive, and therefore excluded from the calculation of diluted income per share, included options to purchase 1.2 million shares of common stock and 0.5 million restricted stock units. For the first nine months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2023, the weighted average shares that were anti-dilutive, and therefore excluded from the calculation of diluted income per share, included options to purchase 1.2 million shares of common stock and 0.5 million restricted stock units.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the third quarter and first nine months of 2022,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Approximately 0.1 million and 0.2 million shares related to potentially dilutive securities were excluded from the calculation of diluted loss per share for the third quarter and first nine months of 2022, respectively, because their inclusion would have been anti-dilutive. For the third quarter of 2022, the weighted average shares that were anti-dilutive, and therefore excluded from the calculation of diluted income per share, included options to purchase 1.0 million shares of common stock and 0.5 million restricted stock units. For the first nine months of 2022, the weighted average shares that were anti-dilutive, and therefore excluded from the calculation of diluted income per share, included options to purchase 1.0 million and 0.4 million restricted stock units.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convertible notes and the warrants issued by the Company could be converted into the Company’s common stock, subject to certain contingencies. </w:t>
      </w:r>
      <w:r>
        <w:rPr>
          <w:rFonts w:ascii="Arial" w:cs="Arial" w:eastAsia="Arial" w:hAnsi="Arial"/>
          <w:sz w:val="18"/>
          <w:szCs w:val="18"/>
          <w:i w:val="1"/>
          <w:iCs w:val="1"/>
          <w:color w:val="auto"/>
        </w:rPr>
        <w:t xml:space="preserve">See </w:t>
      </w:r>
      <w:r>
        <w:rPr>
          <w:rFonts w:ascii="Arial" w:cs="Arial" w:eastAsia="Arial" w:hAnsi="Arial"/>
          <w:sz w:val="18"/>
          <w:szCs w:val="18"/>
          <w:color w:val="auto"/>
        </w:rPr>
        <w:t>Note 13—Debt for additional information. On January 1, 2022, the Company adopted ASU 2020-06 using the modified retrospective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Following the adoption, the if-converted method is used for diluted net income per share calculation of our convertible notes. Prior to the adoption of ASU 2020-06 the dilutive impact of the convertible notes was calculated using the treasury stock method.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additional information.</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Approximately 0.8 million and 1.2 million shares related to the potentially dilutive shares of the Company's common stock associated with the 0.50% Convertible Senior Notes due July 15, 2025 were excluded from the calculation of diluted loss (income) per share for the third quarter and first nine months of 2023, respectively, because their inclusion would have been anti-dilutive. Approximately 1.2 million and 2.1 million shares related to the potentially dilutive shares of the Company's common stock associated with the 0.50% Convertible Senior Notes due July 15, 2025 and the 0.625% Convertible Senior Notes due June 1, 2022 were excluded from the calculation of diluted loss per share for the third quarter and first nine months of 2022, respectively, because their inclusion would have been anti-dilutive. Shares of the Company's stock associated with the warrants issued by the Company in 2020 were excluded from the calculation of diluted loss per share for the third quarter and first nine months of 2023, and shares of the Company's stock associated with the warrants issued by the Company in 2017 and 2020 were excluded from the calculation of diluted loss per share for the third quarter and first nine months of 2022 as they were anti-dilutive since the strike price of the warrants was greater than the average market price of the Company's common stock during the relevant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each of February 2018 and February 2019, the board of directors authorized and the Company announced the repurchase of up to $100.0 million and $150.0 million, respectively, of LendingTree's common stock. During the first nine months of 2023, the Company did not repurchase shares of its common stock. During the first nine months of 2022, the Company repurchased 379,895 shares of its common stock pursuant to the stock repurchase program. At September 30, 2023, approximately $96.7 million of the previous authorizations to repurchase common stock remain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r>
      <w:tr>
        <w:trPr>
          <w:trHeight w:val="196"/>
        </w:trPr>
        <w:tc>
          <w:tcPr>
            <w:tcW w:w="49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r>
      <w:tr>
        <w:trPr>
          <w:trHeight w:val="196"/>
        </w:trPr>
        <w:tc>
          <w:tcPr>
            <w:tcW w:w="49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66</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311</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Selling and marketing expense</w:t>
            </w:r>
          </w:p>
        </w:tc>
        <w:tc>
          <w:tcPr>
            <w:tcW w:w="90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1,127</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4,207</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6,522</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5,828</w:t>
            </w: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19,721</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32,685</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90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1,571</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4,760</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6,448</w:t>
            </w:r>
          </w:p>
        </w:tc>
      </w:tr>
      <w:tr>
        <w:trPr>
          <w:trHeight w:val="22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Restructuring and severance</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1,262</w:t>
            </w:r>
          </w:p>
        </w:tc>
        <w:tc>
          <w:tcPr>
            <w:tcW w:w="6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2,328</w:t>
            </w:r>
          </w:p>
        </w:tc>
        <w:tc>
          <w:tcPr>
            <w:tcW w:w="6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non-cash compensation</w:t>
            </w:r>
          </w:p>
        </w:tc>
        <w:tc>
          <w:tcPr>
            <w:tcW w:w="9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9,854</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15,575</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31,327</w:t>
            </w:r>
          </w:p>
        </w:tc>
        <w:tc>
          <w:tcPr>
            <w:tcW w:w="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47,990</w:t>
            </w:r>
          </w:p>
        </w:tc>
      </w:tr>
      <w:tr>
        <w:trPr>
          <w:trHeight w:val="891"/>
        </w:trPr>
        <w:tc>
          <w:tcPr>
            <w:tcW w:w="4940" w:type="dxa"/>
            <w:vAlign w:val="bottom"/>
          </w:tcPr>
          <w:p>
            <w:pPr>
              <w:spacing w:after="0"/>
              <w:rPr>
                <w:sz w:val="24"/>
                <w:szCs w:val="24"/>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vMerge w:val="restart"/>
          </w:tcPr>
          <w:p>
            <w:pPr>
              <w:jc w:val="center"/>
              <w:ind w:right="378"/>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28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378"/>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440" w:type="dxa"/>
            <w:vAlign w:val="bottom"/>
          </w:tcPr>
          <w:p>
            <w:pPr>
              <w:jc w:val="center"/>
              <w:ind w:right="398"/>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8"/>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line="202"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378"/>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8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5"/>
                <w:szCs w:val="15"/>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2023</w:t>
            </w: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805,079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155.10</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(14,833)</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Arial" w:cs="Arial" w:eastAsia="Arial" w:hAnsi="Arial"/>
                <w:sz w:val="18"/>
                <w:szCs w:val="18"/>
                <w:color w:val="auto"/>
              </w:rPr>
              <w:t>124.26</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(51,042)</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color w:val="auto"/>
              </w:rPr>
              <w:t>227.94</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September 30, 2023</w:t>
            </w: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739,204</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150.69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September 30, 2023</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579,316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129.61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259"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$15.50 on the last trading day of the quarter ended September 30, 2023 and the exercise price, multiplied by the number of shares covered by in-the-money options) that would have been received by the option holder had the option holder exercised these options on September 30, 2023. The intrinsic value changes based on the market value of the Company's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vMerge w:val="restart"/>
          </w:tcPr>
          <w:p>
            <w:pPr>
              <w:jc w:val="center"/>
              <w:ind w:right="378"/>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tcPr>
          <w:p>
            <w:pPr>
              <w:jc w:val="center"/>
              <w:ind w:right="64"/>
              <w:spacing w:after="0" w:line="14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8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center"/>
              <w:ind w:right="378"/>
              <w:spacing w:after="0" w:line="135"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84"/>
              <w:spacing w:after="0" w:line="135"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with Market</w:t>
            </w:r>
          </w:p>
        </w:tc>
        <w:tc>
          <w:tcPr>
            <w:tcW w:w="320" w:type="dxa"/>
            <w:vAlign w:val="bottom"/>
          </w:tcPr>
          <w:p>
            <w:pPr>
              <w:spacing w:after="0"/>
              <w:rPr>
                <w:sz w:val="12"/>
                <w:szCs w:val="12"/>
                <w:color w:val="auto"/>
              </w:rPr>
            </w:pPr>
          </w:p>
        </w:tc>
        <w:tc>
          <w:tcPr>
            <w:tcW w:w="1440" w:type="dxa"/>
            <w:vAlign w:val="bottom"/>
          </w:tcPr>
          <w:p>
            <w:pPr>
              <w:jc w:val="center"/>
              <w:ind w:right="398"/>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7"/>
        </w:trPr>
        <w:tc>
          <w:tcPr>
            <w:tcW w:w="494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8"/>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9"/>
                <w:szCs w:val="9"/>
                <w:b w:val="1"/>
                <w:bCs w:val="1"/>
                <w:color w:val="auto"/>
                <w:w w:val="95"/>
              </w:rPr>
              <w:t>(a)</w:t>
            </w:r>
          </w:p>
        </w:tc>
        <w:tc>
          <w:tcPr>
            <w:tcW w:w="0" w:type="dxa"/>
            <w:vAlign w:val="bottom"/>
          </w:tcPr>
          <w:p>
            <w:pPr>
              <w:spacing w:after="0"/>
              <w:rPr>
                <w:sz w:val="1"/>
                <w:szCs w:val="1"/>
                <w:color w:val="auto"/>
              </w:rPr>
            </w:pPr>
          </w:p>
        </w:tc>
      </w:tr>
      <w:tr>
        <w:trPr>
          <w:trHeight w:val="182"/>
        </w:trPr>
        <w:tc>
          <w:tcPr>
            <w:tcW w:w="4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378"/>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8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5"/>
                <w:szCs w:val="15"/>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2023</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734,685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230.79</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color w:val="auto"/>
              </w:rPr>
              <w:t>308.96</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September 30, 2023</w:t>
            </w: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718,438</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229.02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September 30, 2023</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481,669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195.10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59"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$15.50 on the last trading day of the quarter ended September 30, 2023 and the exercise price, multiplied by the number of shares covered by in-the-money options) that would have been received by the option holder had the option holder exercised these options on September 30, 2023. The intrinsic value changes based on the market value of the Company's common stock.</w:t>
      </w:r>
    </w:p>
    <w:p>
      <w:pPr>
        <w:spacing w:after="0" w:line="13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As of September 30, 2023, a maximum of 395,404 shares may be earned for achieving superior performance up to 167% of the remaining unvested target number of shares. As of September 30, 2023, no additional performance-based nonqualified stock options with a market condition had been earned.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2"/>
        </w:trPr>
        <w:tc>
          <w:tcPr>
            <w:tcW w:w="7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2023</w:t>
            </w:r>
          </w:p>
        </w:tc>
        <w:tc>
          <w:tcPr>
            <w:tcW w:w="18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485,053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127.46</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390,338</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(228,262)</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(138,290)</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September 30, 2023</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508,839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67.03</w:t>
            </w:r>
          </w:p>
        </w:tc>
        <w:tc>
          <w:tcPr>
            <w:tcW w:w="0" w:type="dxa"/>
            <w:vAlign w:val="bottom"/>
          </w:tcPr>
          <w:p>
            <w:pPr>
              <w:spacing w:after="0"/>
              <w:rPr>
                <w:sz w:val="1"/>
                <w:szCs w:val="1"/>
                <w:color w:val="auto"/>
              </w:rPr>
            </w:pPr>
          </w:p>
        </w:tc>
      </w:tr>
      <w:tr>
        <w:trPr>
          <w:trHeight w:val="527"/>
        </w:trPr>
        <w:tc>
          <w:tcPr>
            <w:tcW w:w="7560" w:type="dxa"/>
            <w:vAlign w:val="bottom"/>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nonvested RSUs with performance conditions is as follows:</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560" w:type="dxa"/>
            <w:vAlign w:val="bottom"/>
          </w:tcPr>
          <w:p>
            <w:pPr>
              <w:spacing w:after="0"/>
              <w:rPr>
                <w:sz w:val="17"/>
                <w:szCs w:val="17"/>
                <w:color w:val="auto"/>
              </w:rPr>
            </w:pPr>
          </w:p>
        </w:tc>
        <w:tc>
          <w:tcPr>
            <w:tcW w:w="3680" w:type="dxa"/>
            <w:vAlign w:val="bottom"/>
            <w:gridSpan w:val="3"/>
          </w:tcPr>
          <w:p>
            <w:pPr>
              <w:jc w:val="right"/>
              <w:ind w:right="65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26"/>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2"/>
        </w:trPr>
        <w:tc>
          <w:tcPr>
            <w:tcW w:w="7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2023</w:t>
            </w:r>
          </w:p>
        </w:tc>
        <w:tc>
          <w:tcPr>
            <w:tcW w:w="18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83.25</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September 30, 2023</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2021, the Company implemented an employee stock purchase plan (“ESPP”), under which a total of 262,731 shares of the Company's common stock were reserved for issuance. As of September 30, 2023, 190,277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During the nine months ended September 30, 2023, 36,536 shares were issued under the ESPP.</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nine months ended September 30, 2023 and 2022, the Company granted employee stock purchase rights to certain employees with a grant date fair value per share of $8.53 and $20.96, respectively,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640" w:type="dxa"/>
            <w:vAlign w:val="bottom"/>
          </w:tcPr>
          <w:p>
            <w:pPr>
              <w:jc w:val="right"/>
              <w:ind w:right="38"/>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4"/>
                <w:szCs w:val="14"/>
                <w:color w:val="auto"/>
              </w:rPr>
            </w:pPr>
          </w:p>
        </w:tc>
      </w:tr>
      <w:tr>
        <w:trPr>
          <w:trHeight w:val="192"/>
        </w:trPr>
        <w:tc>
          <w:tcPr>
            <w:tcW w:w="7440" w:type="dxa"/>
            <w:vAlign w:val="bottom"/>
          </w:tcPr>
          <w:p>
            <w:pPr>
              <w:spacing w:after="0"/>
              <w:rPr>
                <w:sz w:val="16"/>
                <w:szCs w:val="16"/>
                <w:color w:val="auto"/>
              </w:rPr>
            </w:pPr>
          </w:p>
        </w:tc>
        <w:tc>
          <w:tcPr>
            <w:tcW w:w="26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Borders>
              <w:bottom w:val="single" w:sz="8" w:color="auto"/>
            </w:tcBorders>
          </w:tcPr>
          <w:p>
            <w:pPr>
              <w:spacing w:after="0"/>
              <w:rPr>
                <w:sz w:val="16"/>
                <w:szCs w:val="16"/>
                <w:color w:val="auto"/>
              </w:rPr>
            </w:pPr>
          </w:p>
        </w:tc>
      </w:tr>
      <w:tr>
        <w:trPr>
          <w:trHeight w:val="195"/>
        </w:trPr>
        <w:tc>
          <w:tcPr>
            <w:tcW w:w="7440" w:type="dxa"/>
            <w:vAlign w:val="bottom"/>
            <w:tcBorders>
              <w:bottom w:val="single" w:sz="8" w:color="CCEEFF"/>
            </w:tcBorders>
          </w:tcPr>
          <w:p>
            <w:pPr>
              <w:spacing w:after="0"/>
              <w:rPr>
                <w:sz w:val="17"/>
                <w:szCs w:val="17"/>
                <w:color w:val="auto"/>
              </w:rPr>
            </w:pPr>
          </w:p>
        </w:tc>
        <w:tc>
          <w:tcPr>
            <w:tcW w:w="2640" w:type="dxa"/>
            <w:vAlign w:val="bottom"/>
            <w:tcBorders>
              <w:bottom w:val="single" w:sz="8" w:color="auto"/>
            </w:tcBorders>
          </w:tcPr>
          <w:p>
            <w:pPr>
              <w:jc w:val="right"/>
              <w:ind w:right="1458"/>
              <w:spacing w:after="0"/>
              <w:rPr>
                <w:sz w:val="20"/>
                <w:szCs w:val="20"/>
                <w:color w:val="auto"/>
              </w:rPr>
            </w:pPr>
            <w:r>
              <w:rPr>
                <w:rFonts w:ascii="Arial" w:cs="Arial" w:eastAsia="Arial" w:hAnsi="Arial"/>
                <w:sz w:val="14"/>
                <w:szCs w:val="14"/>
                <w:b w:val="1"/>
                <w:bCs w:val="1"/>
                <w:color w:val="auto"/>
              </w:rPr>
              <w:t>2023</w:t>
            </w:r>
          </w:p>
        </w:tc>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264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rPr>
              <w:t>0.50 years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 years</w:t>
            </w:r>
          </w:p>
        </w:tc>
      </w:tr>
      <w:tr>
        <w:trPr>
          <w:trHeight w:val="230"/>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2640" w:type="dxa"/>
            <w:vAlign w:val="bottom"/>
          </w:tcPr>
          <w:p>
            <w:pPr>
              <w:jc w:val="right"/>
              <w:ind w:right="85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264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rPr>
              <w:t>82 %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49 - 73%</w:t>
            </w:r>
          </w:p>
        </w:tc>
      </w:tr>
      <w:tr>
        <w:trPr>
          <w:trHeight w:val="230"/>
        </w:trPr>
        <w:tc>
          <w:tcPr>
            <w:tcW w:w="7440" w:type="dxa"/>
            <w:vAlign w:val="bottom"/>
            <w:tcBorders>
              <w:bottom w:val="single" w:sz="8" w:color="999999"/>
            </w:tcBorders>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2640" w:type="dxa"/>
            <w:vAlign w:val="bottom"/>
            <w:tcBorders>
              <w:bottom w:val="single" w:sz="8" w:color="999999"/>
            </w:tcBorders>
          </w:tcPr>
          <w:p>
            <w:pPr>
              <w:jc w:val="right"/>
              <w:ind w:right="658"/>
              <w:spacing w:after="0"/>
              <w:rPr>
                <w:sz w:val="20"/>
                <w:szCs w:val="20"/>
                <w:color w:val="auto"/>
              </w:rPr>
            </w:pPr>
            <w:r>
              <w:rPr>
                <w:rFonts w:ascii="Arial" w:cs="Arial" w:eastAsia="Arial" w:hAnsi="Arial"/>
                <w:sz w:val="18"/>
                <w:szCs w:val="18"/>
                <w:color w:val="auto"/>
              </w:rPr>
              <w:t>4.76 - 5.50%</w:t>
            </w:r>
          </w:p>
        </w:tc>
        <w:tc>
          <w:tcPr>
            <w:tcW w:w="116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0.19 - 2.51%</w:t>
            </w:r>
          </w:p>
        </w:tc>
      </w:tr>
    </w:tbl>
    <w:p>
      <w:pPr>
        <w:spacing w:after="0" w:line="24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was calculated using the time period between the grant date and the purchase date.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dividends are expected to be paid, resulting in a zero expected dividend 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260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3"/>
              </w:rPr>
              <w:t>Nine Months Ended</w:t>
            </w:r>
          </w:p>
        </w:tc>
      </w:tr>
      <w:tr>
        <w:trPr>
          <w:trHeight w:val="196"/>
        </w:trPr>
        <w:tc>
          <w:tcPr>
            <w:tcW w:w="5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left="601"/>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182"/>
        </w:trPr>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80" w:type="dxa"/>
            <w:vAlign w:val="bottom"/>
            <w:gridSpan w:val="4"/>
          </w:tcPr>
          <w:p>
            <w:pPr>
              <w:jc w:val="right"/>
              <w:ind w:right="421"/>
              <w:spacing w:after="0"/>
              <w:rPr>
                <w:sz w:val="20"/>
                <w:szCs w:val="20"/>
                <w:color w:val="auto"/>
              </w:rPr>
            </w:pPr>
            <w:r>
              <w:rPr>
                <w:rFonts w:ascii="Arial" w:cs="Arial" w:eastAsia="Arial" w:hAnsi="Arial"/>
                <w:sz w:val="14"/>
                <w:szCs w:val="14"/>
                <w:b w:val="1"/>
                <w:bCs w:val="1"/>
                <w:i w:val="1"/>
                <w:iCs w:val="1"/>
                <w:color w:val="auto"/>
                <w:w w:val="87"/>
              </w:rPr>
              <w:t>(in thousands, except percentages)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3,534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(135,911)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2,912</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8"/>
              </w:rPr>
              <w:t>(133,954)</w:t>
            </w:r>
          </w:p>
        </w:tc>
      </w:tr>
      <w:tr>
        <w:trPr>
          <w:trHeight w:val="229"/>
        </w:trPr>
        <w:tc>
          <w:tcPr>
            <w:tcW w:w="5240" w:type="dxa"/>
            <w:vAlign w:val="bottom"/>
            <w:tcBorders>
              <w:bottom w:val="single" w:sz="8" w:color="999999"/>
            </w:tcBorders>
          </w:tcPr>
          <w:p>
            <w:pPr>
              <w:ind w:left="2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Borders>
              <w:bottom w:val="single" w:sz="8" w:color="999999"/>
            </w:tcBorders>
          </w:tcPr>
          <w:p>
            <w:pPr>
              <w:spacing w:after="0"/>
              <w:rPr>
                <w:sz w:val="19"/>
                <w:szCs w:val="19"/>
                <w:color w:val="auto"/>
              </w:rPr>
            </w:pPr>
          </w:p>
        </w:tc>
        <w:tc>
          <w:tcPr>
            <w:tcW w:w="112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2.3 %</w:t>
            </w:r>
          </w:p>
        </w:tc>
        <w:tc>
          <w:tcPr>
            <w:tcW w:w="480" w:type="dxa"/>
            <w:vAlign w:val="bottom"/>
            <w:tcBorders>
              <w:bottom w:val="single" w:sz="8" w:color="999999"/>
            </w:tcBorders>
          </w:tcPr>
          <w:p>
            <w:pPr>
              <w:spacing w:after="0"/>
              <w:rPr>
                <w:sz w:val="19"/>
                <w:szCs w:val="19"/>
                <w:color w:val="auto"/>
              </w:rPr>
            </w:pPr>
          </w:p>
        </w:tc>
        <w:tc>
          <w:tcPr>
            <w:tcW w:w="100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(596.8)%</w:t>
            </w:r>
          </w:p>
        </w:tc>
        <w:tc>
          <w:tcPr>
            <w:tcW w:w="120" w:type="dxa"/>
            <w:vAlign w:val="bottom"/>
            <w:tcBorders>
              <w:bottom w:val="single" w:sz="8" w:color="999999"/>
            </w:tcBorders>
          </w:tcPr>
          <w:p>
            <w:pPr>
              <w:spacing w:after="0"/>
              <w:rPr>
                <w:sz w:val="19"/>
                <w:szCs w:val="19"/>
                <w:color w:val="auto"/>
              </w:rPr>
            </w:pPr>
          </w:p>
        </w:tc>
        <w:tc>
          <w:tcPr>
            <w:tcW w:w="340" w:type="dxa"/>
            <w:vAlign w:val="bottom"/>
            <w:tcBorders>
              <w:bottom w:val="single" w:sz="8" w:color="999999"/>
            </w:tcBorders>
          </w:tcPr>
          <w:p>
            <w:pPr>
              <w:spacing w:after="0"/>
              <w:rPr>
                <w:sz w:val="19"/>
                <w:szCs w:val="19"/>
                <w:color w:val="auto"/>
              </w:rPr>
            </w:pPr>
          </w:p>
        </w:tc>
        <w:tc>
          <w:tcPr>
            <w:tcW w:w="1120" w:type="dxa"/>
            <w:vAlign w:val="bottom"/>
            <w:tcBorders>
              <w:bottom w:val="single" w:sz="8" w:color="999999"/>
            </w:tcBorders>
          </w:tcPr>
          <w:p>
            <w:pPr>
              <w:jc w:val="right"/>
              <w:ind w:right="1"/>
              <w:spacing w:after="0"/>
              <w:rPr>
                <w:sz w:val="20"/>
                <w:szCs w:val="20"/>
                <w:color w:val="auto"/>
              </w:rPr>
            </w:pPr>
            <w:r>
              <w:rPr>
                <w:rFonts w:ascii="Arial" w:cs="Arial" w:eastAsia="Arial" w:hAnsi="Arial"/>
                <w:sz w:val="18"/>
                <w:szCs w:val="18"/>
                <w:i w:val="1"/>
                <w:iCs w:val="1"/>
                <w:color w:val="auto"/>
              </w:rPr>
              <w:t>2.1 %</w:t>
            </w:r>
          </w:p>
        </w:tc>
        <w:tc>
          <w:tcPr>
            <w:tcW w:w="520" w:type="dxa"/>
            <w:vAlign w:val="bottom"/>
            <w:tcBorders>
              <w:bottom w:val="single" w:sz="8" w:color="999999"/>
            </w:tcBorders>
          </w:tcPr>
          <w:p>
            <w:pPr>
              <w:spacing w:after="0"/>
              <w:rPr>
                <w:sz w:val="19"/>
                <w:szCs w:val="19"/>
                <w:color w:val="auto"/>
              </w:rPr>
            </w:pPr>
          </w:p>
        </w:tc>
        <w:tc>
          <w:tcPr>
            <w:tcW w:w="96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(307.3)%</w:t>
            </w:r>
          </w:p>
        </w:tc>
      </w:tr>
    </w:tbl>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third quarter and first nine months of 2023, the effective tax rate varied from the federal statutory rate of 21% primarily due to the change in the valuation allowance, net of the current period change in tax effected net indefinite-lived intangibles. For the third quarter and first nine months of 2022, the effective tax rate varied from the federal statutory rate of 21% primarily due to expense of $139.7 million to record a full valuation allowance against the Company's net deferred tax assets, excess tax expense of $1.8 million and $4.7 million, respectively, resulting from vesting of restricted stock in accordance with ASU 2016-09 and the effect of state taxes.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a valuation allowance against the net deferred tax assets, with the exception of the net deferred tax liabilities that result from indefinite-life intangibles. At September 30, 2022, the Company recorded a net deferred tax asset of zero as the cumulative net deferred tax asset had a full valuation on it and there was not enough positive evidence that would warrant recognizing the benefit of the net deferred tax asset. In addition, the net indefinite lived deferred tax items were determined to be a net liability resulting in the recognition of a deferred tax liability.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4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300" w:type="dxa"/>
            <w:vAlign w:val="bottom"/>
            <w:gridSpan w:val="3"/>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182"/>
        </w:trPr>
        <w:tc>
          <w:tcPr>
            <w:tcW w:w="5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5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Income tax benefit - excluding excess tax expense on stock compensation</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8"/>
              </w:rPr>
              <w:t>3,534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2,912</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Income tax expense from valuation allowance</w:t>
            </w:r>
          </w:p>
        </w:tc>
        <w:tc>
          <w:tcPr>
            <w:tcW w:w="82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(139,670)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(139,670)</w:t>
            </w:r>
          </w:p>
        </w:tc>
      </w:tr>
      <w:tr>
        <w:trPr>
          <w:trHeight w:val="23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Excess tax expense on stock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r>
      <w:tr>
        <w:trPr>
          <w:trHeight w:val="23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 (expense)</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8"/>
              </w:rPr>
              <w:t>3,534</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(135,911)</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2,912</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(133,954)</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24, 2020, the Company issued $575.0 million aggregate principal amount of its 0.50% Convertible Senior Notes due July 15, 2025 (the “2025 Notes”) in a private placement. The 2025 Notes bear interest at a rate of 0.50% per year, payable semi-annually on January 15 and July 15 of each year, beginning on January 15, 2021. The 2025 Notes will mature on July 15, 2025, unless earlier repurchased, redeemed or converted. The initial conversion rate of the 2025 Notes is 2.1683 shares of the Company's common stock per $1,000 principal amount of 2025 Notes (which is equivalent to an initial conversion price of approximately $461.19 per share).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8, 2023, the Company repurchased approximately $190.6 million in principal amount of its 2025 Notes, through individual privately-negotiated transactions with certain holders of the 2025 Notes, for $156.3 million in cash plus accrued and unpaid interest of approximately $0.1 million. In the first quarter of 2023, the Company recognized a gain on the extinguishment of debt of $34.3 million, a loss on the write-off of unamortized debt issuance costs of $2.4 million and incurred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repayment costs of $1.0 million, all of which are included in interest income/expense, net in the consolidated statements of operations and comprehensive income.</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Holders of the 2025 Notes were not entitled to convert the 2025 Notes during the calendar quarter ended September 30, 2023 as the last reported sale price of the Company's common stock, for at least 20 trading days (whether or not consecutive) during the period of 30 consecutive trading days ending on June 30, 2023, was not greater than or equal to 130% of the conversion price of the 2025 Notes on each applicable trading day.</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nine months of 2023, the Company recorded interest expense on the 2025 Notes of $3.3 million which consisted of $1.6 million associated with the 0.50% coupon rate and $1.7 million associated with the amortization of the debt issuance costs. In the first nine months of 2022, the Company recorded interest expense on the 2025 Notes of $4.4 million which consisted of $2.1 million associated with the 0.50% coupon rate and $2.3 million associated with the amortization of the debt issuance costs.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2023, the fair value of the 2025 Notes is estimated to be approximately $306.6 million using the Level 1 observable input of the last quoted market price on September 30, 2023.</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summary of the gross carrying amount, debt issuance costs, and net carrying value of the 2025 Notes, all of which is recorded as a non-current liability in the September 30, 2023 consolidated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3"/>
              </w:rPr>
              <w:t>September 30,</w:t>
            </w:r>
          </w:p>
        </w:tc>
        <w:tc>
          <w:tcPr>
            <w:tcW w:w="260" w:type="dxa"/>
            <w:vAlign w:val="bottom"/>
          </w:tcPr>
          <w:p>
            <w:pPr>
              <w:spacing w:after="0"/>
              <w:rPr>
                <w:sz w:val="14"/>
                <w:szCs w:val="14"/>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384,398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3,649</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380,749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567,266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"2022 Notes") in a private placement. In the first nine months of 2022, the Company recorded interest expense on the 2022 Notes of $0.8 million which consisted of $0.4 million associated with the 0.625% coupon rate and $0.4 million associated with the amortization of the debt issuance costs. The 2022 Notes were fully settled in June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24, 2020, in connection with the issuance of the 2025 Notes, the Company entered into Convertible Note Hedge (the “2020 Hedge”) and warrant transactions with respect to the Company’s common stock.</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2025 Notes.</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March 8, 2023 repurchases of the 2025 Notes noted above, the Company entered into agreements with the counterparties for the 2020 Hedge and 2020 Warrants transactions to terminate a portion of these call spread transactions effective March 8, 2023 in notional amounts corresponding to the principal amount of the 2025 Notes repurchased.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such termination, the outstanding portion of the 2020 Hedge covers 0.8 million shares of the Company's common stock and 2020 Warrants to acquire 0.8 million shares of the Company's common stock remain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15, 2021, the Company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2023, the Company had $247.5 million of borrowings outstanding under the Term Loan Facility bearing interest at the SOFR option rate of 9.2% and had no borrowings under the Revolving Facility. As of December 31, 2022, the Company had $248.8 million of borrowings outstanding under the Credit Facility and no borrowings under the Revolving Facility. As of September 30, 2023, borrowings of $2.5 million under the Term Loan Facility are recorded as current portion of long-term debt on the consolidated balance sheet.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each of September 30, 2023 and December 31, 2022, the Company had outstanding one letter of credit issued in the amount of $0.2 million.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covenants at September 30, 2023.</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nine months of 2023, the Company recorded interest expense related to its Revolving Facility of $1.1 million which consisted of $0.4 million in unused commitment fees and $0.7 million associated with the amortization of the debt issuance costs. In the first nine months of 2023, the Company recorded interest expense related to the Term Loan Facility of $16.4 million associated with borrowings bearing interest at the LIBO rate during the first six months of 2023 and the SOFR option rate in the third quarter of 2023.</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nine months of 2022, the Company recorded interest expense related to its Revolving Facility of $1.1 million which consisted of $0.4 million in unused commitment fees, and $0.7 million associated with the amortization of the debt issuance costs. In the first nine months of 2022, the Company recorded interest expense related to the Term Loan Facility of $13.5 million which consisted of $4.9 million associated with borrowings bearing interest at the LIBO rate, $5.1 million in unused commitment fees, $2.0 million associated with the amortization of the debt issuance costs, and $1.5 million associated with the amortization of the original issue discount.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14,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2023 and December 31, 2022, the Company had litigation settlement accruals of $0.6 million and $0.1 million, respectively. The litigation settlement accruals relate to litigation matters that were either settled or a firm offer for settlement was extended, thereby establishing an accrual amount that is both probable and reasonably estimable.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MEASUREMENTS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Other than the convertible notes and warrants, as well as the equity interests, the carrying amounts of the Company's financial instruments are equal to fair value at September 30, 2023.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13—Debt for additional information on the convertible notes and warrants.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Home segment includes the following products: purchase mortgage, refinance mortgage, and home equity loans and lines of credit. The Company ceased offering reverse mortgage loans in the fourth quarter of 2022. The Consumer segment includes the following products: credit cards, personal loans, small business loans, student loans, auto loans, deposit accounts, and other credit products such as credit repair and debt settlement. The credit repair business was closed at the end of the second quarter of 2023. The Insurance segment consists of insurance quote products and sales of insurance policies in the agency businesses.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center"/>
              <w:ind w:left="83"/>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2"/>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54,536</w:t>
            </w: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155,188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32,826</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31,177</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86,119</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11,295</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34,427</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23,359</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69,069</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7,570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11,125</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26,380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10,840</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4,760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38,600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and severance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(33,992)</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(7,097)</w:t>
            </w: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(110,910)</w:t>
            </w: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(151,999)</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center"/>
              <w:ind w:left="123"/>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2"/>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64,927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102,661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70,231</w:t>
            </w:r>
          </w:p>
        </w:tc>
        <w:tc>
          <w:tcPr>
            <w:tcW w:w="820" w:type="dxa"/>
            <w:vAlign w:val="bottom"/>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237,836</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40,810</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56,868</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47,663</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145,569</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24,117</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45,793</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22,568</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(211)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92,267</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14,105</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31,306</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39,540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14,043</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5,274</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6,582</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(18,576)</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(5,720)</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w:t>
            </w:r>
          </w:p>
        </w:tc>
      </w:tr>
      <w:tr>
        <w:trPr>
          <w:trHeight w:val="23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(22,773)</w:t>
            </w:r>
          </w:p>
        </w:tc>
      </w:tr>
      <w:tr>
        <w:trPr>
          <w:trHeight w:val="690"/>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4"/>
          </w:tcPr>
          <w:p>
            <w:pPr>
              <w:jc w:val="center"/>
              <w:ind w:left="143"/>
              <w:spacing w:after="0"/>
              <w:rPr>
                <w:sz w:val="20"/>
                <w:szCs w:val="20"/>
                <w:color w:val="auto"/>
              </w:rPr>
            </w:pPr>
            <w:r>
              <w:rPr>
                <w:rFonts w:ascii="Arial" w:cs="Arial" w:eastAsia="Arial" w:hAnsi="Arial"/>
                <w:sz w:val="14"/>
                <w:szCs w:val="14"/>
                <w:b w:val="1"/>
                <w:bCs w:val="1"/>
                <w:color w:val="auto"/>
                <w:w w:val="93"/>
              </w:rPr>
              <w:t>Nine Months Ended September 30, 2023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2"/>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118,628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229,439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190,016</w:t>
            </w:r>
          </w:p>
        </w:tc>
        <w:tc>
          <w:tcPr>
            <w:tcW w:w="820" w:type="dxa"/>
            <w:vAlign w:val="bottom"/>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538,149</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78,878</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119,466</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111,754</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310,614</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39,750</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109,973</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78,262</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(450)</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227,535</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30,632</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39,806</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92,223</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36,096</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14,239</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38,600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and severance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(40,390)</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Interest income,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10,992</w:t>
            </w: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(108,637)</w:t>
            </w: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(138,035)</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center"/>
              <w:ind w:left="143"/>
              <w:spacing w:after="0"/>
              <w:rPr>
                <w:sz w:val="20"/>
                <w:szCs w:val="20"/>
                <w:color w:val="auto"/>
              </w:rPr>
            </w:pPr>
            <w:r>
              <w:rPr>
                <w:rFonts w:ascii="Arial" w:cs="Arial" w:eastAsia="Arial" w:hAnsi="Arial"/>
                <w:sz w:val="14"/>
                <w:szCs w:val="14"/>
                <w:b w:val="1"/>
                <w:bCs w:val="1"/>
                <w:color w:val="auto"/>
                <w:w w:val="93"/>
              </w:rPr>
              <w:t>Nine Months Ended September 30, 2022</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2"/>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240,809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309,873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232,025</w:t>
            </w:r>
          </w:p>
        </w:tc>
        <w:tc>
          <w:tcPr>
            <w:tcW w:w="820" w:type="dxa"/>
            <w:vAlign w:val="bottom"/>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230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782,937</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154,043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176,985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165,770</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643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497,441</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86,766</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132,888</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66,255</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(413)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285,496</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44,240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68,128</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115,808</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42,413</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15,024</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21,574</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(25,410)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(19,990)</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(43,594)</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17—RESTRUCTURING ACTIVITIES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September 2023, the Company completed workforce reductions of approximately 12 employees. The Company estimates that it will incur approximately $0.9 million in severance charges in connection with the workforce reductions, consisting of cash expenditures for employee separation costs of approximately $0.7 million in the third quarter of 2023 and non-cash charges for the accelerated vesting of certain equity awards of approximately $0.2 million through the fourth quarter of 2023. The cash payments are expected to be substantially completed by the third quarter of 2024.</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6, 2023, the Company made the decision to close the Ovation credit services business ( the "Ovation Closure".) The Ovation Closure includes the elimination of approximately 197 employees, or 18%, of the Company's current workforce. As a result of the Ovation Closure, the Company incurred $2.1 million in restructuring expense in connection with cash expenditures for employee separation costs. The Ovation Closure, including cash payments, is expected to be completed by the first quarter of 2024.</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24, 2023, the Company committed to a workforce reduction plan (the “Reduction Plan”), to reduce operating costs. The Reduction Plan includes the elimination of approximately 162 employees, or 13%, of the Company’s current workforce. As a result of the Reduction Plan, the Company estimates that it will incur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incurred restructuring expense of $4.3 million in the first quarter of 2023 and an additional $1.0 million of restructuring expense in the second quarter of 2023 related to the Reduction Plan. The Reduction Plan, including cash payments, is expected to be substantially completed by the end of the second quarter of 2024.</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2022, the Company completed workforce reductions in each of the first, second, and fourth quarters of approximately 75 employees, 25 employees, and 50 employees, respectively. In the first nine months of 2022, the Company incurred total expense of $3.8 million consisting of employee separation costs of $2.7 million and non-cash compensation expense of $1.1 million due to the accelerated vesting of certain equity awards. All employee separation costs for 2022 actions are expected to be paid by the fourth quarter of 2023.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Accrued Balance at</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Payments</w:t>
            </w:r>
          </w:p>
        </w:tc>
        <w:tc>
          <w:tcPr>
            <w:tcW w:w="320" w:type="dxa"/>
            <w:vAlign w:val="bottom"/>
          </w:tcPr>
          <w:p>
            <w:pPr>
              <w:spacing w:after="0"/>
              <w:rPr>
                <w:sz w:val="14"/>
                <w:szCs w:val="14"/>
                <w:color w:val="auto"/>
              </w:rPr>
            </w:pPr>
          </w:p>
        </w:tc>
        <w:tc>
          <w:tcPr>
            <w:tcW w:w="13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Non-Cash</w:t>
            </w:r>
          </w:p>
        </w:tc>
        <w:tc>
          <w:tcPr>
            <w:tcW w:w="180" w:type="dxa"/>
            <w:vAlign w:val="bottom"/>
          </w:tcPr>
          <w:p>
            <w:pPr>
              <w:spacing w:after="0"/>
              <w:rPr>
                <w:sz w:val="14"/>
                <w:szCs w:val="14"/>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3"/>
              </w:rPr>
              <w:t>Accrued Balance at</w:t>
            </w:r>
          </w:p>
        </w:tc>
        <w:tc>
          <w:tcPr>
            <w:tcW w:w="0" w:type="dxa"/>
            <w:vAlign w:val="bottom"/>
          </w:tcPr>
          <w:p>
            <w:pPr>
              <w:spacing w:after="0"/>
              <w:rPr>
                <w:sz w:val="1"/>
                <w:szCs w:val="1"/>
                <w:color w:val="auto"/>
              </w:rPr>
            </w:pPr>
          </w:p>
        </w:tc>
      </w:tr>
      <w:tr>
        <w:trPr>
          <w:trHeight w:val="197"/>
        </w:trPr>
        <w:tc>
          <w:tcPr>
            <w:tcW w:w="2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December 31, 2022    Income Statement Impact</w:t>
            </w:r>
          </w:p>
        </w:tc>
        <w:tc>
          <w:tcPr>
            <w:tcW w:w="3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September 30, 2023</w:t>
            </w:r>
          </w:p>
        </w:tc>
        <w:tc>
          <w:tcPr>
            <w:tcW w:w="0" w:type="dxa"/>
            <w:vAlign w:val="bottom"/>
          </w:tcPr>
          <w:p>
            <w:pPr>
              <w:spacing w:after="0"/>
              <w:rPr>
                <w:sz w:val="1"/>
                <w:szCs w:val="1"/>
                <w:color w:val="auto"/>
              </w:rPr>
            </w:pPr>
          </w:p>
        </w:tc>
      </w:tr>
      <w:tr>
        <w:trPr>
          <w:trHeight w:val="235"/>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Q3 2023 action</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140"/>
              <w:spacing w:after="0"/>
              <w:rPr>
                <w:sz w:val="20"/>
                <w:szCs w:val="20"/>
                <w:color w:val="auto"/>
              </w:rPr>
            </w:pPr>
            <w:r>
              <w:rPr>
                <w:rFonts w:ascii="Arial" w:cs="Arial" w:eastAsia="Arial" w:hAnsi="Arial"/>
                <w:sz w:val="18"/>
                <w:szCs w:val="18"/>
                <w:color w:val="auto"/>
                <w:w w:val="99"/>
              </w:rPr>
              <w:t>Employee separation payments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43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654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ind w:left="108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compensation</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Q2 2023 action</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Employee separation payments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Q1 2023 action</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Employee separation payments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Non-cash compensation</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1,066</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(1,066)</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 action</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Employee separation payments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w:t>
            </w:r>
          </w:p>
        </w:tc>
        <w:tc>
          <w:tcPr>
            <w:tcW w:w="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(5,808)</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on Form 10-Q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Annual Report on Form 10-K for the year ended December 31, 2022 (the "2022 Annual Report").</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Other unknown or unpredictable factors that could also adversely affect our business, financial condition and results of operations may arise from time to time. In light of these risks and uncertainties, the forward-looking statements discussed in this Quarterly Report on Form 10-Q may not prove to be accurate. Accordingly, you should not place undue reliance on these forward-looking statements, which only reflect the views of LendingTree, Inc.'s management as of the date of this Quarterly Report on Form 10-Q. We undertake no obligation to update or revise forward-looking statements to reflect changed assumptions, the occurrence of unanticipated events or changes to future operating results or expectations, except as required by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solutions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student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5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Our LendingTree Spring</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platform (previously MyLendingTree)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continue to monitor the current global economic environment, specifically including inflationary pressures and interest rates, and any resulting impacts on our financial position and results of operations. Refer to Part I, Item 1A. “Risk Factors” of our 2022 Annual Report for additional information.</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2023, the challenging interest rate environment and inflationary pressures have continued to present challenges for many of our mortgage lending and insurance partners. In our Home segment, mortgage rates have remained relatively consistent in the third quarter of 2023 compared to the fourth quarter of 2022, but nearly doubled compared to the first quarter of 2022. The significant increases in mortgage rates caused a sharp decline in refinance volumes and are putting pressure on purchase activity. In our Insurance segment, demand from our carrier partners remains volatile as they continue to deal with persistent industry headwinds.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January 2022, we acquired an equity interest in EarnUp for $15.0 million. EarnUp is a consumer-first mortgage payment platform that intelligently automates loan payment scheduling and helps consumers better manage their money and improve their financial well-being.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office is located on approximately 176,000 square feet of office space in Charlotte, North Carolina under an approximate 15-year lease that contractually commenced in the second quarter of 2021.</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With our expansion in North Carolina, in December 2016, we received a grant from the state that provides up to $4.9 million in reimbursements through 2029 beginning in 2017 for investing in real estate and infrastructure in addition to increasing jobs in North Carolina at specific targeted levels through 2021, and maintaining the jobs thereafter. We have received approximately $0.7 million related to the December 2016 grants. If we are unable to maintain the specified target levels, our ability to earn further reimbursements could be limited.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an aggregate amount up to $8.4 million in reimbursements through 2032 beginning in 2021 for increasing jobs in North Carolina at specific targeted levels through 2024, and maintaining the jobs thereafter. We have currently not met the specified target levels set forth in the December 2018 grant and may not realize any reimbursements from this grant.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0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Freddie Mac, 30-year mortgage interest rates increased from a monthly average of 6.36% in December 2022 to a monthly average of 7.20% in September 2023. On a quarterly basis, 30-year mortgage interest rates in the third quarter of 2023 averaged 7.04%, compared to 5.58% in the third quarter of 2022 and 6.69% in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increased to 18% of total mortgage origination dollars in the third quarter of 2023 compared to 17% in the fourth quarter of 2022 but decreased from 19% in the third quarter of 2022. In the third quarter of 2023, total refinance origination dollars increased 19% from the fourth quarter of 2022 and decreased 15% from the third quarter of 2022. Industry-wide mortgage origination dollars in the third quarter of 2023 increased 9% from the fourth quarter of 2022 and decreased 10% from third quarter of 2022.</w:t>
      </w:r>
    </w:p>
    <w:p>
      <w:pPr>
        <w:spacing w:after="0" w:line="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According to MBA projections, the mix of mortgage origination dollars is expected to continue to be weighted towards purchase mortgages with the refinance share representing approximately 19% for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Fannie Mae data, existing home sales decreased 4% in the third quarter of 2023 compared to the fourth quarter of 2022, and decreased 16% compared to the third quarter of 2022. Fannie Mae predicts an overall decrease in existing-home sales of approximately 18% in 2023 compared to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Spring</w:t>
      </w:r>
      <w:r>
        <w:rPr>
          <w:rFonts w:ascii="Arial" w:cs="Arial" w:eastAsia="Arial" w:hAnsi="Arial"/>
          <w:sz w:val="23"/>
          <w:szCs w:val="23"/>
          <w:b w:val="1"/>
          <w:bCs w:val="1"/>
          <w:color w:val="auto"/>
          <w:vertAlign w:val="superscript"/>
        </w:rPr>
        <w:t>TM</w:t>
      </w:r>
      <w:r>
        <w:rPr>
          <w:rFonts w:ascii="Arial" w:cs="Arial" w:eastAsia="Arial" w:hAnsi="Arial"/>
          <w:sz w:val="18"/>
          <w:szCs w:val="18"/>
          <w:b w:val="1"/>
          <w:bCs w:val="1"/>
          <w:color w:val="auto"/>
        </w:rPr>
        <w:t xml:space="preserve"> (previously MyLendingTree)</w:t>
      </w:r>
    </w:p>
    <w:p>
      <w:pPr>
        <w:spacing w:after="0" w:line="11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We consider certain metrics related to LendingTree Spring</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("Spring") set forth below to help us evaluate our business and growth trends and assess operational efficiencies. The calculation of the metrics discussed below may differ from other similarly titled metrics used by other companies, securities analysts or investors.</w:t>
      </w:r>
    </w:p>
    <w:p>
      <w:pPr>
        <w:spacing w:after="0" w:line="14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continued to grow our user base and added 0.7 million new users in the third quarter of 2023, bringing cumulative sign-ups to 27.6 million at September 30, 2023. We attribute $21 million of revenue in the third quarter of 2023 to registered to Spring members across the LendingTree platform.</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focus on improving the Spring experience for consumers remains a top priority. Becoming an integrated digital advisor will greatly improve the consumer experience, which we expect to result in higher levels of engagement, improved membership growth rates, and ultimately stronger 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Reductions and Simplification of Business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September 2023, we completed workforce reductions of approximately 12 employees. We estimate that we will incur approximately $0.9 million in severance charges in connection with the workforce reductions, consisting of cash expenditures for employee separation costs of approximately $0.7 million in the third quarter of 2023 and non-cash charges for the accelerated vesting of certain equity awards of approximately $0.2 million through the fourth quarter of 2023.</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24, 2023, we committed to a workforce reduction plan (the “Reduction Plan”), to reduce operating costs, which included the elimination of approximately 13% of the Company’s workforce. As a result of the Reduction Plan, we expect to incur approximately $5.3 million in severance charges in connection with the workforce reduction, $4.3 million of which was incurred in the first quarter of 2023 and $1.0 million was incurred in the second quarter of 2023. Part of this Reduction Plan included the shut down of our LendingTree customer call center as well as our Medicare insurance agency operations within QuoteWizard. We anticipate the Reduction Plan will reduce annual compensation expense by approximately $14 million, comprised of $2 million in cost of revenue, $4 million in selling and marketing expense, $3 million in general and administrative expense, and $5 million in product development.</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Separately, we made the decision to close our Ovation credit services business, an asset group within our Consumer segment, by mid- 2023. As a result, the Company recorded an asset impairment charge of $4.2 million in the first quarter of 2023 related to the write-off of certain long-term assets. Additionally, we incurred $2.1 million in severance charges in the second quarter of 2023 in connection with cash expenditures for employee separation costs. We acquired Ovation in 2018 to better serve those customers who come to LendingTree and receive suboptimal offers of credit. The business grew for a number of years before running into challenges in the wake of COVID-19, and more recently the industry has faced increased regulatory pressure. The business is capital-intensive, requires elevated overhead, and future prospects were becoming uncertain.</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Ovation business accounted for approximately 3% of total revenue and 3% of total costs and expenses, with an immaterial impact to net income on the consolidated statement of operations and comprehensive income (loss)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2023 and 2022</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jc w:val="center"/>
              <w:ind w:left="499"/>
              <w:spacing w:after="0"/>
              <w:rPr>
                <w:sz w:val="20"/>
                <w:szCs w:val="20"/>
                <w:color w:val="auto"/>
              </w:rPr>
            </w:pPr>
            <w:r>
              <w:rPr>
                <w:rFonts w:ascii="Arial" w:cs="Arial" w:eastAsia="Arial" w:hAnsi="Arial"/>
                <w:sz w:val="16"/>
                <w:szCs w:val="16"/>
                <w:b w:val="1"/>
                <w:bCs w:val="1"/>
                <w:color w:val="auto"/>
                <w:w w:val="91"/>
              </w:rPr>
              <w:t>Nine Months Ended 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1"/>
                <w:szCs w:val="11"/>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1"/>
                <w:szCs w:val="11"/>
                <w:color w:val="auto"/>
              </w:rPr>
            </w:pPr>
          </w:p>
        </w:tc>
        <w:tc>
          <w:tcPr>
            <w:tcW w:w="1080" w:type="dxa"/>
            <w:vAlign w:val="bottom"/>
          </w:tcPr>
          <w:p>
            <w:pPr>
              <w:jc w:val="right"/>
              <w:ind w:right="660"/>
              <w:spacing w:after="0" w:line="132"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381"/>
              <w:spacing w:after="0" w:line="13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1"/>
                <w:szCs w:val="11"/>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1"/>
                <w:szCs w:val="11"/>
                <w:color w:val="auto"/>
              </w:rPr>
            </w:pPr>
          </w:p>
        </w:tc>
        <w:tc>
          <w:tcPr>
            <w:tcW w:w="1100" w:type="dxa"/>
            <w:vAlign w:val="bottom"/>
          </w:tcPr>
          <w:p>
            <w:pPr>
              <w:jc w:val="right"/>
              <w:ind w:right="680"/>
              <w:spacing w:after="0" w:line="132"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00"/>
              <w:spacing w:after="0" w:line="13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gridSpan w:val="4"/>
          </w:tcPr>
          <w:p>
            <w:pPr>
              <w:jc w:val="right"/>
              <w:ind w:right="399"/>
              <w:spacing w:after="0"/>
              <w:rPr>
                <w:sz w:val="20"/>
                <w:szCs w:val="20"/>
                <w:color w:val="auto"/>
              </w:rPr>
            </w:pPr>
            <w:r>
              <w:rPr>
                <w:rFonts w:ascii="Arial" w:cs="Arial" w:eastAsia="Arial" w:hAnsi="Arial"/>
                <w:sz w:val="13"/>
                <w:szCs w:val="13"/>
                <w:b w:val="1"/>
                <w:bCs w:val="1"/>
                <w:i w:val="1"/>
                <w:iCs w:val="1"/>
                <w:color w:val="auto"/>
                <w:w w:val="99"/>
              </w:rPr>
              <w:t>(Dollars in thousands)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64,927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(31,537)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118,628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240,809</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(122,181)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67,253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102,661</w:t>
            </w:r>
          </w:p>
        </w:tc>
        <w:tc>
          <w:tcPr>
            <w:tcW w:w="160" w:type="dxa"/>
            <w:vAlign w:val="bottom"/>
          </w:tcPr>
          <w:p>
            <w:pPr>
              <w:spacing w:after="0"/>
              <w:rPr>
                <w:sz w:val="18"/>
                <w:szCs w:val="18"/>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(35,408)</w:t>
            </w:r>
          </w:p>
        </w:tc>
        <w:tc>
          <w:tcPr>
            <w:tcW w:w="78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229,439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309,873</w:t>
            </w:r>
          </w:p>
        </w:tc>
        <w:tc>
          <w:tcPr>
            <w:tcW w:w="160" w:type="dxa"/>
            <w:vAlign w:val="bottom"/>
          </w:tcPr>
          <w:p>
            <w:pPr>
              <w:spacing w:after="0"/>
              <w:rPr>
                <w:sz w:val="18"/>
                <w:szCs w:val="18"/>
                <w:color w:val="auto"/>
              </w:rPr>
            </w:pP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(80,434)</w:t>
            </w:r>
          </w:p>
        </w:tc>
        <w:tc>
          <w:tcPr>
            <w:tcW w:w="78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70,231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(15,695)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190,016</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232,025</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(42,009)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(164)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155,188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237,836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(82,648)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538,149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782,937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(244,788)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 xml:space="preserve">Cost of revenue </w:t>
            </w:r>
            <w:r>
              <w:rPr>
                <w:rFonts w:ascii="Arial" w:cs="Arial" w:eastAsia="Arial" w:hAnsi="Arial"/>
                <w:sz w:val="16"/>
                <w:szCs w:val="16"/>
                <w:i w:val="1"/>
                <w:iCs w:val="1"/>
                <w:color w:val="auto"/>
                <w:w w:val="95"/>
              </w:rPr>
              <w:t>(exclusive of depreciation</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7,570</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14,105</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(6,535)</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30,632</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44,240</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(13,608)</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w w:val="95"/>
              </w:rPr>
              <w:t>and amortization shown separately below)</w:t>
            </w: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Selling and marketing expense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97,244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176,875</w:t>
            </w:r>
          </w:p>
        </w:tc>
        <w:tc>
          <w:tcPr>
            <w:tcW w:w="160" w:type="dxa"/>
            <w:vAlign w:val="bottom"/>
          </w:tcPr>
          <w:p>
            <w:pPr>
              <w:spacing w:after="0"/>
              <w:rPr>
                <w:sz w:val="18"/>
                <w:szCs w:val="18"/>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(79,631)</w:t>
            </w:r>
          </w:p>
        </w:tc>
        <w:tc>
          <w:tcPr>
            <w:tcW w:w="78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350,420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565,569</w:t>
            </w:r>
          </w:p>
        </w:tc>
        <w:tc>
          <w:tcPr>
            <w:tcW w:w="160" w:type="dxa"/>
            <w:vAlign w:val="bottom"/>
          </w:tcPr>
          <w:p>
            <w:pPr>
              <w:spacing w:after="0"/>
              <w:rPr>
                <w:sz w:val="18"/>
                <w:szCs w:val="18"/>
                <w:color w:val="auto"/>
              </w:rPr>
            </w:pP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(215,149)</w:t>
            </w:r>
          </w:p>
        </w:tc>
        <w:tc>
          <w:tcPr>
            <w:tcW w:w="78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26,380</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(13,160)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115,808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(23,585)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10,840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14,043</w:t>
            </w:r>
          </w:p>
        </w:tc>
        <w:tc>
          <w:tcPr>
            <w:tcW w:w="160" w:type="dxa"/>
            <w:vAlign w:val="bottom"/>
          </w:tcPr>
          <w:p>
            <w:pPr>
              <w:spacing w:after="0"/>
              <w:rPr>
                <w:sz w:val="18"/>
                <w:szCs w:val="18"/>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(3,203)</w:t>
            </w:r>
          </w:p>
        </w:tc>
        <w:tc>
          <w:tcPr>
            <w:tcW w:w="78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36,096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42,413</w:t>
            </w:r>
          </w:p>
        </w:tc>
        <w:tc>
          <w:tcPr>
            <w:tcW w:w="160" w:type="dxa"/>
            <w:vAlign w:val="bottom"/>
          </w:tcPr>
          <w:p>
            <w:pPr>
              <w:spacing w:after="0"/>
              <w:rPr>
                <w:sz w:val="18"/>
                <w:szCs w:val="18"/>
                <w:color w:val="auto"/>
              </w:rPr>
            </w:pP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(6,317)</w:t>
            </w:r>
          </w:p>
        </w:tc>
        <w:tc>
          <w:tcPr>
            <w:tcW w:w="78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(514)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14,239</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15,024</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(785)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Amortization of intangibles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6,582</w:t>
            </w:r>
          </w:p>
        </w:tc>
        <w:tc>
          <w:tcPr>
            <w:tcW w:w="160" w:type="dxa"/>
            <w:vAlign w:val="bottom"/>
          </w:tcPr>
          <w:p>
            <w:pPr>
              <w:spacing w:after="0"/>
              <w:rPr>
                <w:sz w:val="18"/>
                <w:szCs w:val="18"/>
                <w:color w:val="auto"/>
              </w:rPr>
            </w:pP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(4,601)</w:t>
            </w:r>
          </w:p>
        </w:tc>
        <w:tc>
          <w:tcPr>
            <w:tcW w:w="780" w:type="dxa"/>
            <w:vAlign w:val="bottom"/>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6,012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21,574</w:t>
            </w:r>
          </w:p>
        </w:tc>
        <w:tc>
          <w:tcPr>
            <w:tcW w:w="160" w:type="dxa"/>
            <w:vAlign w:val="bottom"/>
          </w:tcPr>
          <w:p>
            <w:pPr>
              <w:spacing w:after="0"/>
              <w:rPr>
                <w:sz w:val="18"/>
                <w:szCs w:val="18"/>
                <w:color w:val="auto"/>
              </w:rPr>
            </w:pPr>
          </w:p>
        </w:tc>
        <w:tc>
          <w:tcPr>
            <w:tcW w:w="1100" w:type="dxa"/>
            <w:vAlign w:val="bottom"/>
          </w:tcPr>
          <w:p>
            <w:pPr>
              <w:jc w:val="right"/>
              <w:ind w:right="260"/>
              <w:spacing w:after="0"/>
              <w:rPr>
                <w:sz w:val="20"/>
                <w:szCs w:val="20"/>
                <w:color w:val="auto"/>
              </w:rPr>
            </w:pPr>
            <w:r>
              <w:rPr>
                <w:rFonts w:ascii="Arial" w:cs="Arial" w:eastAsia="Arial" w:hAnsi="Arial"/>
                <w:sz w:val="16"/>
                <w:szCs w:val="16"/>
                <w:color w:val="auto"/>
              </w:rPr>
              <w:t>(15,562)</w:t>
            </w:r>
          </w:p>
        </w:tc>
        <w:tc>
          <w:tcPr>
            <w:tcW w:w="780" w:type="dxa"/>
            <w:vAlign w:val="bottom"/>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impairment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38,600</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38,600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38,600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38,600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Restructuring and severance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1,955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1,955</w:t>
            </w:r>
          </w:p>
        </w:tc>
        <w:tc>
          <w:tcPr>
            <w:tcW w:w="78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9,967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3,760</w:t>
            </w:r>
          </w:p>
        </w:tc>
        <w:tc>
          <w:tcPr>
            <w:tcW w:w="160" w:type="dxa"/>
            <w:vAlign w:val="bottom"/>
          </w:tcPr>
          <w:p>
            <w:pPr>
              <w:spacing w:after="0"/>
              <w:rPr>
                <w:sz w:val="18"/>
                <w:szCs w:val="18"/>
                <w:color w:val="auto"/>
              </w:rPr>
            </w:pP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6,207</w:t>
            </w:r>
          </w:p>
        </w:tc>
        <w:tc>
          <w:tcPr>
            <w:tcW w:w="780" w:type="dxa"/>
            <w:vAlign w:val="bottom"/>
          </w:tcPr>
          <w:p>
            <w:pPr>
              <w:jc w:val="right"/>
              <w:spacing w:after="0"/>
              <w:rPr>
                <w:sz w:val="20"/>
                <w:szCs w:val="20"/>
                <w:color w:val="auto"/>
              </w:rPr>
            </w:pPr>
            <w:r>
              <w:rPr>
                <w:rFonts w:ascii="Arial" w:cs="Arial" w:eastAsia="Arial" w:hAnsi="Arial"/>
                <w:sz w:val="16"/>
                <w:szCs w:val="16"/>
                <w:color w:val="auto"/>
              </w:rPr>
              <w:t>165 %</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(143)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 %</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391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954 %</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costs and expenses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189,180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256,412</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(67,232)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578,539</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808,347</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(229,808)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(33,992)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(18,576)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(15,416)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(40,390)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(25,410)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(14,980)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income,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(1,377)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(19,990)</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30,982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(expense) income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(110,910)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(112,433)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(7,382) %</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(108,637)</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(110,443)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(6,115) %</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(151,999)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(22,773)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(129,226)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(138,035)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(43,594)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(94,441)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3,534</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(135,911)</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139,445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103 %</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(133,954)</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136,866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and comprehensive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(148,465)</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(158,684)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10,219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6 %</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(135,123)</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(177,548)</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42,425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decreased in the third quarter and first nine months of 2023 compared to the third quarter and first nine months of 2022 due to decreases in our Home, Consumer, and Insurance segments.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decreased $35.4 million, or 34%, in the third quarter of 2023 from the third quarter of 2022, and decreased $80.4 million, or 26%, in the first nine months of 2023 from the first nine months of 2022 primarily due to decreases in our personal loans, credit cards, and small business.</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from our personal loans product decreased $11.2 million, or 30%, to $26.5 million in the third quarter of 2023 from $37.7 million in the third quarter of 2022, and decreased $36.9 million, or 32%, to $78.3 million in the first nine months of 2023 from $115.2 million in the first nine months of 2022 primarily due to a decrease in the number of consumers completing request forms and in revenue earned per consumer.</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our credit cards product decreased $9.7 million, or 40%, to $14.6 million in the third quarter of 2023 from $24.3 million in the third quarter of 2022 and decreased $27.5 million, or 34%, to $53.9 million in the first nine months of 2023 compared to $81.4 million in the first nine months of 2022, primarily due to a decrease in the number of consumer clicks and in revenue earned per click.</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periods presented, no other products in our Consumer segment represented more than 10% of revenue; however, certain other Consumer products experienced notable changes. Revenue from our small business loans product decreased $4.5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million, or 28%, in the third quarter of 2023 compared to the third quarter of 2022, primarily due to a decrease in revenue earned per consumer. Revenue from our small business loans produced decreased $10.5 million, or 20%, in the first nine months of 2023 compared to the first nine months of 2022, primarily due to a decrease in the number of consumers completing request forms and a decrease in revenue earner per consumer. Revenue from our credit products decreased $5.7 million or 53% in the third quarter of 2023 compared to the third quarter of 2022 primarily due to the closure of our Ovation credit services business at the end of the second quarter of 2023.</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Home segment includes the following products: purchase mortgage, refinance mortgage, and home equity loans and lines of credit. We ceased offering reverse mortgage loans in the fourth quarter of 2022. Revenue from our Home segment decreased $31.5 million, or 49%, in the third quarter of 2023 from the third quarter of 2022, and decreased $122.2 million, or 51%, in the first nine months of 2023 from the first nine months of 2022 primarily due to decreases in revenue from our refinance and purchase mortgage products.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Revenue from our mortgage products decreased $21.2 million, or 61%, to $13.3 million in the third quarter of 2023 from $34.5 million in the third quarter of 2022, and decreased $107.3 million, or 68%, to $49.5 million in the first nine months of 2023 from $156.9 million in the first nine months of 2022. Revenue from our refinance mortgage product decreased $10.2 million in the third quarter of 2023 compared to the third quarter of 2022 and decreased $78.2 million in the first nine months of 2023 compared to the first nine months of 2022 due to a decrease in the number of consumers completing request forms and a decrease in revenue earned per consumer, as interest rates have risen. Revenue from our purchase mortgage product decreased $11.1 million in the third quarter of 2023 compared to the third quarter of 2022, and decreased $29.1 million in the first nine months of 2023 compared to the first nine months of 2022 primarily due to a decrease in the number of consumers completing request forms and a decrease in revenue earned per consumer. Revenue from our home equity loans product decreased $8.9 million, or 31%, to $20.1 million in the third quarter of 2023 from $29.0 million in the third quarter of 2022, and decreased $11.4 million, or 14%, to $69.1 million in the first nine months of 2023 from $80.5 million in the first nine months of 2022 primarily due to a decrease in revenue earned per consumer.</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our Insurance segment decreased $15.7 million, or 22%, to $54.5 million in the third quarter of 2023 from $70.2 million in the third quarter of 2022, and decreased $42.0 million, or 18%, to $190.0 million in the first nine months of 2023 from $232.0 million in the first nine months of 2022, primarily due to a decrease in revenue earned per consumer.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revenue decreased in the third quarter of 2023 from the third quarter of 2022, primarily due to a decrease in compensation and benefits of $4.9 million. Cost of revenue decreased in the first nine months of 2023 from the first nine months of 2022 primarily due to a decrease in compensation and benefits of $9.1 million, and a decrease in website network hosting and server hosting fees of $2.2 million and a decrease in customer service fees of $1.1 million. The decreases in the third quarter and first nine months are primarily due to the Reduction Plan at the end of the first quarter of 2023, including shutting down the LendingTree customer call center.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as a percentage of revenue decreased to 5% in the third quarter of 2023 compared to 6% in the third quarter of 2022, and remained consistent at 6% in the first nine months of 2023 and 2022.</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and marketing expense decreased in the third quarter of 2023 compared to the third quarter 2022 by $79.6 million, and decreased $215.1 million in the first nine months of 2023 compared to the first nine months of 2022 primarily due to the changes in advertising and promotional expense discussed below. Additionally, compensation and benefits decreased $3.9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in the third quarter of 2023 compared to the third quarter of 2022 and decreased $9.6 million in the first nine months of 2023 compared to the first nine months of 2022.</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1"/>
                <w:szCs w:val="11"/>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080" w:type="dxa"/>
            <w:vAlign w:val="bottom"/>
          </w:tcPr>
          <w:p>
            <w:pPr>
              <w:jc w:val="right"/>
              <w:ind w:right="636"/>
              <w:spacing w:after="0" w:line="12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424"/>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1"/>
                <w:szCs w:val="11"/>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080" w:type="dxa"/>
            <w:vAlign w:val="bottom"/>
          </w:tcPr>
          <w:p>
            <w:pPr>
              <w:jc w:val="right"/>
              <w:ind w:right="636"/>
              <w:spacing w:after="0" w:line="129"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4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8"/>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40" w:type="dxa"/>
            <w:vAlign w:val="bottom"/>
            <w:gridSpan w:val="4"/>
          </w:tcPr>
          <w:p>
            <w:pPr>
              <w:jc w:val="right"/>
              <w:ind w:right="374"/>
              <w:spacing w:after="0"/>
              <w:rPr>
                <w:sz w:val="20"/>
                <w:szCs w:val="20"/>
                <w:color w:val="auto"/>
              </w:rPr>
            </w:pPr>
            <w:r>
              <w:rPr>
                <w:rFonts w:ascii="Arial" w:cs="Arial" w:eastAsia="Arial" w:hAnsi="Arial"/>
                <w:sz w:val="13"/>
                <w:szCs w:val="13"/>
                <w:b w:val="1"/>
                <w:bCs w:val="1"/>
                <w:i w:val="1"/>
                <w:iCs w:val="1"/>
                <w:color w:val="auto"/>
              </w:rPr>
              <w:t>(Dollars in thousands)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Online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86,524</w:t>
            </w:r>
          </w:p>
        </w:tc>
        <w:tc>
          <w:tcPr>
            <w:tcW w:w="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145,478</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(58,954)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311,598</w:t>
            </w: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495,662</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(184,064)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15,152</w:t>
            </w:r>
          </w:p>
        </w:tc>
        <w:tc>
          <w:tcPr>
            <w:tcW w:w="220" w:type="dxa"/>
            <w:vAlign w:val="bottom"/>
          </w:tcPr>
          <w:p>
            <w:pPr>
              <w:spacing w:after="0"/>
              <w:rPr>
                <w:sz w:val="19"/>
                <w:szCs w:val="19"/>
                <w:color w:val="auto"/>
              </w:rPr>
            </w:pPr>
          </w:p>
        </w:tc>
        <w:tc>
          <w:tcPr>
            <w:tcW w:w="1080" w:type="dxa"/>
            <w:vAlign w:val="bottom"/>
          </w:tcPr>
          <w:p>
            <w:pPr>
              <w:jc w:val="right"/>
              <w:ind w:right="196"/>
              <w:spacing w:after="0"/>
              <w:rPr>
                <w:sz w:val="20"/>
                <w:szCs w:val="20"/>
                <w:color w:val="auto"/>
              </w:rPr>
            </w:pPr>
            <w:r>
              <w:rPr>
                <w:rFonts w:ascii="Arial" w:cs="Arial" w:eastAsia="Arial" w:hAnsi="Arial"/>
                <w:sz w:val="18"/>
                <w:szCs w:val="18"/>
                <w:color w:val="auto"/>
              </w:rPr>
              <w:t>(15,091)</w:t>
            </w:r>
          </w:p>
        </w:tc>
        <w:tc>
          <w:tcPr>
            <w:tcW w:w="92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16,762</w:t>
            </w:r>
          </w:p>
        </w:tc>
        <w:tc>
          <w:tcPr>
            <w:tcW w:w="220" w:type="dxa"/>
            <w:vAlign w:val="bottom"/>
          </w:tcPr>
          <w:p>
            <w:pPr>
              <w:spacing w:after="0"/>
              <w:rPr>
                <w:sz w:val="19"/>
                <w:szCs w:val="19"/>
                <w:color w:val="auto"/>
              </w:rPr>
            </w:pPr>
          </w:p>
        </w:tc>
        <w:tc>
          <w:tcPr>
            <w:tcW w:w="1080" w:type="dxa"/>
            <w:vAlign w:val="bottom"/>
          </w:tcPr>
          <w:p>
            <w:pPr>
              <w:jc w:val="right"/>
              <w:ind w:right="176"/>
              <w:spacing w:after="0"/>
              <w:rPr>
                <w:sz w:val="20"/>
                <w:szCs w:val="20"/>
                <w:color w:val="auto"/>
              </w:rPr>
            </w:pPr>
            <w:r>
              <w:rPr>
                <w:rFonts w:ascii="Arial" w:cs="Arial" w:eastAsia="Arial" w:hAnsi="Arial"/>
                <w:sz w:val="18"/>
                <w:szCs w:val="18"/>
                <w:color w:val="auto"/>
              </w:rPr>
              <w:t>(16,481)</w:t>
            </w:r>
          </w:p>
        </w:tc>
        <w:tc>
          <w:tcPr>
            <w:tcW w:w="960" w:type="dxa"/>
            <w:vAlign w:val="bottom"/>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(1,660)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(5,031)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87,439</w:t>
            </w:r>
          </w:p>
        </w:tc>
        <w:tc>
          <w:tcPr>
            <w:tcW w:w="2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163,144</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(75,705)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317,796</w:t>
            </w:r>
          </w:p>
        </w:tc>
        <w:tc>
          <w:tcPr>
            <w:tcW w:w="2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523,372</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(205,576)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periods presented, advertising and promotional expenses are equivalent to the non-GAAP measure variable marketing expense. </w:t>
      </w:r>
      <w:r>
        <w:rPr>
          <w:rFonts w:ascii="Arial" w:cs="Arial" w:eastAsia="Arial" w:hAnsi="Arial"/>
          <w:sz w:val="18"/>
          <w:szCs w:val="18"/>
          <w:i w:val="1"/>
          <w:iCs w:val="1"/>
          <w:color w:val="auto"/>
        </w:rPr>
        <w:t>See</w:t>
      </w:r>
      <w:r>
        <w:rPr>
          <w:rFonts w:ascii="Arial" w:cs="Arial" w:eastAsia="Arial" w:hAnsi="Arial"/>
          <w:sz w:val="18"/>
          <w:szCs w:val="18"/>
          <w:color w:val="auto"/>
        </w:rPr>
        <w:t xml:space="preserve"> Variable Marketing Expense and Variable Marketing Margin below for additional information.</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adjusted our advertising expenditures in the third quarter and first nine months of 2023 compared to the third quarter and first nine months of 2022 in response to changes in Network Partner demand on our marketplace. We will continue to adjust selling and marketing expenditures dynamically in response to anticipated revenue opportunities.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 decreased in the third quarter of 2023 from the third quarter of 2022 primarily due to a decrease in compensation and benefits of $7.2 million, and decreases in professional fees, technology costs, fees and other charges and loss on assets of $1.9 million, $0.8 million, $0.8 million, and $0.7 million, respectively. General and administrative expense decreased in the first nine months of 2023 from the first nine months of 2022 primarily due to a decrease in compensation and benefits of $14.8 million, a decrease in facilities expenses of $2.2 million, a decrease in franchise tax expense of $1.5 million, and a decrease in technology of $1.5 million. We incurred a $4.2 million loss on the impairment of assets for our Ovation business in the first quarter of 2023.</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remained consistent at 17% in the third quarter of 2023 and the third quarter of 2022, and increased to 17% in the first nine months of 2023 compared to 15% in the first nine months of 2022.</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Product development expense decreased in the third quarter and first nine months of 2023 compared to the third quarter and first nine months of 2022 primarily due to the Reduction Plan at the end of the first quarter of 2023. We continued to invest in internal development of new and enhanced features, functionality and business opportunities that we believe will enable us to better and more fully serve consumers and Network Partners.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amortization of intangibles in the third quarter and first nine months of 2023 compared to the third quarter and first nine months of 2022 was primarily due to certain intangible assets associated with our recent business acquisitions becoming fully amortized.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 impairment</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In the third quarter of 2023, we incurred a goodwill impairment charge of $38.6 million in our Insurance reporting unit.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6 - Goodwill and Intangible Assets for additional information.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and severance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September 2023, we completed workforce reductions of approximately 12 employees. We estimate that we will incur approximately $0.9 million in severance charges in connection with the workforce reductions, consisting of cash expenditures for employee separation costs of approximately $0.7 million in the third quarter of 2023 and non-cash charges for the accelerated vesting of certain equity awards of approximately $0.2 million through the fourth quarter of 2023. We anticipate the cash payments for separation costs will be completed by the third quarter of 2024.</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24, 2023, we committed to the Reduction Plan to reduce operating costs, which included the elimination of approximately 13% of the Company’s workforce. As a result of the Reduction Plan, we estimate that we will incur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incurred restructuring expense of $4.3 million in the first quarter of 2023 and an additional $1.0 million of restructuring expense in the second quarter of 2023 related to the Reduction Plan. We anticipate that the execution of the Reduction Plan, including cash payments, will be completed by the end of the second quarter of 2024.</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made the decision to close the Ovation credit services business by mid-2023 and all operations ceased in August 2023. We incurred $2.1 million of restructuring expense related to the Ovation closure in the second quarter of 2023 in connection with cash expenditures for employee separation costs. We anticipate the cash payments for separation costs will be completed by the first quarter of 2024.</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2022, we completed a workforce reduction of approximately 75 employees and in the second quarter of 2022 completed a workforce reduction of approximately 25 employees. We incurred total expense of $3.8 million in the first nine months of 2022 related to these actions, consisting of employee separation costs of $2.7 million and non-cash compensation expense of $1.1 million due to the accelerated vesting of certain equity awards.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income/expense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the first quarter of 2023, we repurchased approximately $190.6 million in principal amount of our 0.50% Convertible Senior Notes due July 15, 2025 (the "2025 Notes") for $156.3 million plus accrued and unpaid interest of approximately $0.1 million. As a result of the repurchase, we recognized a gain on the extinguishment of $34.3 million, a loss on the write-off of unamortized debt issuance costs of $2.4 million, and incurred debt repayment costs of $1.0 million, all of which are included in interest income/expense, net in the consolidated statements of operations and comprehensive income.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third quarter of 2023, we incurred an impairment charge of $113.1 million related to an investment in equity securities.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8 - Equity Investment for additional information.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third quarter and first nine months of 2023, the effective tax rate varied from the federal statutory rate of 21% primarily due to the change in the valuation allowance, net of the current period change in tax effected net indefinite-lived intangibles.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third quarter and first nine months of 2022, the effective tax rate varied from the federal statutory rate of 21% primarily due to expense of $139.7 million to record a full valuation allowance against our net deferred tax assets, excess tax expense of $1.8 million and $4.7 million, respectively, resulting from vesting of restricted stock in accordance with Accounting Standards Update 2016-09 and the effect of state taxes.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Profit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94"/>
              </w:rPr>
              <w:t>Three Months Ended September 30,</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2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5"/>
              </w:rPr>
              <w:t>Nine Months Ended September 30,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1"/>
                <w:szCs w:val="11"/>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120" w:type="dxa"/>
            <w:vAlign w:val="bottom"/>
          </w:tcPr>
          <w:p>
            <w:pPr>
              <w:jc w:val="right"/>
              <w:ind w:right="675"/>
              <w:spacing w:after="0" w:line="12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38"/>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1"/>
                <w:szCs w:val="11"/>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040" w:type="dxa"/>
            <w:vAlign w:val="bottom"/>
          </w:tcPr>
          <w:p>
            <w:pPr>
              <w:jc w:val="right"/>
              <w:ind w:right="595"/>
              <w:spacing w:after="0" w:line="12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55"/>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60" w:type="dxa"/>
            <w:vAlign w:val="bottom"/>
            <w:gridSpan w:val="5"/>
          </w:tcPr>
          <w:p>
            <w:pPr>
              <w:jc w:val="center"/>
              <w:spacing w:after="0"/>
              <w:rPr>
                <w:sz w:val="20"/>
                <w:szCs w:val="20"/>
                <w:color w:val="auto"/>
              </w:rPr>
            </w:pPr>
            <w:r>
              <w:rPr>
                <w:rFonts w:ascii="Arial" w:cs="Arial" w:eastAsia="Arial" w:hAnsi="Arial"/>
                <w:sz w:val="13"/>
                <w:szCs w:val="13"/>
                <w:b w:val="1"/>
                <w:bCs w:val="1"/>
                <w:i w:val="1"/>
                <w:iCs w:val="1"/>
                <w:color w:val="auto"/>
                <w:w w:val="84"/>
              </w:rPr>
              <w:t>(Dollars in thousands)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(12,822)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39,750</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(47,016)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34,427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45,793</w:t>
            </w:r>
          </w:p>
        </w:tc>
        <w:tc>
          <w:tcPr>
            <w:tcW w:w="220" w:type="dxa"/>
            <w:vAlign w:val="bottom"/>
          </w:tcPr>
          <w:p>
            <w:pPr>
              <w:spacing w:after="0"/>
              <w:rPr>
                <w:sz w:val="19"/>
                <w:szCs w:val="19"/>
                <w:color w:val="auto"/>
              </w:rPr>
            </w:pPr>
          </w:p>
        </w:tc>
        <w:tc>
          <w:tcPr>
            <w:tcW w:w="1120" w:type="dxa"/>
            <w:vAlign w:val="bottom"/>
          </w:tcPr>
          <w:p>
            <w:pPr>
              <w:jc w:val="right"/>
              <w:ind w:right="195"/>
              <w:spacing w:after="0"/>
              <w:rPr>
                <w:sz w:val="20"/>
                <w:szCs w:val="20"/>
                <w:color w:val="auto"/>
              </w:rPr>
            </w:pPr>
            <w:r>
              <w:rPr>
                <w:rFonts w:ascii="Arial" w:cs="Arial" w:eastAsia="Arial" w:hAnsi="Arial"/>
                <w:sz w:val="18"/>
                <w:szCs w:val="18"/>
                <w:color w:val="auto"/>
              </w:rPr>
              <w:t>(11,366)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109,973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132,888</w:t>
            </w:r>
          </w:p>
        </w:tc>
        <w:tc>
          <w:tcPr>
            <w:tcW w:w="22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(22,915)</w:t>
            </w:r>
          </w:p>
        </w:tc>
        <w:tc>
          <w:tcPr>
            <w:tcW w:w="10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23,359</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12,007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2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199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69,069</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92,267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(23,198)</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227,535</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285,496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(57,961)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 Segment Information in the notes to the consolidated financial statements for additional information on segments and a reconciliation of segment profit to pre-tax income.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Home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Home segment revenue of $33.4 million in the third quarter of 2023 decreased 49% from the third quarter of 2022 and segment profit of $11.3 million in the third quarter of 2023 decreased 53% from the third quarter of 2022. Lower close rates at our lenders increased their cost per funded loan, which in-turn pressures our revenue per consumer. Lower competition for digital advertising, which causes lower cost per lead, helped offset most of our drop in pricing to generate a 34% segment margin in the third quarter of 2023, a decrease from 37% in the third quarter of 2022. We continue to focus on driving cost per lead lower to improve efficiency while maintaining quality for our partners.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Home equity revenue of $20.1 million in the third quarter of 2023 decreased $8.9 million from $29.0 million in the third quarter of 2022. The Prime benchmark rate for home equity loans has climbed to 8.5% and is a typical rate for high quality borrowers, while lower credit score consumers expect to pay an additional mark-up. Although this cost of debt is lower than a personal loan or credit card, it still adds significant interest expense burden. As a result, we have seen customer demand for home equity loans recede the last few months. Home equity loans remain the best opportunity for our lenders given the environment.</w:t>
      </w:r>
    </w:p>
    <w:p>
      <w:pPr>
        <w:spacing w:after="0" w:line="120"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color w:val="auto"/>
        </w:rPr>
        <w:t>Ultimately, we believe the housing market will need to experience some combination of lower interest rates, lower home prices or more for sale inventory before the Home segment can sustainably improve performance</w:t>
      </w:r>
      <w:r>
        <w:rPr>
          <w:rFonts w:ascii="Arial" w:cs="Arial" w:eastAsia="Arial" w:hAnsi="Arial"/>
          <w:sz w:val="19"/>
          <w:szCs w:val="19"/>
          <w:color w:val="auto"/>
        </w:rPr>
        <w: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Consumer</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Consumer segment revenue of $67.3 million in the third quarter of 2023 decreased 34% from the third quarter of 2022, and segment profit of $34.4 million decreased 25%. Segment margin improved to 51% in the third quarter of 2023 compared to 45% in the third quarter of 2022.</w:t>
      </w:r>
    </w:p>
    <w:p>
      <w:pPr>
        <w:spacing w:after="0" w:line="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Personal loans revenue of $26.5 million in the third quarter of 2023 decreased 30% from the third quarter of 2022. We saw close rates decline modestly during the quarter and expect this trend to continue in the fourth quarter of 2023 partially due to normal seasonality, but also as some lenders on our network have proactively tightened underwriting criteria further with the resumption of student loan payments in October 2023. We are in the midst of multiple platform migrations that we believe will enable more customization and optimization of personal lender offers on our platform.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Small business revenue decreased 28% in the third quarter of 2023 from the third quarter of 2022. A continuation of lower close rates due to tighter credit requirements at lenders remains the key headwind for the business. Not surprisingly, lenders are favoring business owners that have been operating for several years, have strong annual revenue generation and high credit scores. Competition for these borrowers remains strong, as does the cost to attract them to our platform. We have been working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several initiatives to solidify the business given the weaker economic backdrop. We have enhanced our application form by adding a connection to a third-party service provider to enrich the applicant’s data for lenders, added new lenders to our network to expand coverage, and have continued rightsizing affiliate partners based on cost and quality.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card revenue of $14.6 million in the third quarter of 2023 decreased 40% from the third quarter of 2022. We have been strategic with our marketing spend and have optimized our landing pages following our Lightspeed implementation, our new credit card tech platform, to improve redirect and approval rate performance.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Insurance revenue of $54.5 million in the third quarter of 2023 decreased 22% from the third quarter of 2022, however, segment profit of $23.4 million in the third quarter of 2023 increased 4% from the third quarter of 2022. Our carrier partners have been asking for and receiving successive price increases across most states over the last two years, as persistent loss cost inflation negatively impacted underwriting results. Recent commentary from carriers has been optimistic regarding marketing budgets as we enter 2024. The positive impact from premium increases on loss ratios, combined with broad declines in used car prices and other components of auto loss cost, may help our record volume of customers searching for auto insurance find an increasingly competitive partner marketplace moving into next year.</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Segment margin improved to 43% in the third quarter of 2023, an increase of 11 points from a 32% segment margin in the third quarter of 2022. We have maintained our focus on efficiency and adapting to changing carrier needs throughout this difficult market cycle. These efforts helped us control costs and improve quality despite industry profitability challenges.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third quarter of 2023, aggressive shopping from consumers resulted in all time high volume. We are encouraged by our ability to drive significant margin improvement and attract record consumer traffic. Coupled with the encouraging outlook from our carrier partners, we believe the business is well positioned to generate improved financial performance as we move into next year.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Variable Marketing Expense and Variable Marketing Margin</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report variable marketing expense and variable marketing margin as supplemental measures to accounting principles generally accepted in the United States of America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6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(loss). Variable marketing margin is defined as revenue less variable marketing expense.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the calculation of variable marketing margin: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12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0"/>
        </w:trPr>
        <w:tc>
          <w:tcPr>
            <w:tcW w:w="3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820" w:type="dxa"/>
            <w:vAlign w:val="bottom"/>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780" w:type="dxa"/>
            <w:vAlign w:val="bottom"/>
          </w:tcPr>
          <w:p>
            <w:pPr>
              <w:jc w:val="right"/>
              <w:ind w:right="375"/>
              <w:spacing w:after="0"/>
              <w:rPr>
                <w:sz w:val="20"/>
                <w:szCs w:val="20"/>
                <w:color w:val="auto"/>
              </w:rPr>
            </w:pPr>
            <w:r>
              <w:rPr>
                <w:rFonts w:ascii="Arial" w:cs="Arial" w:eastAsia="Arial" w:hAnsi="Arial"/>
                <w:sz w:val="14"/>
                <w:szCs w:val="14"/>
                <w:b w:val="1"/>
                <w:bCs w:val="1"/>
                <w:color w:val="auto"/>
                <w:w w:val="96"/>
              </w:rPr>
              <w:t>2022</w:t>
            </w:r>
          </w:p>
        </w:tc>
      </w:tr>
      <w:tr>
        <w:trPr>
          <w:trHeight w:val="25"/>
        </w:trPr>
        <w:tc>
          <w:tcPr>
            <w:tcW w:w="3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6"/>
        </w:trPr>
        <w:tc>
          <w:tcPr>
            <w:tcW w:w="3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3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2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155,188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538,149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782,937</w:t>
            </w:r>
          </w:p>
        </w:tc>
      </w:tr>
      <w:tr>
        <w:trPr>
          <w:trHeight w:val="229"/>
        </w:trPr>
        <w:tc>
          <w:tcPr>
            <w:tcW w:w="3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Variable marketing expense</w:t>
            </w:r>
          </w:p>
        </w:tc>
        <w:tc>
          <w:tcPr>
            <w:tcW w:w="2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87,439</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317,796</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523,372</w:t>
            </w:r>
          </w:p>
        </w:tc>
      </w:tr>
      <w:tr>
        <w:trPr>
          <w:trHeight w:val="230"/>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Variable marketing margin</w:t>
            </w:r>
          </w:p>
        </w:tc>
        <w:tc>
          <w:tcPr>
            <w:tcW w:w="24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67,749</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74,692</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220,353</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259,565</w:t>
            </w:r>
          </w:p>
        </w:tc>
      </w:tr>
      <w:tr>
        <w:trPr>
          <w:trHeight w:val="904"/>
        </w:trPr>
        <w:tc>
          <w:tcPr>
            <w:tcW w:w="3840" w:type="dxa"/>
            <w:vAlign w:val="bottom"/>
          </w:tcPr>
          <w:p>
            <w:pPr>
              <w:spacing w:after="0"/>
              <w:rPr>
                <w:sz w:val="24"/>
                <w:szCs w:val="24"/>
                <w:color w:val="auto"/>
              </w:rPr>
            </w:pPr>
          </w:p>
        </w:tc>
        <w:tc>
          <w:tcPr>
            <w:tcW w:w="218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selling and marketing expense, the most directly comparable GAAP measure, to variable marketing expense: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2120" w:type="dxa"/>
            <w:vAlign w:val="bottom"/>
            <w:gridSpan w:val="3"/>
          </w:tcPr>
          <w:p>
            <w:pPr>
              <w:jc w:val="center"/>
              <w:ind w:right="315"/>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r>
      <w:tr>
        <w:trPr>
          <w:trHeight w:val="190"/>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780" w:type="dxa"/>
            <w:vAlign w:val="bottom"/>
          </w:tcPr>
          <w:p>
            <w:pPr>
              <w:jc w:val="right"/>
              <w:ind w:right="375"/>
              <w:spacing w:after="0"/>
              <w:rPr>
                <w:sz w:val="20"/>
                <w:szCs w:val="20"/>
                <w:color w:val="auto"/>
              </w:rPr>
            </w:pPr>
            <w:r>
              <w:rPr>
                <w:rFonts w:ascii="Arial" w:cs="Arial" w:eastAsia="Arial" w:hAnsi="Arial"/>
                <w:sz w:val="14"/>
                <w:szCs w:val="14"/>
                <w:b w:val="1"/>
                <w:bCs w:val="1"/>
                <w:color w:val="auto"/>
                <w:w w:val="96"/>
              </w:rPr>
              <w:t>2022</w:t>
            </w:r>
          </w:p>
        </w:tc>
      </w:tr>
      <w:tr>
        <w:trPr>
          <w:trHeight w:val="26"/>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6"/>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gridSpan w:val="3"/>
          </w:tcPr>
          <w:p>
            <w:pPr>
              <w:ind w:left="400"/>
              <w:spacing w:after="0"/>
              <w:rPr>
                <w:sz w:val="20"/>
                <w:szCs w:val="20"/>
                <w:color w:val="auto"/>
              </w:rPr>
            </w:pPr>
            <w:r>
              <w:rPr>
                <w:rFonts w:ascii="Arial" w:cs="Arial" w:eastAsia="Arial" w:hAnsi="Arial"/>
                <w:sz w:val="14"/>
                <w:szCs w:val="14"/>
                <w:b w:val="1"/>
                <w:bCs w:val="1"/>
                <w:i w:val="1"/>
                <w:iCs w:val="1"/>
                <w:color w:val="auto"/>
                <w:w w:val="93"/>
              </w:rPr>
              <w:t>(in thousands)</w:t>
            </w: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97,244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176,875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350,420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565,569</w:t>
            </w:r>
          </w:p>
        </w:tc>
      </w:tr>
      <w:tr>
        <w:trPr>
          <w:trHeight w:val="229"/>
        </w:trPr>
        <w:tc>
          <w:tcPr>
            <w:tcW w:w="6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Non-variable selling and marketing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(9,805)</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(13,731)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(32,624)</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2"/>
              </w:rPr>
              <w:t>(42,197)</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Variable marketing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87,439</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8"/>
              </w:rPr>
              <w:t>163,144</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317,796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523,372</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net loss, the most directly comparable GAAP measure, to variable marketing margin: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16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4"/>
                <w:szCs w:val="14"/>
                <w:b w:val="1"/>
                <w:bCs w:val="1"/>
                <w:color w:val="auto"/>
              </w:rPr>
              <w:t>September 30,</w:t>
            </w:r>
          </w:p>
        </w:tc>
      </w:tr>
      <w:tr>
        <w:trPr>
          <w:trHeight w:val="190"/>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8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6"/>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6"/>
        </w:trPr>
        <w:tc>
          <w:tcPr>
            <w:tcW w:w="6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(148,465)</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0"/>
              </w:rPr>
              <w:t>(158,684)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90"/>
              </w:rPr>
              <w:t>(135,123)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(177,548)</w:t>
            </w:r>
          </w:p>
        </w:tc>
      </w:tr>
      <w:tr>
        <w:trPr>
          <w:trHeight w:val="257"/>
        </w:trPr>
        <w:tc>
          <w:tcPr>
            <w:tcW w:w="6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variable marketing margin: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7,570</w:t>
            </w:r>
          </w:p>
        </w:tc>
        <w:tc>
          <w:tcPr>
            <w:tcW w:w="5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30,632</w:t>
            </w: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44,240</w:t>
            </w:r>
          </w:p>
        </w:tc>
      </w:tr>
      <w:tr>
        <w:trPr>
          <w:trHeight w:val="230"/>
        </w:trPr>
        <w:tc>
          <w:tcPr>
            <w:tcW w:w="60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Non-variable selling and marketing expense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9,805</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32,624</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42,197</w:t>
            </w: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26,380</w:t>
            </w:r>
          </w:p>
        </w:tc>
        <w:tc>
          <w:tcPr>
            <w:tcW w:w="5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39,540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92,223</w:t>
            </w: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115,808</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10,840</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36,096</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42,413</w:t>
            </w: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4,760</w:t>
            </w:r>
          </w:p>
        </w:tc>
        <w:tc>
          <w:tcPr>
            <w:tcW w:w="5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14,239</w:t>
            </w: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15,024</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1,981</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6,012</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21,574</w:t>
            </w: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38,600</w:t>
            </w:r>
          </w:p>
        </w:tc>
        <w:tc>
          <w:tcPr>
            <w:tcW w:w="5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38,600</w:t>
            </w: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severance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1,955</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9,967</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3,760</w:t>
            </w: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Litigation settlements and contingencies</w:t>
            </w:r>
          </w:p>
        </w:tc>
        <w:tc>
          <w:tcPr>
            <w:tcW w:w="26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(150)</w:t>
            </w:r>
          </w:p>
        </w:tc>
        <w:tc>
          <w:tcPr>
            <w:tcW w:w="5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(income),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7,097</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(10,992)</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19,990</w:t>
            </w: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110,910</w:t>
            </w:r>
          </w:p>
        </w:tc>
        <w:tc>
          <w:tcPr>
            <w:tcW w:w="5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108,637</w:t>
            </w: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(1,806)</w:t>
            </w: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(3,534)</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135,911</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(2,912)</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133,954</w:t>
            </w: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Variable marketing margin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67,749</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74,692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220,353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259,565</w:t>
            </w:r>
          </w:p>
        </w:tc>
      </w:tr>
    </w:tbl>
    <w:p>
      <w:pPr>
        <w:spacing w:after="0" w:line="256" w:lineRule="exact"/>
        <w:rPr>
          <w:sz w:val="20"/>
          <w:szCs w:val="20"/>
          <w:color w:val="auto"/>
        </w:rPr>
      </w:pPr>
    </w:p>
    <w:p>
      <w:pPr>
        <w:ind w:left="400" w:right="100" w:hanging="251"/>
        <w:spacing w:after="0" w:line="246"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one-time items consisted of the franchise tax caused by the equity investment gain in Stash Financial, Inc.</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net loss, the most directly comparable GAAP measure, to Adjusted EBITDA.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12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5"/>
        </w:trPr>
        <w:tc>
          <w:tcPr>
            <w:tcW w:w="4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2022</w:t>
            </w:r>
          </w:p>
        </w:tc>
      </w:tr>
      <w:tr>
        <w:trPr>
          <w:trHeight w:val="182"/>
        </w:trPr>
        <w:tc>
          <w:tcPr>
            <w:tcW w:w="4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(148,465)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(158,684)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(135,123)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(177,548)</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1,981</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6,012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21,574</w:t>
            </w: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4,760</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14,239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15,024</w:t>
            </w: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severance</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1,955</w:t>
            </w: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9,967</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Loss on impairments and disposal of assets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5,255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4,261</w:t>
            </w: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investments</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113,064</w:t>
            </w: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114,504</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38,600</w:t>
            </w:r>
          </w:p>
        </w:tc>
        <w:tc>
          <w:tcPr>
            <w:tcW w:w="4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38,600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compensation expense</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8,592</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28,999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46,907</w:t>
            </w: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Franchise tax caused by equity investment gain</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expense</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350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 expense, net</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7,097</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19,990</w:t>
            </w: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Dividend income</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30"/>
        </w:trPr>
        <w:tc>
          <w:tcPr>
            <w:tcW w:w="4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expense</w:t>
            </w:r>
          </w:p>
        </w:tc>
        <w:tc>
          <w:tcPr>
            <w:tcW w:w="14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135,911</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133,954</w:t>
            </w: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21,834</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9,786</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63,027</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67,747</w:t>
            </w:r>
          </w:p>
        </w:tc>
      </w:tr>
      <w:tr>
        <w:trPr>
          <w:trHeight w:val="904"/>
        </w:trPr>
        <w:tc>
          <w:tcPr>
            <w:tcW w:w="454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2023, we had $175.6 million of cash and cash equivalents, compared to $298.8 million of cash and cash equivalents as of December 31, 2022.</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March 8, 2023, we repurchased approximately $190.6 million in principal amount of our 2025 Notes, through separate transactions with certain holders of the 2025 Notes, for $156.3 million plus accrued and unpaid interest of approximately $0.1 million. In the first quarter of 2023, we recognized a gain on the extinguishment of $34.3 million, a loss on the write-off of unamortized debt issuance costs of $2.4 million and incurred debt repayment costs of $1.0 million, all of which are included in interest income/expense, net in the consolidated statement of operations and comprehensive income.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 —Debt for additional information.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credit facility described below is an additional potential source of liquidity. We will continue to monitor the impact of the current economic conditions, including interest rates and inflation on our liquidity and capital resources.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Facility</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September 15, 2021, we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The proceeds of the Revolving Facility can be used to finance working capital, for general corporate purposes and any other purpose not prohibited by the Credit Agreement. We borrowed $250.0 million under the delayed draw term loan on May 31, 2022 and used $170.2 million of the proceeds to settle our 0.625% Convertible Senior Notes due June 1, 2022 ("2022 Notes"), including interest. The remaining proceeds of $79.8 million may be used for general corporate purposes and any other purposes not prohibited by the Credit Agreement.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13—Debt for additional information.</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October 31, 2023, we have outstanding $246.9 million under the Term Loan Facility, a $0.2 million letter of credit under the Revolving Facility and the remaining borrowing capacity under the Revolving Facility is $199.8 million. We have $147.3 million available for borrowing under the Revolving Facility as of October 31, 2023.</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are as follows:</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Nine Months Ended</w:t>
      </w:r>
    </w:p>
    <w:p>
      <w:pPr>
        <w:jc w:val="center"/>
        <w:ind w:left="870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2022</w:t>
            </w:r>
          </w:p>
        </w:tc>
      </w:tr>
      <w:tr>
        <w:trPr>
          <w:trHeight w:val="182"/>
        </w:trPr>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0"/>
        </w:trPr>
        <w:tc>
          <w:tcPr>
            <w:tcW w:w="8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46,692</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7"/>
              </w:rPr>
              <w:t>26,322</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(9,928)</w:t>
            </w:r>
          </w:p>
        </w:tc>
        <w:tc>
          <w:tcPr>
            <w:tcW w:w="480" w:type="dxa"/>
            <w:vAlign w:val="bottom"/>
          </w:tcPr>
          <w:p>
            <w:pPr>
              <w:spacing w:after="0"/>
              <w:rPr>
                <w:sz w:val="19"/>
                <w:szCs w:val="19"/>
                <w:color w:val="auto"/>
              </w:rPr>
            </w:pPr>
          </w:p>
        </w:tc>
        <w:tc>
          <w:tcPr>
            <w:tcW w:w="780" w:type="dxa"/>
            <w:vAlign w:val="bottom"/>
          </w:tcPr>
          <w:p>
            <w:pPr>
              <w:jc w:val="center"/>
              <w:ind w:left="35"/>
              <w:spacing w:after="0"/>
              <w:rPr>
                <w:sz w:val="20"/>
                <w:szCs w:val="20"/>
                <w:color w:val="auto"/>
              </w:rPr>
            </w:pPr>
            <w:r>
              <w:rPr>
                <w:rFonts w:ascii="Arial" w:cs="Arial" w:eastAsia="Arial" w:hAnsi="Arial"/>
                <w:sz w:val="18"/>
                <w:szCs w:val="18"/>
                <w:color w:val="auto"/>
                <w:w w:val="92"/>
              </w:rPr>
              <w:t>(25,410)</w:t>
            </w:r>
          </w:p>
        </w:tc>
      </w:tr>
      <w:tr>
        <w:trPr>
          <w:trHeight w:val="230"/>
        </w:trPr>
        <w:tc>
          <w:tcPr>
            <w:tcW w:w="8720" w:type="dxa"/>
            <w:vAlign w:val="bottom"/>
            <w:tcBorders>
              <w:bottom w:val="single" w:sz="8" w:color="999999"/>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999999"/>
            </w:tcBorders>
            <w:shd w:val="clear" w:color="auto" w:fill="CCEEFF"/>
          </w:tcPr>
          <w:p>
            <w:pPr>
              <w:spacing w:after="0"/>
              <w:rPr>
                <w:sz w:val="19"/>
                <w:szCs w:val="19"/>
                <w:color w:val="auto"/>
              </w:rPr>
            </w:pPr>
          </w:p>
        </w:tc>
        <w:tc>
          <w:tcPr>
            <w:tcW w:w="96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(160,150)</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center"/>
              <w:ind w:left="55"/>
              <w:spacing w:after="0"/>
              <w:rPr>
                <w:sz w:val="20"/>
                <w:szCs w:val="20"/>
                <w:color w:val="auto"/>
              </w:rPr>
            </w:pPr>
            <w:r>
              <w:rPr>
                <w:rFonts w:ascii="Arial" w:cs="Arial" w:eastAsia="Arial" w:hAnsi="Arial"/>
                <w:sz w:val="18"/>
                <w:szCs w:val="18"/>
                <w:color w:val="auto"/>
                <w:w w:val="87"/>
              </w:rPr>
              <w:t>33,411</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provided by operating activities increased in the first nine months of 2023 from the first nine months of 2022 primarily due to favorable changes in accounts receivable, prepaid and other current assets, and accounts payable, accrued expenses and other current liabilities.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in the first nine months of 2023 of $9.9 million consisted of capital expenditures primarily related to internally developed software.</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in the first nine months of 2022 of $25.4 million consisted of the purchase of a $16.4 million equity interest in EarnUp and another small investment, as well as capital expenditures of $9.0 million primarily related to internally-developed software.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in the first nine months of 2023 of $160.2 million consisted primarily of the repurchase of our 2025 Notes for $156.3 million.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in the first nine months of 2022 of $33.4 million consisted primarily of $250.0 million in proceeds from the term loan and the repayment of $169.7 million to settle our 2022 Notes discussed in the “Credit Facility” section above, $43.0 million for the repurchase of our stock, and $3.3 million in withholding taxes paid upon surrender of shares to satisfy obligations on equity awards, net of proceeds from the exercise of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than our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$2.5 million annual effect on the interest paid on borrowings under the Credit Facility. As of October 31, 2023, the Company had $246.9 million outstanding on its Term Loan Facility, and there were no outstanding borrowings under its Revolving Facility.</w:t>
      </w:r>
    </w:p>
    <w:p>
      <w:pPr>
        <w:spacing w:after="0" w:line="2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The term “disclosure controls and procedures,” as defined in Rules 13a-15(e) and 15d-15(e) under the Exchange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Act, means controls and other procedures of a company that are designed to ensure that information required to be disclosed by a company in the reports that it files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under the Exchange Act is accumulated and communicated to a company’s management, including its principal executive officer and principal financial officer, as appropriate to allow timely decisions regarding required disclosure. Based upon that evaluation, our Chief Executive Officer and Chief Financial Officer concluded that our disclosure controls and procedures are effective, as of September 30, 2023,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2023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the ordinary course of business, we are party to litigation involving property, contract, intellectual property, data privacy and security,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of our 2022 Annual Report and updated that information in Note 14— Contingencies to the consolidated financial statements included elsewhere in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Risk factors that affect our business and financial results are discussed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2022 Annual Report. There have been no material changes to the risk factors included in our 2022 Annual Report.</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should carefully consider the risks described in our 2022 Annual Report, which could materially affect our business, financial condition or future results. The risks described in our 2022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Use of Proceeds,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September 30, 2023, no shares of common stock were repurchased under the stock repurchase program. As of </w:t>
      </w:r>
      <w:r>
        <w:rPr>
          <w:rFonts w:ascii="Arial" w:cs="Arial" w:eastAsia="Arial" w:hAnsi="Arial"/>
          <w:sz w:val="15"/>
          <w:szCs w:val="15"/>
          <w:color w:val="auto"/>
        </w:rPr>
        <w:t>October 27, 2023</w:t>
      </w:r>
      <w:r>
        <w:rPr>
          <w:rFonts w:ascii="Arial" w:cs="Arial" w:eastAsia="Arial" w:hAnsi="Arial"/>
          <w:sz w:val="16"/>
          <w:szCs w:val="16"/>
          <w:color w:val="auto"/>
        </w:rPr>
        <w:t>, approximately $96.7 million remains authorized for share repurchase.</w:t>
      </w:r>
    </w:p>
    <w:p>
      <w:pPr>
        <w:spacing w:after="0" w:line="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the LendingTree Seventh Amended and Restated 2008 Stock Plan allowed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September 30, 2023, 14,626 shares were purchased related to these obligations under the LendingTree Seventh Amended and Restated 2008 Stock Plan. The withholding of those shares does not affect the dollar amount or number of shares that may be purchased under the stock repurchase program described above.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the Company's purchases of equity securities during the quarter ended September 30,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w w:val="88"/>
              </w:rPr>
              <w:t>Shares Purchased 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39"/>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Total 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540" w:type="dxa"/>
            <w:vAlign w:val="bottom"/>
          </w:tcPr>
          <w:p>
            <w:pPr>
              <w:jc w:val="center"/>
              <w:ind w:left="188"/>
              <w:spacing w:after="0" w:line="13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4"/>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tcPr>
          <w:p>
            <w:pPr>
              <w:jc w:val="center"/>
              <w:ind w:left="188"/>
              <w:spacing w:after="0" w:line="145" w:lineRule="exact"/>
              <w:rPr>
                <w:sz w:val="20"/>
                <w:szCs w:val="20"/>
                <w:color w:val="auto"/>
              </w:rPr>
            </w:pPr>
            <w:r>
              <w:rPr>
                <w:rFonts w:ascii="Arial" w:cs="Arial" w:eastAsia="Arial" w:hAnsi="Arial"/>
                <w:sz w:val="14"/>
                <w:szCs w:val="14"/>
                <w:b w:val="1"/>
                <w:bCs w:val="1"/>
                <w:color w:val="auto"/>
                <w:w w:val="91"/>
              </w:rPr>
              <w:t>Announced 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203"/>
        </w:trPr>
        <w:tc>
          <w:tcPr>
            <w:tcW w:w="3860" w:type="dxa"/>
            <w:vAlign w:val="bottom"/>
            <w:gridSpan w:val="2"/>
            <w:vMerge w:val="continue"/>
          </w:tcPr>
          <w:p>
            <w:pPr>
              <w:spacing w:after="0"/>
              <w:rPr>
                <w:sz w:val="17"/>
                <w:szCs w:val="17"/>
                <w:color w:val="auto"/>
              </w:rPr>
            </w:pPr>
          </w:p>
        </w:tc>
        <w:tc>
          <w:tcPr>
            <w:tcW w:w="1640" w:type="dxa"/>
            <w:vAlign w:val="bottom"/>
          </w:tcPr>
          <w:p>
            <w:pPr>
              <w:jc w:val="right"/>
              <w:ind w:right="76"/>
              <w:spacing w:after="0" w:line="202" w:lineRule="exact"/>
              <w:rPr>
                <w:sz w:val="20"/>
                <w:szCs w:val="20"/>
                <w:color w:val="auto"/>
              </w:rPr>
            </w:pPr>
            <w:r>
              <w:rPr>
                <w:rFonts w:ascii="Arial" w:cs="Arial" w:eastAsia="Arial" w:hAnsi="Arial"/>
                <w:sz w:val="14"/>
                <w:szCs w:val="14"/>
                <w:b w:val="1"/>
                <w:bCs w:val="1"/>
                <w:color w:val="auto"/>
              </w:rPr>
              <w:t xml:space="preserve">Shares Purchased </w:t>
            </w:r>
            <w:r>
              <w:rPr>
                <w:rFonts w:ascii="Arial" w:cs="Arial" w:eastAsia="Arial" w:hAnsi="Arial"/>
                <w:sz w:val="18"/>
                <w:szCs w:val="18"/>
                <w:b w:val="1"/>
                <w:bCs w:val="1"/>
                <w:color w:val="auto"/>
                <w:vertAlign w:val="superscript"/>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Paid per Share</w:t>
            </w:r>
          </w:p>
        </w:tc>
        <w:tc>
          <w:tcPr>
            <w:tcW w:w="154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9"/>
                <w:szCs w:val="9"/>
                <w:b w:val="1"/>
                <w:bCs w:val="1"/>
                <w:color w:val="auto"/>
                <w:w w:val="94"/>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6"/>
        </w:trPr>
        <w:tc>
          <w:tcPr>
            <w:tcW w:w="3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7/1/2023 - 7/31/2023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96,655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8/1/2023 - 8/31/2023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3,349</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
              <w:spacing w:after="0"/>
              <w:rPr>
                <w:sz w:val="20"/>
                <w:szCs w:val="20"/>
                <w:color w:val="auto"/>
              </w:rPr>
            </w:pPr>
            <w:r>
              <w:rPr>
                <w:rFonts w:ascii="Arial" w:cs="Arial" w:eastAsia="Arial" w:hAnsi="Arial"/>
                <w:sz w:val="18"/>
                <w:szCs w:val="18"/>
                <w:color w:val="auto"/>
              </w:rPr>
              <w:t>96,655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9/1/2023 - 9/30/2023</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4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96,655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14,626</w:t>
            </w: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23.07</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96,655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40</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660" w:hanging="328"/>
        <w:spacing w:after="0" w:line="263"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July 2023, August 2023 and September 2023, 9,966 shares, 3,349 shares and 1,311 shares, respectively (totaling 14,626 shares), were purchased to satisfy federal and state withholding obligations of our employees upon the settlement of restricted stock units, all in accordance with our Seventh Amended and Restated 2008 Stock Plan, as described above.</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fiscal quarter ended September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Further, during the fiscal quarter ended September 30, 2023 the Company did not adopt or terminate a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jc w:val="right"/>
              <w:ind w:right="331"/>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6"/>
                <w:szCs w:val="16"/>
                <w:color w:val="auto"/>
              </w:rPr>
            </w:pPr>
          </w:p>
        </w:tc>
        <w:tc>
          <w:tcPr>
            <w:tcW w:w="6540" w:type="dxa"/>
            <w:vAlign w:val="bottom"/>
            <w:gridSpan w:val="8"/>
          </w:tcPr>
          <w:p>
            <w:pPr>
              <w:ind w:left="2580"/>
              <w:spacing w:after="0"/>
              <w:rPr>
                <w:sz w:val="20"/>
                <w:szCs w:val="20"/>
                <w:color w:val="auto"/>
              </w:rPr>
            </w:pPr>
            <w:r>
              <w:rPr>
                <w:rFonts w:ascii="Arial" w:cs="Arial" w:eastAsia="Arial" w:hAnsi="Arial"/>
                <w:sz w:val="14"/>
                <w:szCs w:val="14"/>
                <w:b w:val="1"/>
                <w:bCs w:val="1"/>
                <w:color w:val="auto"/>
              </w:rPr>
              <w:t>Description</w:t>
            </w:r>
          </w:p>
        </w:tc>
        <w:tc>
          <w:tcPr>
            <w:tcW w:w="2940" w:type="dxa"/>
            <w:vAlign w:val="bottom"/>
          </w:tcPr>
          <w:p>
            <w:pPr>
              <w:ind w:left="1220"/>
              <w:spacing w:after="0"/>
              <w:rPr>
                <w:sz w:val="20"/>
                <w:szCs w:val="20"/>
                <w:color w:val="auto"/>
              </w:rPr>
            </w:pPr>
            <w:r>
              <w:rPr>
                <w:rFonts w:ascii="Arial" w:cs="Arial" w:eastAsia="Arial" w:hAnsi="Arial"/>
                <w:sz w:val="14"/>
                <w:szCs w:val="14"/>
                <w:b w:val="1"/>
                <w:bCs w:val="1"/>
                <w:color w:val="auto"/>
              </w:rPr>
              <w:t>Location</w:t>
            </w:r>
          </w:p>
        </w:tc>
      </w:tr>
      <w:tr>
        <w:trPr>
          <w:trHeight w:val="26"/>
        </w:trPr>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34"/>
        </w:trPr>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3.1</w:t>
            </w:r>
          </w:p>
        </w:tc>
        <w:tc>
          <w:tcPr>
            <w:tcW w:w="7140" w:type="dxa"/>
            <w:vAlign w:val="bottom"/>
            <w:gridSpan w:val="9"/>
            <w:shd w:val="clear" w:color="auto" w:fill="CCEEFF"/>
          </w:tcPr>
          <w:p>
            <w:pPr>
              <w:spacing w:after="0" w:line="189" w:lineRule="exact"/>
              <w:rPr>
                <w:rFonts w:ascii="Arial" w:cs="Arial" w:eastAsia="Arial" w:hAnsi="Arial"/>
                <w:sz w:val="18"/>
                <w:szCs w:val="18"/>
                <w:color w:val="0000FF"/>
              </w:rPr>
            </w:pPr>
            <w:hyperlink r:id="rId63">
              <w:r>
                <w:rPr>
                  <w:rFonts w:ascii="Arial" w:cs="Arial" w:eastAsia="Arial" w:hAnsi="Arial"/>
                  <w:sz w:val="18"/>
                  <w:szCs w:val="18"/>
                  <w:color w:val="0000FF"/>
                </w:rPr>
                <w:t>Amended and Restated Certificate of Incorporation of LendingTree, Inc.</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370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60" w:type="dxa"/>
            <w:vAlign w:val="bottom"/>
            <w:tcBorders>
              <w:top w:val="single" w:sz="8" w:color="0000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60"/>
              <w:spacing w:after="0" w:line="142" w:lineRule="exact"/>
              <w:rPr>
                <w:sz w:val="20"/>
                <w:szCs w:val="20"/>
                <w:color w:val="auto"/>
              </w:rPr>
            </w:pPr>
            <w:r>
              <w:rPr>
                <w:rFonts w:ascii="Arial" w:cs="Arial" w:eastAsia="Arial" w:hAnsi="Arial"/>
                <w:sz w:val="16"/>
                <w:szCs w:val="16"/>
                <w:color w:val="auto"/>
              </w:rPr>
              <w:t>Report on Form 8-K filed August 25,</w:t>
            </w:r>
          </w:p>
        </w:tc>
      </w:tr>
      <w:tr>
        <w:trPr>
          <w:trHeight w:val="243"/>
        </w:trPr>
        <w:tc>
          <w:tcPr>
            <w:tcW w:w="1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2008</w:t>
            </w: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w:t>
            </w:r>
          </w:p>
        </w:tc>
        <w:tc>
          <w:tcPr>
            <w:tcW w:w="7140" w:type="dxa"/>
            <w:vAlign w:val="bottom"/>
            <w:gridSpan w:val="9"/>
          </w:tcPr>
          <w:p>
            <w:pPr>
              <w:spacing w:after="0" w:line="189" w:lineRule="exact"/>
              <w:rPr>
                <w:rFonts w:ascii="Arial" w:cs="Arial" w:eastAsia="Arial" w:hAnsi="Arial"/>
                <w:sz w:val="18"/>
                <w:szCs w:val="18"/>
                <w:color w:val="0000FF"/>
              </w:rPr>
            </w:pPr>
            <w:hyperlink r:id="rId64">
              <w:r>
                <w:rPr>
                  <w:rFonts w:ascii="Arial" w:cs="Arial" w:eastAsia="Arial" w:hAnsi="Arial"/>
                  <w:sz w:val="18"/>
                  <w:szCs w:val="18"/>
                  <w:color w:val="0000FF"/>
                </w:rPr>
                <w:t>Fourth Amended and Restated By-laws of LendingTree, Inc.</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37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60"/>
              <w:spacing w:after="0" w:line="142" w:lineRule="exact"/>
              <w:rPr>
                <w:sz w:val="20"/>
                <w:szCs w:val="20"/>
                <w:color w:val="auto"/>
              </w:rPr>
            </w:pPr>
            <w:r>
              <w:rPr>
                <w:rFonts w:ascii="Arial" w:cs="Arial" w:eastAsia="Arial" w:hAnsi="Arial"/>
                <w:sz w:val="16"/>
                <w:szCs w:val="16"/>
                <w:color w:val="auto"/>
              </w:rPr>
              <w:t>Report on Form 8-K filed November</w:t>
            </w:r>
          </w:p>
        </w:tc>
      </w:tr>
      <w:tr>
        <w:trPr>
          <w:trHeight w:val="237"/>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15, 2017</w:t>
            </w:r>
          </w:p>
        </w:tc>
      </w:tr>
      <w:tr>
        <w:trPr>
          <w:trHeight w:val="195"/>
        </w:trPr>
        <w:tc>
          <w:tcPr>
            <w:tcW w:w="1160" w:type="dxa"/>
            <w:vAlign w:val="bottom"/>
            <w:shd w:val="clear" w:color="auto" w:fill="CCEEFF"/>
          </w:tcPr>
          <w:p>
            <w:pPr>
              <w:jc w:val="right"/>
              <w:ind w:right="111"/>
              <w:spacing w:after="0" w:line="195" w:lineRule="exact"/>
              <w:rPr>
                <w:sz w:val="20"/>
                <w:szCs w:val="20"/>
                <w:color w:val="auto"/>
              </w:rPr>
            </w:pPr>
            <w:r>
              <w:rPr>
                <w:rFonts w:ascii="Arial" w:cs="Arial" w:eastAsia="Arial" w:hAnsi="Arial"/>
                <w:sz w:val="18"/>
                <w:szCs w:val="18"/>
                <w:color w:val="auto"/>
              </w:rPr>
              <w:t>31.1</w:t>
            </w:r>
          </w:p>
        </w:tc>
        <w:tc>
          <w:tcPr>
            <w:tcW w:w="7140" w:type="dxa"/>
            <w:vAlign w:val="bottom"/>
            <w:gridSpan w:val="9"/>
            <w:shd w:val="clear" w:color="auto" w:fill="CCEEFF"/>
          </w:tcPr>
          <w:p>
            <w:pPr>
              <w:spacing w:after="0" w:line="195" w:lineRule="exact"/>
              <w:rPr>
                <w:sz w:val="20"/>
                <w:szCs w:val="20"/>
                <w:color w:val="auto"/>
              </w:rPr>
            </w:pPr>
            <w:r>
              <w:rPr>
                <w:rFonts w:ascii="Arial" w:cs="Arial" w:eastAsia="Arial" w:hAnsi="Arial"/>
                <w:sz w:val="18"/>
                <w:szCs w:val="18"/>
                <w:color w:val="0000FF"/>
                <w:w w:val="95"/>
              </w:rPr>
              <w:t>Certification of the Chief Executive Officer pursuant to Rule 13a-14(a) or Rule 15d-14(a) of the</w:t>
            </w:r>
          </w:p>
        </w:tc>
        <w:tc>
          <w:tcPr>
            <w:tcW w:w="294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w:t>
            </w:r>
          </w:p>
        </w:tc>
      </w:tr>
      <w:tr>
        <w:trPr>
          <w:trHeight w:val="155"/>
        </w:trPr>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7100" w:type="dxa"/>
            <w:vAlign w:val="bottom"/>
            <w:tcBorders>
              <w:top w:val="single" w:sz="8" w:color="0000FF"/>
              <w:bottom w:val="single" w:sz="8" w:color="0000FF"/>
            </w:tcBorders>
            <w:gridSpan w:val="7"/>
            <w:shd w:val="clear" w:color="auto" w:fill="CCEEFF"/>
          </w:tcPr>
          <w:p>
            <w:pPr>
              <w:spacing w:after="0" w:line="156" w:lineRule="exact"/>
              <w:rPr>
                <w:sz w:val="20"/>
                <w:szCs w:val="20"/>
                <w:color w:val="auto"/>
              </w:rPr>
            </w:pPr>
            <w:r>
              <w:rPr>
                <w:rFonts w:ascii="Arial" w:cs="Arial" w:eastAsia="Arial" w:hAnsi="Arial"/>
                <w:sz w:val="18"/>
                <w:szCs w:val="18"/>
                <w:color w:val="0000FF"/>
                <w:w w:val="92"/>
              </w:rPr>
              <w:t>Securities Exchange Act of 1934 as adopted pursuant to Section 302 of the Sarbanes-Oxley Act</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9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0000FF"/>
            </w:tcBorders>
            <w:shd w:val="clear" w:color="auto" w:fill="CCEEFF"/>
          </w:tcPr>
          <w:p>
            <w:pPr>
              <w:spacing w:after="0" w:line="156" w:lineRule="exact"/>
              <w:rPr>
                <w:sz w:val="20"/>
                <w:szCs w:val="20"/>
                <w:color w:val="auto"/>
              </w:rPr>
            </w:pPr>
            <w:r>
              <w:rPr>
                <w:rFonts w:ascii="Arial" w:cs="Arial" w:eastAsia="Arial" w:hAnsi="Arial"/>
                <w:sz w:val="18"/>
                <w:szCs w:val="18"/>
                <w:color w:val="0000FF"/>
                <w:w w:val="89"/>
              </w:rPr>
              <w:t>of 2002.</w:t>
            </w:r>
          </w:p>
        </w:tc>
        <w:tc>
          <w:tcPr>
            <w:tcW w:w="6520" w:type="dxa"/>
            <w:vAlign w:val="bottom"/>
            <w:tcBorders>
              <w:bottom w:val="single" w:sz="8" w:color="CCEEFF"/>
            </w:tcBorders>
            <w:gridSpan w:val="7"/>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spacing w:after="0"/>
              <w:rPr>
                <w:sz w:val="16"/>
                <w:szCs w:val="16"/>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31.2</w:t>
            </w:r>
          </w:p>
        </w:tc>
        <w:tc>
          <w:tcPr>
            <w:tcW w:w="7140" w:type="dxa"/>
            <w:vAlign w:val="bottom"/>
            <w:tcBorders>
              <w:bottom w:val="single" w:sz="8" w:color="0000FF"/>
            </w:tcBorders>
            <w:gridSpan w:val="9"/>
          </w:tcPr>
          <w:p>
            <w:pPr>
              <w:spacing w:after="0" w:line="189" w:lineRule="exact"/>
              <w:rPr>
                <w:sz w:val="20"/>
                <w:szCs w:val="20"/>
                <w:color w:val="auto"/>
              </w:rPr>
            </w:pPr>
            <w:r>
              <w:rPr>
                <w:rFonts w:ascii="Arial" w:cs="Arial" w:eastAsia="Arial" w:hAnsi="Arial"/>
                <w:sz w:val="18"/>
                <w:szCs w:val="18"/>
                <w:color w:val="0000FF"/>
                <w:w w:val="95"/>
              </w:rPr>
              <w:t>Certification of the Chief Financial Officer pursuant to Rule 13a-14(a) or Rule 15d-14(a) of the</w:t>
            </w:r>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Pr>
          <w:p>
            <w:pPr>
              <w:spacing w:after="0"/>
              <w:rPr>
                <w:sz w:val="13"/>
                <w:szCs w:val="13"/>
                <w:color w:val="auto"/>
              </w:rPr>
            </w:pPr>
          </w:p>
        </w:tc>
        <w:tc>
          <w:tcPr>
            <w:tcW w:w="7140" w:type="dxa"/>
            <w:vAlign w:val="bottom"/>
            <w:gridSpan w:val="9"/>
          </w:tcPr>
          <w:p>
            <w:pPr>
              <w:spacing w:after="0" w:line="156" w:lineRule="exact"/>
              <w:rPr>
                <w:sz w:val="20"/>
                <w:szCs w:val="20"/>
                <w:color w:val="auto"/>
              </w:rPr>
            </w:pPr>
            <w:r>
              <w:rPr>
                <w:rFonts w:ascii="Arial" w:cs="Arial" w:eastAsia="Arial" w:hAnsi="Arial"/>
                <w:sz w:val="18"/>
                <w:szCs w:val="18"/>
                <w:color w:val="0000FF"/>
                <w:w w:val="93"/>
              </w:rPr>
              <w:t>Securities Exchange Act of 1934 as adopted pursuant to Section 302 of the Sarbanes-Oxley Act</w:t>
            </w:r>
          </w:p>
        </w:tc>
        <w:tc>
          <w:tcPr>
            <w:tcW w:w="29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712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of 2002.</w:t>
            </w: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32.1</w:t>
            </w:r>
          </w:p>
        </w:tc>
        <w:tc>
          <w:tcPr>
            <w:tcW w:w="714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w w:val="99"/>
              </w:rPr>
              <w:t>Certification of the Chief Executive Officer pursuant to 18 U.S.C. Section 1350 as adopted</w:t>
            </w:r>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55"/>
        </w:trPr>
        <w:tc>
          <w:tcPr>
            <w:tcW w:w="1160" w:type="dxa"/>
            <w:vAlign w:val="bottom"/>
            <w:tcBorders>
              <w:top w:val="single" w:sz="8" w:color="CCEEFF"/>
            </w:tcBorders>
            <w:shd w:val="clear" w:color="auto" w:fill="CCEEFF"/>
          </w:tcPr>
          <w:p>
            <w:pPr>
              <w:spacing w:after="0"/>
              <w:rPr>
                <w:sz w:val="13"/>
                <w:szCs w:val="13"/>
                <w:color w:val="auto"/>
              </w:rPr>
            </w:pPr>
          </w:p>
        </w:tc>
        <w:tc>
          <w:tcPr>
            <w:tcW w:w="7060" w:type="dxa"/>
            <w:vAlign w:val="bottom"/>
            <w:tcBorders>
              <w:top w:val="single" w:sz="8" w:color="0000FF"/>
            </w:tcBorders>
            <w:gridSpan w:val="5"/>
            <w:shd w:val="clear" w:color="auto" w:fill="CCEEFF"/>
          </w:tcPr>
          <w:p>
            <w:pPr>
              <w:spacing w:after="0" w:line="156" w:lineRule="exact"/>
              <w:rPr>
                <w:sz w:val="20"/>
                <w:szCs w:val="20"/>
                <w:color w:val="auto"/>
              </w:rPr>
            </w:pPr>
            <w:r>
              <w:rPr>
                <w:rFonts w:ascii="Arial" w:cs="Arial" w:eastAsia="Arial" w:hAnsi="Arial"/>
                <w:sz w:val="18"/>
                <w:szCs w:val="18"/>
                <w:color w:val="0000FF"/>
              </w:rPr>
              <w:t>pursuant to Section 906 of the Sarbanes-Oxley Act of 2002.</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7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32.2</w:t>
            </w:r>
          </w:p>
        </w:tc>
        <w:tc>
          <w:tcPr>
            <w:tcW w:w="7140" w:type="dxa"/>
            <w:vAlign w:val="bottom"/>
            <w:gridSpan w:val="9"/>
          </w:tcPr>
          <w:p>
            <w:pPr>
              <w:spacing w:after="0" w:line="189" w:lineRule="exact"/>
              <w:rPr>
                <w:sz w:val="20"/>
                <w:szCs w:val="20"/>
                <w:color w:val="auto"/>
              </w:rPr>
            </w:pPr>
            <w:r>
              <w:rPr>
                <w:rFonts w:ascii="Arial" w:cs="Arial" w:eastAsia="Arial" w:hAnsi="Arial"/>
                <w:sz w:val="18"/>
                <w:szCs w:val="18"/>
                <w:color w:val="0000FF"/>
              </w:rPr>
              <w:t>Certification of the Chief Financial Officer pursuant to 18 U.S.C. Section 1350 as adopted</w:t>
            </w:r>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Pr>
          <w:p>
            <w:pPr>
              <w:spacing w:after="0"/>
              <w:rPr>
                <w:sz w:val="13"/>
                <w:szCs w:val="13"/>
                <w:color w:val="auto"/>
              </w:rPr>
            </w:pPr>
          </w:p>
        </w:tc>
        <w:tc>
          <w:tcPr>
            <w:tcW w:w="708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pursuant to Section 906 of the Sarbanes-Oxley Act of 2002.</w:t>
            </w:r>
          </w:p>
        </w:tc>
        <w:tc>
          <w:tcPr>
            <w:tcW w:w="60" w:type="dxa"/>
            <w:vAlign w:val="bottom"/>
            <w:gridSpan w:val="3"/>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7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75"/>
        </w:trPr>
        <w:tc>
          <w:tcPr>
            <w:tcW w:w="1160" w:type="dxa"/>
            <w:vAlign w:val="bottom"/>
            <w:shd w:val="clear" w:color="auto" w:fill="CCEEFF"/>
          </w:tcPr>
          <w:p>
            <w:pPr>
              <w:jc w:val="right"/>
              <w:ind w:right="51"/>
              <w:spacing w:after="0" w:line="176" w:lineRule="exact"/>
              <w:rPr>
                <w:sz w:val="20"/>
                <w:szCs w:val="20"/>
                <w:color w:val="auto"/>
              </w:rPr>
            </w:pPr>
            <w:r>
              <w:rPr>
                <w:rFonts w:ascii="Arial" w:cs="Arial" w:eastAsia="Arial" w:hAnsi="Arial"/>
                <w:sz w:val="18"/>
                <w:szCs w:val="18"/>
                <w:color w:val="auto"/>
              </w:rPr>
              <w:t>101.INS</w:t>
            </w:r>
          </w:p>
        </w:tc>
        <w:tc>
          <w:tcPr>
            <w:tcW w:w="71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w w:val="92"/>
              </w:rPr>
              <w:t xml:space="preserve">XBRL Instance Document </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The instance document does not appear in the Interactive Data File</w:t>
            </w:r>
          </w:p>
        </w:tc>
        <w:tc>
          <w:tcPr>
            <w:tcW w:w="29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r>
      <w:tr>
        <w:trPr>
          <w:trHeight w:val="243"/>
        </w:trPr>
        <w:tc>
          <w:tcPr>
            <w:tcW w:w="1160" w:type="dxa"/>
            <w:vAlign w:val="bottom"/>
            <w:shd w:val="clear" w:color="auto" w:fill="CCEEFF"/>
          </w:tcPr>
          <w:p>
            <w:pPr>
              <w:spacing w:after="0"/>
              <w:rPr>
                <w:sz w:val="21"/>
                <w:szCs w:val="21"/>
                <w:color w:val="auto"/>
              </w:rPr>
            </w:pP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2940" w:type="dxa"/>
            <w:vAlign w:val="bottom"/>
            <w:shd w:val="clear" w:color="auto" w:fill="CCEEFF"/>
          </w:tcPr>
          <w:p>
            <w:pPr>
              <w:spacing w:after="0"/>
              <w:rPr>
                <w:sz w:val="21"/>
                <w:szCs w:val="21"/>
                <w:color w:val="auto"/>
              </w:rPr>
            </w:pPr>
          </w:p>
        </w:tc>
      </w:tr>
      <w:tr>
        <w:trPr>
          <w:trHeight w:val="229"/>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101.SCH</w:t>
            </w:r>
          </w:p>
        </w:tc>
        <w:tc>
          <w:tcPr>
            <w:tcW w:w="71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101.CAL</w:t>
            </w: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9"/>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101.DEF</w:t>
            </w:r>
          </w:p>
        </w:tc>
        <w:tc>
          <w:tcPr>
            <w:tcW w:w="71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101.LAB</w:t>
            </w: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71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60" w:hanging="414"/>
        <w:spacing w:after="0" w:line="220"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contained in  †††</w:t>
      </w:r>
    </w:p>
    <w:p>
      <w:pPr>
        <w:ind w:left="1160"/>
        <w:spacing w:after="0"/>
        <w:rPr>
          <w:rFonts w:ascii="Arial" w:cs="Arial" w:eastAsia="Arial" w:hAnsi="Arial"/>
          <w:sz w:val="18"/>
          <w:szCs w:val="18"/>
          <w:color w:val="auto"/>
        </w:rPr>
      </w:pPr>
      <w:r>
        <w:rPr>
          <w:rFonts w:ascii="Arial" w:cs="Arial" w:eastAsia="Arial" w:hAnsi="Arial"/>
          <w:sz w:val="18"/>
          <w:szCs w:val="18"/>
          <w:color w:val="auto"/>
        </w:rPr>
        <w:t>Exhibit 101)</w:t>
      </w:r>
    </w:p>
    <w:p>
      <w:pPr>
        <w:spacing w:after="0" w:line="8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3" w:lineRule="auto"/>
        <w:tabs>
          <w:tab w:leader="none" w:pos="2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116" w:lineRule="exact"/>
        <w:rPr>
          <w:sz w:val="20"/>
          <w:szCs w:val="20"/>
          <w:color w:val="auto"/>
        </w:rPr>
      </w:pPr>
    </w:p>
    <w:p>
      <w:pPr>
        <w:jc w:val="both"/>
        <w:ind w:firstLine="8"/>
        <w:spacing w:after="0" w:line="263"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36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LENDINGTREE, INC.</w:t>
      </w:r>
    </w:p>
    <w:p>
      <w:pPr>
        <w:spacing w:after="0" w:line="248" w:lineRule="exact"/>
        <w:rPr>
          <w:sz w:val="20"/>
          <w:szCs w:val="20"/>
          <w:color w:val="auto"/>
        </w:rPr>
      </w:pPr>
    </w:p>
    <w:p>
      <w:pPr>
        <w:ind w:left="462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630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0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14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Trent Ziegler, certify that:</w:t>
      </w:r>
    </w:p>
    <w:p>
      <w:pPr>
        <w:spacing w:after="0" w:line="10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14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8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49" w:lineRule="exact"/>
        <w:rPr>
          <w:sz w:val="20"/>
          <w:szCs w:val="20"/>
          <w:color w:val="auto"/>
        </w:rPr>
      </w:pPr>
    </w:p>
    <w:p>
      <w:pPr>
        <w:ind w:left="340" w:right="260" w:hanging="332"/>
        <w:spacing w:after="0" w:line="342" w:lineRule="auto"/>
        <w:tabs>
          <w:tab w:leader="none" w:pos="3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2023 of LendingTree, Inc. (the “Report”) which this statement accompanies fully complies with the requirements of Section 13(a) or 15(d) of the Securities Exchange Act of 1934 (15 U.S.C. 78m or 78o(d)); and</w:t>
      </w:r>
    </w:p>
    <w:p>
      <w:pPr>
        <w:spacing w:after="0" w:line="2" w:lineRule="exact"/>
        <w:rPr>
          <w:rFonts w:ascii="Arial" w:cs="Arial" w:eastAsia="Arial" w:hAnsi="Arial"/>
          <w:sz w:val="16"/>
          <w:szCs w:val="16"/>
          <w:color w:val="auto"/>
        </w:rPr>
      </w:pPr>
    </w:p>
    <w:p>
      <w:pPr>
        <w:ind w:right="240" w:firstLine="8"/>
        <w:spacing w:after="0" w:line="371" w:lineRule="auto"/>
        <w:tabs>
          <w:tab w:leader="none" w:pos="3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31, 2023</w:t>
      </w:r>
    </w:p>
    <w:p>
      <w:pPr>
        <w:spacing w:after="0" w:line="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8658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I, Trent Ziegler, certify, pursuant to 18 U.S.C. Section 1350, as adopted pursuant to Section 906 of the Sarbanes-Oxley Act of 2002, that to my knowledge:</w:t>
      </w:r>
    </w:p>
    <w:p>
      <w:pPr>
        <w:spacing w:after="0" w:line="127" w:lineRule="exact"/>
        <w:rPr>
          <w:sz w:val="20"/>
          <w:szCs w:val="20"/>
          <w:color w:val="auto"/>
        </w:rPr>
      </w:pPr>
    </w:p>
    <w:p>
      <w:pPr>
        <w:ind w:left="340" w:right="260" w:hanging="332"/>
        <w:spacing w:after="0" w:line="342" w:lineRule="auto"/>
        <w:tabs>
          <w:tab w:leader="none" w:pos="33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2023 of LendingTree, Inc. (the “Report”) which this statement accompanies fully complies with the requirements of Section 13(a) or 15(d) of the Securities Exchange Act of 1934 (15 U.S.C. 78m or 78o(d)); and</w:t>
      </w:r>
    </w:p>
    <w:p>
      <w:pPr>
        <w:spacing w:after="0" w:line="2" w:lineRule="exact"/>
        <w:rPr>
          <w:rFonts w:ascii="Arial" w:cs="Arial" w:eastAsia="Arial" w:hAnsi="Arial"/>
          <w:sz w:val="16"/>
          <w:szCs w:val="16"/>
          <w:color w:val="auto"/>
        </w:rPr>
      </w:pPr>
    </w:p>
    <w:p>
      <w:pPr>
        <w:ind w:right="240" w:firstLine="8"/>
        <w:spacing w:after="0" w:line="371" w:lineRule="auto"/>
        <w:tabs>
          <w:tab w:leader="none" w:pos="3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31, 2023</w:t>
      </w:r>
    </w:p>
    <w:p>
      <w:pPr>
        <w:spacing w:after="0" w:line="8"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04"/>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3" Type="http://schemas.openxmlformats.org/officeDocument/2006/relationships/hyperlink" Target="http://www.sec.gov/Archives/edgar/data/1434621/000110465908054882/a08-22125_1ex3d1.htm" TargetMode="External"/><Relationship Id="rId64"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2023-11-01T05:23:04Z</dcterms:created>
  <dcterms:modified xsi:type="dcterms:W3CDTF">2023-11-01T05:23:04Z</dcterms:modified>
</cp:coreProperties>
</file>