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4360"/>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p>
      <w:pPr>
        <w:spacing w:after="0" w:line="143"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6" w:lineRule="exact"/>
        <w:rPr>
          <w:sz w:val="24"/>
          <w:szCs w:val="24"/>
          <w:color w:val="auto"/>
        </w:rPr>
      </w:pPr>
    </w:p>
    <w:p>
      <w:pPr>
        <w:ind w:left="2800" w:right="2040" w:hanging="1144"/>
        <w:spacing w:after="0" w:line="285" w:lineRule="auto"/>
        <w:tabs>
          <w:tab w:leader="none" w:pos="2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2018</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6" w:lineRule="exact"/>
        <w:rPr>
          <w:sz w:val="24"/>
          <w:szCs w:val="24"/>
          <w:color w:val="auto"/>
        </w:rPr>
      </w:pPr>
    </w:p>
    <w:p>
      <w:pPr>
        <w:ind w:left="2800" w:right="1680" w:hanging="1108"/>
        <w:spacing w:after="0" w:line="285" w:lineRule="auto"/>
        <w:tabs>
          <w:tab w:leader="none" w:pos="2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 w:lineRule="exact"/>
        <w:rPr>
          <w:sz w:val="24"/>
          <w:szCs w:val="24"/>
          <w:color w:val="auto"/>
        </w:rPr>
      </w:pPr>
    </w:p>
    <w:p>
      <w:pPr>
        <w:ind w:left="324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001-34063</w:t>
      </w:r>
    </w:p>
    <w:p>
      <w:pPr>
        <w:spacing w:after="0" w:line="1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-1270</wp:posOffset>
            </wp:positionV>
            <wp:extent cx="114046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0460" cy="41148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LendingTree,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420"/>
          </w:cols>
          <w:pgMar w:left="240" w:top="223" w:right="239" w:bottom="1440" w:gutter="0" w:footer="0" w:header="0"/>
        </w:sectPr>
      </w:pPr>
    </w:p>
    <w:p>
      <w:pPr>
        <w:spacing w:after="0" w:line="147"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26-2414818</w:t>
      </w:r>
    </w:p>
    <w:p>
      <w:pPr>
        <w:spacing w:after="0" w:line="28" w:lineRule="exact"/>
        <w:rPr>
          <w:sz w:val="24"/>
          <w:szCs w:val="24"/>
          <w:color w:val="auto"/>
        </w:rPr>
      </w:pPr>
    </w:p>
    <w:p>
      <w:pPr>
        <w:sectPr>
          <w:pgSz w:w="11900" w:h="16838" w:orient="portrait"/>
          <w:cols w:equalWidth="0" w:num="2">
            <w:col w:w="7320" w:space="720"/>
            <w:col w:w="3380"/>
          </w:cols>
          <w:pgMar w:left="240" w:top="223" w:right="2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63" w:lineRule="exact"/>
        <w:rPr>
          <w:sz w:val="24"/>
          <w:szCs w:val="24"/>
          <w:color w:val="auto"/>
        </w:rPr>
      </w:pPr>
    </w:p>
    <w:p>
      <w:pPr>
        <w:sectPr>
          <w:pgSz w:w="11900" w:h="16838" w:orient="portrait"/>
          <w:cols w:equalWidth="0" w:num="2">
            <w:col w:w="6540" w:space="720"/>
            <w:col w:w="4160"/>
          </w:cols>
          <w:pgMar w:left="240" w:top="223"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11115 Rushmore Drive, Charlotte, North Carolina 28277</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(704) 541-5351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ectPr>
          <w:pgSz w:w="11900" w:h="16838" w:orient="portrait"/>
          <w:cols w:equalWidth="0" w:num="1">
            <w:col w:w="11420"/>
          </w:cols>
          <w:pgMar w:left="240" w:top="223" w:right="239" w:bottom="1440" w:gutter="0" w:footer="0" w:header="0"/>
          <w:type w:val="continuous"/>
        </w:sectPr>
      </w:pPr>
    </w:p>
    <w:p>
      <w:pPr>
        <w:spacing w:after="0" w:line="319"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3"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sectPr>
          <w:pgSz w:w="11900" w:h="16838" w:orient="portrait"/>
          <w:cols w:equalWidth="0" w:num="2">
            <w:col w:w="3640" w:space="100"/>
            <w:col w:w="7680"/>
          </w:cols>
          <w:pgMar w:left="240" w:top="223" w:right="23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63" w:lineRule="exact"/>
        <w:rPr>
          <w:sz w:val="24"/>
          <w:szCs w:val="24"/>
          <w:color w:val="auto"/>
        </w:rPr>
      </w:pPr>
    </w:p>
    <w:p>
      <w:pPr>
        <w:sectPr>
          <w:pgSz w:w="11900" w:h="16838" w:orient="portrait"/>
          <w:cols w:equalWidth="0" w:num="2">
            <w:col w:w="6860" w:space="720"/>
            <w:col w:w="3840"/>
          </w:cols>
          <w:pgMar w:left="240" w:top="223"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6"/>
          <w:szCs w:val="16"/>
          <w:color w:val="auto"/>
        </w:rPr>
        <w:t>None</w:t>
      </w:r>
    </w:p>
    <w:p>
      <w:pPr>
        <w:spacing w:after="0" w:line="4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________________________________________________________________________________________________________</w:t>
      </w:r>
    </w:p>
    <w:p>
      <w:pPr>
        <w:sectPr>
          <w:pgSz w:w="11900" w:h="16838" w:orient="portrait"/>
          <w:cols w:equalWidth="0" w:num="1">
            <w:col w:w="11420"/>
          </w:cols>
          <w:pgMar w:left="240" w:top="223" w:right="239" w:bottom="1440" w:gutter="0" w:footer="0" w:header="0"/>
          <w:type w:val="continuous"/>
        </w:sectPr>
      </w:pPr>
    </w:p>
    <w:p>
      <w:pPr>
        <w:spacing w:after="0" w:line="34" w:lineRule="exact"/>
        <w:rPr>
          <w:sz w:val="24"/>
          <w:szCs w:val="24"/>
          <w:color w:val="auto"/>
        </w:rPr>
      </w:pPr>
    </w:p>
    <w:p>
      <w:pPr>
        <w:jc w:val="cente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 o</w:t>
      </w:r>
    </w:p>
    <w:p>
      <w:pPr>
        <w:spacing w:after="0" w:line="44" w:lineRule="exact"/>
        <w:rPr>
          <w:sz w:val="24"/>
          <w:szCs w:val="24"/>
          <w:color w:val="auto"/>
        </w:rPr>
      </w:pPr>
    </w:p>
    <w:p>
      <w:pPr>
        <w:sectPr>
          <w:pgSz w:w="11900" w:h="16838" w:orient="portrait"/>
          <w:cols w:equalWidth="0" w:num="2">
            <w:col w:w="8240" w:space="160"/>
            <w:col w:w="3020"/>
          </w:cols>
          <w:pgMar w:left="240" w:top="223" w:right="239" w:bottom="1440" w:gutter="0" w:footer="0" w:header="0"/>
          <w:type w:val="continuous"/>
        </w:sectPr>
      </w:pPr>
    </w:p>
    <w:p>
      <w:pPr>
        <w:spacing w:after="0" w:line="15"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85" w:lineRule="exact"/>
        <w:rPr>
          <w:sz w:val="24"/>
          <w:szCs w:val="24"/>
          <w:color w:val="auto"/>
        </w:rPr>
      </w:pPr>
    </w:p>
    <w:p>
      <w:pPr>
        <w:sectPr>
          <w:pgSz w:w="11900" w:h="16838" w:orient="portrait"/>
          <w:cols w:equalWidth="0" w:num="2">
            <w:col w:w="8320" w:space="160"/>
            <w:col w:w="2940"/>
          </w:cols>
          <w:pgMar w:left="240" w:top="223" w:right="239" w:bottom="1440" w:gutter="0" w:footer="0" w:header="0"/>
          <w:type w:val="continuous"/>
        </w:sectPr>
      </w:pPr>
    </w:p>
    <w:p>
      <w:pPr>
        <w:jc w:val="both"/>
        <w:ind w:firstLine="162"/>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o</w:t>
      </w:r>
    </w:p>
    <w:p>
      <w:pPr>
        <w:spacing w:after="0" w:line="181"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o</w:t>
      </w:r>
    </w:p>
    <w:p>
      <w:pPr>
        <w:spacing w:after="0" w:line="15" w:lineRule="exact"/>
        <w:rPr>
          <w:sz w:val="24"/>
          <w:szCs w:val="24"/>
          <w:color w:val="auto"/>
        </w:rPr>
      </w:pPr>
    </w:p>
    <w:p>
      <w:pPr>
        <w:jc w:val="both"/>
        <w:ind w:firstLine="162"/>
        <w:spacing w:after="0" w:line="263"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6" w:lineRule="exact"/>
        <w:rPr>
          <w:sz w:val="24"/>
          <w:szCs w:val="24"/>
          <w:color w:val="auto"/>
        </w:rPr>
      </w:pPr>
    </w:p>
    <w:p>
      <w:pPr>
        <w:jc w:val="both"/>
        <w:ind w:firstLine="16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5" w:lineRule="exact"/>
        <w:rPr>
          <w:sz w:val="24"/>
          <w:szCs w:val="24"/>
          <w:color w:val="auto"/>
        </w:rPr>
      </w:pPr>
    </w:p>
    <w:p>
      <w:pPr>
        <w:ind w:left="260"/>
        <w:spacing w:after="0" w:line="184" w:lineRule="exact"/>
        <w:tabs>
          <w:tab w:leader="none" w:pos="2440" w:val="left"/>
          <w:tab w:leader="none" w:pos="4260" w:val="left"/>
          <w:tab w:leader="none" w:pos="6400" w:val="left"/>
          <w:tab w:leader="none" w:pos="89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 o</w:t>
      </w:r>
      <w:r>
        <w:rPr>
          <w:sz w:val="20"/>
          <w:szCs w:val="20"/>
          <w:color w:val="auto"/>
        </w:rPr>
        <w:tab/>
      </w:r>
      <w:r>
        <w:rPr>
          <w:rFonts w:ascii="Times New Roman" w:cs="Times New Roman" w:eastAsia="Times New Roman" w:hAnsi="Times New Roman"/>
          <w:sz w:val="16"/>
          <w:szCs w:val="16"/>
          <w:color w:val="auto"/>
        </w:rPr>
        <w:t>Non-accelerated filer o</w:t>
      </w:r>
      <w:r>
        <w:rPr>
          <w:sz w:val="20"/>
          <w:szCs w:val="20"/>
          <w:color w:val="auto"/>
        </w:rPr>
        <w:tab/>
      </w:r>
      <w:r>
        <w:rPr>
          <w:rFonts w:ascii="Times New Roman" w:cs="Times New Roman" w:eastAsia="Times New Roman" w:hAnsi="Times New Roman"/>
          <w:sz w:val="16"/>
          <w:szCs w:val="16"/>
          <w:color w:val="auto"/>
        </w:rPr>
        <w:t>Smaller reporting company o</w:t>
      </w:r>
      <w:r>
        <w:rPr>
          <w:sz w:val="20"/>
          <w:szCs w:val="20"/>
          <w:color w:val="auto"/>
        </w:rPr>
        <w:tab/>
      </w:r>
      <w:r>
        <w:rPr>
          <w:rFonts w:ascii="Times New Roman" w:cs="Times New Roman" w:eastAsia="Times New Roman" w:hAnsi="Times New Roman"/>
          <w:sz w:val="16"/>
          <w:szCs w:val="16"/>
          <w:color w:val="auto"/>
        </w:rPr>
        <w:t>Emerging growth company o</w:t>
      </w:r>
    </w:p>
    <w:p>
      <w:pPr>
        <w:spacing w:after="0" w:line="85" w:lineRule="exact"/>
        <w:rPr>
          <w:sz w:val="24"/>
          <w:szCs w:val="24"/>
          <w:color w:val="auto"/>
        </w:rPr>
      </w:pPr>
    </w:p>
    <w:p>
      <w:pPr>
        <w:ind w:right="600" w:firstLine="162"/>
        <w:spacing w:after="0" w:line="264"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180"/>
        <w:spacing w:after="0" w:line="184" w:lineRule="exact"/>
        <w:tabs>
          <w:tab w:leader="none" w:pos="74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 Yes o</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85" w:lineRule="exact"/>
        <w:rPr>
          <w:sz w:val="24"/>
          <w:szCs w:val="24"/>
          <w:color w:val="auto"/>
        </w:rPr>
      </w:pPr>
    </w:p>
    <w:p>
      <w:pPr>
        <w:jc w:val="both"/>
        <w:ind w:firstLine="162"/>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voting common stock held by non-affiliates of the Registrant as of June 29, 2018 was approximately $1,684 million. For the purposes of the foregoing calculation only, all directors and executive officers of the Registrant and the single stockholder who owns in excess of 20% of the voting common stock are assumed to be affiliates of the Registrant.</w:t>
      </w:r>
    </w:p>
    <w:p>
      <w:pPr>
        <w:spacing w:after="0" w:line="1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As of February 20, 2019, there were 12,830,510 shares of the Registrant's common stock, par value $.01 per share, outstanding.</w:t>
      </w:r>
    </w:p>
    <w:p>
      <w:pPr>
        <w:spacing w:after="0" w:line="8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Portions of the Registrant's proxy statement for its 2019 Annual Meeting of Stockholders are incorporated by reference into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3"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40" w:type="dxa"/>
            <w:vAlign w:val="bottom"/>
            <w:gridSpan w:val="17"/>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20" w:type="dxa"/>
            <w:vAlign w:val="bottom"/>
          </w:tcPr>
          <w:p>
            <w:pPr>
              <w:spacing w:after="0"/>
              <w:rPr>
                <w:sz w:val="20"/>
                <w:szCs w:val="20"/>
                <w:color w:val="auto"/>
              </w:rPr>
            </w:pPr>
          </w:p>
        </w:tc>
      </w:tr>
      <w:tr>
        <w:trPr>
          <w:trHeight w:val="53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0000EE"/>
            </w:tcBorders>
            <w:gridSpan w:val="3"/>
          </w:tcPr>
          <w:p>
            <w:pPr>
              <w:jc w:val="center"/>
              <w:spacing w:after="0" w:line="189" w:lineRule="exact"/>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w:t>
              </w:r>
            </w:hyperlink>
          </w:p>
        </w:tc>
        <w:tc>
          <w:tcPr>
            <w:tcW w:w="4380" w:type="dxa"/>
            <w:vAlign w:val="bottom"/>
            <w:gridSpan w:val="9"/>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3">
              <w:r>
                <w:rPr>
                  <w:rFonts w:ascii="Times New Roman" w:cs="Times New Roman" w:eastAsia="Times New Roman" w:hAnsi="Times New Roman"/>
                  <w:sz w:val="18"/>
                  <w:szCs w:val="18"/>
                  <w:b w:val="1"/>
                  <w:bCs w:val="1"/>
                  <w:color w:val="0000EE"/>
                  <w:w w:val="96"/>
                </w:rPr>
                <w:t>Item 1.</w:t>
              </w:r>
            </w:hyperlink>
          </w:p>
        </w:tc>
        <w:tc>
          <w:tcPr>
            <w:tcW w:w="600" w:type="dxa"/>
            <w:vAlign w:val="bottom"/>
            <w:gridSpan w:val="4"/>
          </w:tcPr>
          <w:p>
            <w:pPr>
              <w:spacing w:after="0"/>
              <w:rPr>
                <w:sz w:val="22"/>
                <w:szCs w:val="22"/>
                <w:color w:val="auto"/>
              </w:rPr>
            </w:pPr>
          </w:p>
        </w:tc>
        <w:tc>
          <w:tcPr>
            <w:tcW w:w="9220" w:type="dxa"/>
            <w:vAlign w:val="bottom"/>
            <w:gridSpan w:val="30"/>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Business</w:t>
              </w:r>
            </w:hyperlink>
          </w:p>
        </w:tc>
        <w:tc>
          <w:tcPr>
            <w:tcW w:w="1020" w:type="dxa"/>
            <w:vAlign w:val="bottom"/>
          </w:tcPr>
          <w:p>
            <w:pPr>
              <w:jc w:val="right"/>
              <w:ind w:right="171"/>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8"/>
              </w:rPr>
            </w:pPr>
            <w:hyperlink w:anchor="page10">
              <w:r>
                <w:rPr>
                  <w:rFonts w:ascii="Times New Roman" w:cs="Times New Roman" w:eastAsia="Times New Roman" w:hAnsi="Times New Roman"/>
                  <w:sz w:val="18"/>
                  <w:szCs w:val="18"/>
                  <w:b w:val="1"/>
                  <w:bCs w:val="1"/>
                  <w:color w:val="0000EE"/>
                  <w:w w:val="98"/>
                </w:rPr>
                <w:t>Item 1A.</w:t>
              </w:r>
            </w:hyperlink>
          </w:p>
        </w:tc>
        <w:tc>
          <w:tcPr>
            <w:tcW w:w="460" w:type="dxa"/>
            <w:vAlign w:val="bottom"/>
          </w:tcPr>
          <w:p>
            <w:pPr>
              <w:spacing w:after="0"/>
              <w:rPr>
                <w:sz w:val="21"/>
                <w:szCs w:val="21"/>
                <w:color w:val="auto"/>
              </w:rPr>
            </w:pPr>
          </w:p>
        </w:tc>
        <w:tc>
          <w:tcPr>
            <w:tcW w:w="98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8"/>
              </w:rPr>
            </w:pPr>
            <w:hyperlink w:anchor="page10">
              <w:r>
                <w:rPr>
                  <w:rFonts w:ascii="Times New Roman" w:cs="Times New Roman" w:eastAsia="Times New Roman" w:hAnsi="Times New Roman"/>
                  <w:sz w:val="18"/>
                  <w:szCs w:val="18"/>
                  <w:b w:val="1"/>
                  <w:bCs w:val="1"/>
                  <w:color w:val="0000EE"/>
                  <w:w w:val="98"/>
                </w:rPr>
                <w:t>Risk Factors</w:t>
              </w:r>
            </w:hyperlink>
          </w:p>
        </w:tc>
        <w:tc>
          <w:tcPr>
            <w:tcW w:w="8240" w:type="dxa"/>
            <w:vAlign w:val="bottom"/>
            <w:gridSpan w:val="27"/>
          </w:tcPr>
          <w:p>
            <w:pPr>
              <w:spacing w:after="0"/>
              <w:rPr>
                <w:sz w:val="21"/>
                <w:szCs w:val="21"/>
                <w:color w:val="auto"/>
              </w:rPr>
            </w:pPr>
          </w:p>
        </w:tc>
        <w:tc>
          <w:tcPr>
            <w:tcW w:w="1020" w:type="dxa"/>
            <w:vAlign w:val="bottom"/>
          </w:tcPr>
          <w:p>
            <w:pPr>
              <w:jc w:val="right"/>
              <w:ind w:right="191"/>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10</w:t>
              </w:r>
            </w:hyperlink>
          </w:p>
        </w:tc>
      </w:tr>
      <w:tr>
        <w:trPr>
          <w:trHeight w:val="250"/>
        </w:trPr>
        <w:tc>
          <w:tcPr>
            <w:tcW w:w="6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6"/>
              </w:rPr>
            </w:pPr>
            <w:hyperlink w:anchor="page27">
              <w:r>
                <w:rPr>
                  <w:rFonts w:ascii="Times New Roman" w:cs="Times New Roman" w:eastAsia="Times New Roman" w:hAnsi="Times New Roman"/>
                  <w:sz w:val="18"/>
                  <w:szCs w:val="18"/>
                  <w:b w:val="1"/>
                  <w:bCs w:val="1"/>
                  <w:color w:val="0000EE"/>
                  <w:w w:val="96"/>
                </w:rPr>
                <w:t>Item 1B.</w:t>
              </w:r>
            </w:hyperlink>
          </w:p>
        </w:tc>
        <w:tc>
          <w:tcPr>
            <w:tcW w:w="480" w:type="dxa"/>
            <w:vAlign w:val="bottom"/>
            <w:gridSpan w:val="2"/>
          </w:tcPr>
          <w:p>
            <w:pPr>
              <w:spacing w:after="0"/>
              <w:rPr>
                <w:sz w:val="21"/>
                <w:szCs w:val="21"/>
                <w:color w:val="auto"/>
              </w:rPr>
            </w:pPr>
          </w:p>
        </w:tc>
        <w:tc>
          <w:tcPr>
            <w:tcW w:w="2160" w:type="dxa"/>
            <w:vAlign w:val="bottom"/>
            <w:tcBorders>
              <w:bottom w:val="single" w:sz="8" w:color="0000EE"/>
            </w:tcBorders>
            <w:gridSpan w:val="11"/>
          </w:tcPr>
          <w:p>
            <w:pPr>
              <w:spacing w:after="0"/>
              <w:rPr>
                <w:rFonts w:ascii="Times New Roman" w:cs="Times New Roman" w:eastAsia="Times New Roman" w:hAnsi="Times New Roman"/>
                <w:sz w:val="18"/>
                <w:szCs w:val="18"/>
                <w:b w:val="1"/>
                <w:bCs w:val="1"/>
                <w:color w:val="0000EE"/>
                <w:w w:val="99"/>
              </w:rPr>
            </w:pPr>
            <w:hyperlink w:anchor="page27">
              <w:r>
                <w:rPr>
                  <w:rFonts w:ascii="Times New Roman" w:cs="Times New Roman" w:eastAsia="Times New Roman" w:hAnsi="Times New Roman"/>
                  <w:sz w:val="18"/>
                  <w:szCs w:val="18"/>
                  <w:b w:val="1"/>
                  <w:bCs w:val="1"/>
                  <w:color w:val="0000EE"/>
                  <w:w w:val="99"/>
                </w:rPr>
                <w:t>Unresolved Staff Comments</w:t>
              </w:r>
            </w:hyperlink>
          </w:p>
        </w:tc>
        <w:tc>
          <w:tcPr>
            <w:tcW w:w="7060" w:type="dxa"/>
            <w:vAlign w:val="bottom"/>
            <w:gridSpan w:val="19"/>
          </w:tcPr>
          <w:p>
            <w:pPr>
              <w:spacing w:after="0"/>
              <w:rPr>
                <w:sz w:val="21"/>
                <w:szCs w:val="21"/>
                <w:color w:val="auto"/>
              </w:rPr>
            </w:pPr>
          </w:p>
        </w:tc>
        <w:tc>
          <w:tcPr>
            <w:tcW w:w="1020" w:type="dxa"/>
            <w:vAlign w:val="bottom"/>
          </w:tcPr>
          <w:p>
            <w:pPr>
              <w:jc w:val="right"/>
              <w:ind w:right="191"/>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r>
      <w:tr>
        <w:trPr>
          <w:trHeight w:val="250"/>
        </w:trPr>
        <w:tc>
          <w:tcPr>
            <w:tcW w:w="54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27">
              <w:r>
                <w:rPr>
                  <w:rFonts w:ascii="Times New Roman" w:cs="Times New Roman" w:eastAsia="Times New Roman" w:hAnsi="Times New Roman"/>
                  <w:sz w:val="18"/>
                  <w:szCs w:val="18"/>
                  <w:b w:val="1"/>
                  <w:bCs w:val="1"/>
                  <w:color w:val="0000EE"/>
                  <w:w w:val="96"/>
                </w:rPr>
                <w:t>Item 2.</w:t>
              </w:r>
            </w:hyperlink>
          </w:p>
        </w:tc>
        <w:tc>
          <w:tcPr>
            <w:tcW w:w="600" w:type="dxa"/>
            <w:vAlign w:val="bottom"/>
            <w:gridSpan w:val="4"/>
          </w:tcPr>
          <w:p>
            <w:pPr>
              <w:spacing w:after="0"/>
              <w:rPr>
                <w:sz w:val="21"/>
                <w:szCs w:val="21"/>
                <w:color w:val="auto"/>
              </w:rPr>
            </w:pPr>
          </w:p>
        </w:tc>
        <w:tc>
          <w:tcPr>
            <w:tcW w:w="80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7">
              <w:r>
                <w:rPr>
                  <w:rFonts w:ascii="Times New Roman" w:cs="Times New Roman" w:eastAsia="Times New Roman" w:hAnsi="Times New Roman"/>
                  <w:sz w:val="18"/>
                  <w:szCs w:val="18"/>
                  <w:b w:val="1"/>
                  <w:bCs w:val="1"/>
                  <w:color w:val="0000EE"/>
                  <w:w w:val="97"/>
                </w:rPr>
                <w:t>Properties</w:t>
              </w:r>
            </w:hyperlink>
          </w:p>
        </w:tc>
        <w:tc>
          <w:tcPr>
            <w:tcW w:w="8420" w:type="dxa"/>
            <w:vAlign w:val="bottom"/>
            <w:gridSpan w:val="28"/>
          </w:tcPr>
          <w:p>
            <w:pPr>
              <w:spacing w:after="0"/>
              <w:rPr>
                <w:sz w:val="21"/>
                <w:szCs w:val="21"/>
                <w:color w:val="auto"/>
              </w:rPr>
            </w:pPr>
          </w:p>
        </w:tc>
        <w:tc>
          <w:tcPr>
            <w:tcW w:w="1020" w:type="dxa"/>
            <w:vAlign w:val="bottom"/>
          </w:tcPr>
          <w:p>
            <w:pPr>
              <w:jc w:val="right"/>
              <w:ind w:right="191"/>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r>
      <w:tr>
        <w:trPr>
          <w:trHeight w:val="25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28">
              <w:r>
                <w:rPr>
                  <w:rFonts w:ascii="Times New Roman" w:cs="Times New Roman" w:eastAsia="Times New Roman" w:hAnsi="Times New Roman"/>
                  <w:sz w:val="18"/>
                  <w:szCs w:val="18"/>
                  <w:b w:val="1"/>
                  <w:bCs w:val="1"/>
                  <w:color w:val="0000EE"/>
                  <w:w w:val="96"/>
                </w:rPr>
                <w:t>Item 3.</w:t>
              </w:r>
            </w:hyperlink>
          </w:p>
        </w:tc>
        <w:tc>
          <w:tcPr>
            <w:tcW w:w="600" w:type="dxa"/>
            <w:vAlign w:val="bottom"/>
            <w:gridSpan w:val="4"/>
          </w:tcPr>
          <w:p>
            <w:pPr>
              <w:spacing w:after="0"/>
              <w:rPr>
                <w:sz w:val="21"/>
                <w:szCs w:val="21"/>
                <w:color w:val="auto"/>
              </w:rPr>
            </w:pPr>
          </w:p>
        </w:tc>
        <w:tc>
          <w:tcPr>
            <w:tcW w:w="9220" w:type="dxa"/>
            <w:vAlign w:val="bottom"/>
            <w:gridSpan w:val="30"/>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Legal Proceedings</w:t>
              </w:r>
            </w:hyperlink>
          </w:p>
        </w:tc>
        <w:tc>
          <w:tcPr>
            <w:tcW w:w="1020" w:type="dxa"/>
            <w:vAlign w:val="bottom"/>
          </w:tcPr>
          <w:p>
            <w:pPr>
              <w:jc w:val="right"/>
              <w:ind w:right="191"/>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28">
              <w:r>
                <w:rPr>
                  <w:rFonts w:ascii="Times New Roman" w:cs="Times New Roman" w:eastAsia="Times New Roman" w:hAnsi="Times New Roman"/>
                  <w:sz w:val="18"/>
                  <w:szCs w:val="18"/>
                  <w:b w:val="1"/>
                  <w:bCs w:val="1"/>
                  <w:color w:val="0000EE"/>
                  <w:w w:val="96"/>
                </w:rPr>
                <w:t>Item 4.</w:t>
              </w:r>
            </w:hyperlink>
          </w:p>
        </w:tc>
        <w:tc>
          <w:tcPr>
            <w:tcW w:w="600" w:type="dxa"/>
            <w:vAlign w:val="bottom"/>
            <w:gridSpan w:val="4"/>
          </w:tcPr>
          <w:p>
            <w:pPr>
              <w:spacing w:after="0"/>
              <w:rPr>
                <w:sz w:val="21"/>
                <w:szCs w:val="21"/>
                <w:color w:val="auto"/>
              </w:rPr>
            </w:pPr>
          </w:p>
        </w:tc>
        <w:tc>
          <w:tcPr>
            <w:tcW w:w="9220" w:type="dxa"/>
            <w:vAlign w:val="bottom"/>
            <w:gridSpan w:val="30"/>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Mine Safety Disclosures</w:t>
              </w:r>
            </w:hyperlink>
          </w:p>
        </w:tc>
        <w:tc>
          <w:tcPr>
            <w:tcW w:w="1020" w:type="dxa"/>
            <w:vAlign w:val="bottom"/>
          </w:tcPr>
          <w:p>
            <w:pPr>
              <w:jc w:val="right"/>
              <w:ind w:right="191"/>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3"/>
          </w:tcPr>
          <w:p>
            <w:pPr>
              <w:jc w:val="center"/>
              <w:ind w:right="4360"/>
              <w:spacing w:after="0"/>
              <w:rPr>
                <w:rFonts w:ascii="Times New Roman" w:cs="Times New Roman" w:eastAsia="Times New Roman" w:hAnsi="Times New Roman"/>
                <w:sz w:val="18"/>
                <w:szCs w:val="18"/>
                <w:b w:val="1"/>
                <w:bCs w:val="1"/>
                <w:color w:val="0000EE"/>
                <w:w w:val="94"/>
              </w:rPr>
            </w:pPr>
            <w:hyperlink w:anchor="page29">
              <w:r>
                <w:rPr>
                  <w:rFonts w:ascii="Times New Roman" w:cs="Times New Roman" w:eastAsia="Times New Roman" w:hAnsi="Times New Roman"/>
                  <w:sz w:val="18"/>
                  <w:szCs w:val="18"/>
                  <w:b w:val="1"/>
                  <w:bCs w:val="1"/>
                  <w:color w:val="0000EE"/>
                  <w:w w:val="94"/>
                </w:rPr>
                <w:t>PART II</w:t>
              </w:r>
            </w:hyperlink>
          </w:p>
        </w:tc>
        <w:tc>
          <w:tcPr>
            <w:tcW w:w="1020" w:type="dxa"/>
            <w:vAlign w:val="bottom"/>
          </w:tcPr>
          <w:p>
            <w:pPr>
              <w:spacing w:after="0"/>
              <w:rPr>
                <w:sz w:val="24"/>
                <w:szCs w:val="24"/>
                <w:color w:val="auto"/>
              </w:rPr>
            </w:pPr>
          </w:p>
        </w:tc>
      </w:tr>
      <w:tr>
        <w:trPr>
          <w:trHeight w:val="20"/>
        </w:trPr>
        <w:tc>
          <w:tcPr>
            <w:tcW w:w="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29">
              <w:r>
                <w:rPr>
                  <w:rFonts w:ascii="Times New Roman" w:cs="Times New Roman" w:eastAsia="Times New Roman" w:hAnsi="Times New Roman"/>
                  <w:sz w:val="18"/>
                  <w:szCs w:val="18"/>
                  <w:b w:val="1"/>
                  <w:bCs w:val="1"/>
                  <w:color w:val="0000EE"/>
                  <w:w w:val="96"/>
                </w:rPr>
                <w:t>Item 5.</w:t>
              </w:r>
            </w:hyperlink>
          </w:p>
        </w:tc>
        <w:tc>
          <w:tcPr>
            <w:tcW w:w="600" w:type="dxa"/>
            <w:vAlign w:val="bottom"/>
            <w:gridSpan w:val="4"/>
          </w:tcPr>
          <w:p>
            <w:pPr>
              <w:spacing w:after="0"/>
              <w:rPr>
                <w:sz w:val="21"/>
                <w:szCs w:val="21"/>
                <w:color w:val="auto"/>
              </w:rPr>
            </w:pPr>
          </w:p>
        </w:tc>
        <w:tc>
          <w:tcPr>
            <w:tcW w:w="8680" w:type="dxa"/>
            <w:vAlign w:val="bottom"/>
            <w:tcBorders>
              <w:bottom w:val="single" w:sz="8" w:color="0000EE"/>
            </w:tcBorders>
            <w:gridSpan w:val="29"/>
          </w:tcPr>
          <w:p>
            <w:pPr>
              <w:spacing w:after="0"/>
              <w:rPr>
                <w:rFonts w:ascii="Times New Roman" w:cs="Times New Roman" w:eastAsia="Times New Roman" w:hAnsi="Times New Roman"/>
                <w:sz w:val="18"/>
                <w:szCs w:val="18"/>
                <w:b w:val="1"/>
                <w:bCs w:val="1"/>
                <w:color w:val="0000EE"/>
                <w:w w:val="99"/>
              </w:rPr>
            </w:pPr>
            <w:hyperlink w:anchor="page29">
              <w:r>
                <w:rPr>
                  <w:rFonts w:ascii="Times New Roman" w:cs="Times New Roman" w:eastAsia="Times New Roman" w:hAnsi="Times New Roman"/>
                  <w:sz w:val="18"/>
                  <w:szCs w:val="18"/>
                  <w:b w:val="1"/>
                  <w:bCs w:val="1"/>
                  <w:color w:val="0000EE"/>
                  <w:w w:val="99"/>
                </w:rPr>
                <w:t>Market for Registrant's Common Equity, Related Stockholder Matters and Issuer Purchases of Equity Securities</w:t>
              </w:r>
            </w:hyperlink>
          </w:p>
        </w:tc>
        <w:tc>
          <w:tcPr>
            <w:tcW w:w="540" w:type="dxa"/>
            <w:vAlign w:val="bottom"/>
          </w:tcPr>
          <w:p>
            <w:pPr>
              <w:spacing w:after="0"/>
              <w:rPr>
                <w:sz w:val="21"/>
                <w:szCs w:val="21"/>
                <w:color w:val="auto"/>
              </w:rPr>
            </w:pPr>
          </w:p>
        </w:tc>
        <w:tc>
          <w:tcPr>
            <w:tcW w:w="1020" w:type="dxa"/>
            <w:vAlign w:val="bottom"/>
          </w:tcPr>
          <w:p>
            <w:pPr>
              <w:jc w:val="right"/>
              <w:ind w:right="191"/>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r>
      <w:tr>
        <w:trPr>
          <w:trHeight w:val="250"/>
        </w:trPr>
        <w:tc>
          <w:tcPr>
            <w:tcW w:w="54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31">
              <w:r>
                <w:rPr>
                  <w:rFonts w:ascii="Times New Roman" w:cs="Times New Roman" w:eastAsia="Times New Roman" w:hAnsi="Times New Roman"/>
                  <w:sz w:val="18"/>
                  <w:szCs w:val="18"/>
                  <w:b w:val="1"/>
                  <w:bCs w:val="1"/>
                  <w:color w:val="0000EE"/>
                  <w:w w:val="96"/>
                </w:rPr>
                <w:t>Item 6.</w:t>
              </w:r>
            </w:hyperlink>
          </w:p>
        </w:tc>
        <w:tc>
          <w:tcPr>
            <w:tcW w:w="600" w:type="dxa"/>
            <w:vAlign w:val="bottom"/>
            <w:gridSpan w:val="4"/>
          </w:tcPr>
          <w:p>
            <w:pPr>
              <w:spacing w:after="0"/>
              <w:rPr>
                <w:sz w:val="21"/>
                <w:szCs w:val="21"/>
                <w:color w:val="auto"/>
              </w:rPr>
            </w:pPr>
          </w:p>
        </w:tc>
        <w:tc>
          <w:tcPr>
            <w:tcW w:w="182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31">
              <w:r>
                <w:rPr>
                  <w:rFonts w:ascii="Times New Roman" w:cs="Times New Roman" w:eastAsia="Times New Roman" w:hAnsi="Times New Roman"/>
                  <w:sz w:val="18"/>
                  <w:szCs w:val="18"/>
                  <w:b w:val="1"/>
                  <w:bCs w:val="1"/>
                  <w:color w:val="0000EE"/>
                  <w:w w:val="99"/>
                </w:rPr>
                <w:t>Selected Financial Data</w:t>
              </w:r>
            </w:hyperlink>
          </w:p>
        </w:tc>
        <w:tc>
          <w:tcPr>
            <w:tcW w:w="7400" w:type="dxa"/>
            <w:vAlign w:val="bottom"/>
            <w:gridSpan w:val="23"/>
          </w:tcPr>
          <w:p>
            <w:pPr>
              <w:spacing w:after="0"/>
              <w:rPr>
                <w:sz w:val="21"/>
                <w:szCs w:val="21"/>
                <w:color w:val="auto"/>
              </w:rPr>
            </w:pPr>
          </w:p>
        </w:tc>
        <w:tc>
          <w:tcPr>
            <w:tcW w:w="1020" w:type="dxa"/>
            <w:vAlign w:val="bottom"/>
          </w:tcPr>
          <w:p>
            <w:pPr>
              <w:jc w:val="right"/>
              <w:ind w:right="191"/>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31</w:t>
              </w:r>
            </w:hyperlink>
          </w:p>
        </w:tc>
      </w:tr>
      <w:tr>
        <w:trPr>
          <w:trHeight w:val="250"/>
        </w:trPr>
        <w:tc>
          <w:tcPr>
            <w:tcW w:w="54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33">
              <w:r>
                <w:rPr>
                  <w:rFonts w:ascii="Times New Roman" w:cs="Times New Roman" w:eastAsia="Times New Roman" w:hAnsi="Times New Roman"/>
                  <w:sz w:val="18"/>
                  <w:szCs w:val="18"/>
                  <w:b w:val="1"/>
                  <w:bCs w:val="1"/>
                  <w:color w:val="0000EE"/>
                  <w:w w:val="96"/>
                </w:rPr>
                <w:t>Item 7.</w:t>
              </w:r>
            </w:hyperlink>
          </w:p>
        </w:tc>
        <w:tc>
          <w:tcPr>
            <w:tcW w:w="600" w:type="dxa"/>
            <w:vAlign w:val="bottom"/>
            <w:gridSpan w:val="4"/>
          </w:tcPr>
          <w:p>
            <w:pPr>
              <w:spacing w:after="0"/>
              <w:rPr>
                <w:sz w:val="21"/>
                <w:szCs w:val="21"/>
                <w:color w:val="auto"/>
              </w:rPr>
            </w:pPr>
          </w:p>
        </w:tc>
        <w:tc>
          <w:tcPr>
            <w:tcW w:w="6840" w:type="dxa"/>
            <w:vAlign w:val="bottom"/>
            <w:tcBorders>
              <w:bottom w:val="single" w:sz="8" w:color="0000EE"/>
            </w:tcBorders>
            <w:gridSpan w:val="26"/>
          </w:tcPr>
          <w:p>
            <w:pPr>
              <w:spacing w:after="0"/>
              <w:rPr>
                <w:rFonts w:ascii="Times New Roman" w:cs="Times New Roman" w:eastAsia="Times New Roman" w:hAnsi="Times New Roman"/>
                <w:sz w:val="18"/>
                <w:szCs w:val="18"/>
                <w:b w:val="1"/>
                <w:bCs w:val="1"/>
                <w:color w:val="0000EE"/>
                <w:w w:val="99"/>
              </w:rPr>
            </w:pPr>
            <w:hyperlink w:anchor="page33">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2380" w:type="dxa"/>
            <w:vAlign w:val="bottom"/>
            <w:gridSpan w:val="4"/>
          </w:tcPr>
          <w:p>
            <w:pPr>
              <w:spacing w:after="0"/>
              <w:rPr>
                <w:sz w:val="21"/>
                <w:szCs w:val="21"/>
                <w:color w:val="auto"/>
              </w:rPr>
            </w:pPr>
          </w:p>
        </w:tc>
        <w:tc>
          <w:tcPr>
            <w:tcW w:w="1020" w:type="dxa"/>
            <w:vAlign w:val="bottom"/>
          </w:tcPr>
          <w:p>
            <w:pPr>
              <w:jc w:val="right"/>
              <w:ind w:right="191"/>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33</w:t>
              </w:r>
            </w:hyperlink>
          </w:p>
        </w:tc>
      </w:tr>
      <w:tr>
        <w:trPr>
          <w:trHeight w:val="250"/>
        </w:trPr>
        <w:tc>
          <w:tcPr>
            <w:tcW w:w="680" w:type="dxa"/>
            <w:vAlign w:val="bottom"/>
            <w:gridSpan w:val="4"/>
          </w:tcPr>
          <w:p>
            <w:pPr>
              <w:spacing w:after="0"/>
              <w:rPr>
                <w:rFonts w:ascii="Times New Roman" w:cs="Times New Roman" w:eastAsia="Times New Roman" w:hAnsi="Times New Roman"/>
                <w:sz w:val="18"/>
                <w:szCs w:val="18"/>
                <w:b w:val="1"/>
                <w:bCs w:val="1"/>
                <w:color w:val="0000EE"/>
                <w:w w:val="98"/>
              </w:rPr>
            </w:pPr>
            <w:hyperlink w:anchor="page47">
              <w:r>
                <w:rPr>
                  <w:rFonts w:ascii="Times New Roman" w:cs="Times New Roman" w:eastAsia="Times New Roman" w:hAnsi="Times New Roman"/>
                  <w:sz w:val="18"/>
                  <w:szCs w:val="18"/>
                  <w:b w:val="1"/>
                  <w:bCs w:val="1"/>
                  <w:color w:val="0000EE"/>
                  <w:w w:val="98"/>
                </w:rPr>
                <w:t>Item 7A.</w:t>
              </w:r>
            </w:hyperlink>
          </w:p>
        </w:tc>
        <w:tc>
          <w:tcPr>
            <w:tcW w:w="460" w:type="dxa"/>
            <w:vAlign w:val="bottom"/>
          </w:tcPr>
          <w:p>
            <w:pPr>
              <w:spacing w:after="0"/>
              <w:rPr>
                <w:sz w:val="21"/>
                <w:szCs w:val="21"/>
                <w:color w:val="auto"/>
              </w:rPr>
            </w:pPr>
          </w:p>
        </w:tc>
        <w:tc>
          <w:tcPr>
            <w:tcW w:w="9220" w:type="dxa"/>
            <w:vAlign w:val="bottom"/>
            <w:gridSpan w:val="30"/>
          </w:tcPr>
          <w:p>
            <w:pPr>
              <w:spacing w:after="0"/>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Quantitative and Qualitative Disclosures about Market Risk</w:t>
              </w:r>
            </w:hyperlink>
          </w:p>
        </w:tc>
        <w:tc>
          <w:tcPr>
            <w:tcW w:w="1020" w:type="dxa"/>
            <w:vAlign w:val="bottom"/>
          </w:tcPr>
          <w:p>
            <w:pPr>
              <w:jc w:val="right"/>
              <w:ind w:right="191"/>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47</w:t>
              </w:r>
            </w:hyperlink>
          </w:p>
        </w:tc>
      </w:tr>
      <w:tr>
        <w:trPr>
          <w:trHeight w:val="250"/>
        </w:trPr>
        <w:tc>
          <w:tcPr>
            <w:tcW w:w="5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49">
              <w:r>
                <w:rPr>
                  <w:rFonts w:ascii="Times New Roman" w:cs="Times New Roman" w:eastAsia="Times New Roman" w:hAnsi="Times New Roman"/>
                  <w:sz w:val="18"/>
                  <w:szCs w:val="18"/>
                  <w:b w:val="1"/>
                  <w:bCs w:val="1"/>
                  <w:color w:val="0000EE"/>
                  <w:w w:val="96"/>
                </w:rPr>
                <w:t>Item 8.</w:t>
              </w:r>
            </w:hyperlink>
          </w:p>
        </w:tc>
        <w:tc>
          <w:tcPr>
            <w:tcW w:w="140" w:type="dxa"/>
            <w:vAlign w:val="bottom"/>
            <w:tcBorders>
              <w:top w:val="single" w:sz="8" w:color="0000EE"/>
            </w:tcBorders>
            <w:gridSpan w:val="3"/>
          </w:tcPr>
          <w:p>
            <w:pPr>
              <w:spacing w:after="0"/>
              <w:rPr>
                <w:sz w:val="21"/>
                <w:szCs w:val="21"/>
                <w:color w:val="auto"/>
              </w:rPr>
            </w:pPr>
          </w:p>
        </w:tc>
        <w:tc>
          <w:tcPr>
            <w:tcW w:w="460" w:type="dxa"/>
            <w:vAlign w:val="bottom"/>
          </w:tcPr>
          <w:p>
            <w:pPr>
              <w:spacing w:after="0"/>
              <w:rPr>
                <w:sz w:val="21"/>
                <w:szCs w:val="21"/>
                <w:color w:val="auto"/>
              </w:rPr>
            </w:pPr>
          </w:p>
        </w:tc>
        <w:tc>
          <w:tcPr>
            <w:tcW w:w="360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b w:val="1"/>
                <w:bCs w:val="1"/>
                <w:color w:val="0000EE"/>
                <w:w w:val="99"/>
              </w:rPr>
            </w:pPr>
            <w:hyperlink w:anchor="page49">
              <w:r>
                <w:rPr>
                  <w:rFonts w:ascii="Times New Roman" w:cs="Times New Roman" w:eastAsia="Times New Roman" w:hAnsi="Times New Roman"/>
                  <w:sz w:val="18"/>
                  <w:szCs w:val="18"/>
                  <w:b w:val="1"/>
                  <w:bCs w:val="1"/>
                  <w:color w:val="0000EE"/>
                  <w:w w:val="99"/>
                </w:rPr>
                <w:t>Financial Statements and Supplementary Data</w:t>
              </w:r>
            </w:hyperlink>
          </w:p>
        </w:tc>
        <w:tc>
          <w:tcPr>
            <w:tcW w:w="1020" w:type="dxa"/>
            <w:vAlign w:val="bottom"/>
            <w:tcBorders>
              <w:top w:val="single" w:sz="8" w:color="0000EE"/>
            </w:tcBorders>
            <w:gridSpan w:val="6"/>
          </w:tcPr>
          <w:p>
            <w:pPr>
              <w:spacing w:after="0"/>
              <w:rPr>
                <w:sz w:val="21"/>
                <w:szCs w:val="21"/>
                <w:color w:val="auto"/>
              </w:rPr>
            </w:pPr>
          </w:p>
        </w:tc>
        <w:tc>
          <w:tcPr>
            <w:tcW w:w="4600" w:type="dxa"/>
            <w:vAlign w:val="bottom"/>
            <w:gridSpan w:val="10"/>
          </w:tcPr>
          <w:p>
            <w:pPr>
              <w:spacing w:after="0"/>
              <w:rPr>
                <w:sz w:val="21"/>
                <w:szCs w:val="21"/>
                <w:color w:val="auto"/>
              </w:rPr>
            </w:pPr>
          </w:p>
        </w:tc>
        <w:tc>
          <w:tcPr>
            <w:tcW w:w="1020" w:type="dxa"/>
            <w:vAlign w:val="bottom"/>
          </w:tcPr>
          <w:p>
            <w:pPr>
              <w:jc w:val="right"/>
              <w:ind w:right="191"/>
              <w:spacing w:after="0"/>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49</w:t>
              </w:r>
            </w:hyperlink>
          </w:p>
        </w:tc>
      </w:tr>
      <w:tr>
        <w:trPr>
          <w:trHeight w:val="25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101">
              <w:r>
                <w:rPr>
                  <w:rFonts w:ascii="Times New Roman" w:cs="Times New Roman" w:eastAsia="Times New Roman" w:hAnsi="Times New Roman"/>
                  <w:sz w:val="18"/>
                  <w:szCs w:val="18"/>
                  <w:b w:val="1"/>
                  <w:bCs w:val="1"/>
                  <w:color w:val="0000EE"/>
                  <w:w w:val="96"/>
                </w:rPr>
                <w:t>Item 9.</w:t>
              </w:r>
            </w:hyperlink>
          </w:p>
        </w:tc>
        <w:tc>
          <w:tcPr>
            <w:tcW w:w="600" w:type="dxa"/>
            <w:vAlign w:val="bottom"/>
            <w:gridSpan w:val="4"/>
          </w:tcPr>
          <w:p>
            <w:pPr>
              <w:spacing w:after="0"/>
              <w:rPr>
                <w:sz w:val="21"/>
                <w:szCs w:val="21"/>
                <w:color w:val="auto"/>
              </w:rPr>
            </w:pPr>
          </w:p>
        </w:tc>
        <w:tc>
          <w:tcPr>
            <w:tcW w:w="9220" w:type="dxa"/>
            <w:vAlign w:val="bottom"/>
            <w:gridSpan w:val="30"/>
          </w:tcPr>
          <w:p>
            <w:pPr>
              <w:spacing w:after="0"/>
              <w:rPr>
                <w:rFonts w:ascii="Times New Roman" w:cs="Times New Roman" w:eastAsia="Times New Roman" w:hAnsi="Times New Roman"/>
                <w:sz w:val="18"/>
                <w:szCs w:val="18"/>
                <w:b w:val="1"/>
                <w:bCs w:val="1"/>
                <w:color w:val="0000EE"/>
              </w:rPr>
            </w:pPr>
            <w:hyperlink w:anchor="page101">
              <w:r>
                <w:rPr>
                  <w:rFonts w:ascii="Times New Roman" w:cs="Times New Roman" w:eastAsia="Times New Roman" w:hAnsi="Times New Roman"/>
                  <w:sz w:val="18"/>
                  <w:szCs w:val="18"/>
                  <w:b w:val="1"/>
                  <w:bCs w:val="1"/>
                  <w:color w:val="0000EE"/>
                </w:rPr>
                <w:t>Changes in and Disagreements With Accountants on Accounting and Financial Disclosure</w:t>
              </w:r>
            </w:hyperlink>
          </w:p>
        </w:tc>
        <w:tc>
          <w:tcPr>
            <w:tcW w:w="1020" w:type="dxa"/>
            <w:vAlign w:val="bottom"/>
          </w:tcPr>
          <w:p>
            <w:pPr>
              <w:jc w:val="right"/>
              <w:ind w:right="171"/>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101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8"/>
              </w:rPr>
            </w:pPr>
            <w:hyperlink w:anchor="page101">
              <w:r>
                <w:rPr>
                  <w:rFonts w:ascii="Times New Roman" w:cs="Times New Roman" w:eastAsia="Times New Roman" w:hAnsi="Times New Roman"/>
                  <w:sz w:val="18"/>
                  <w:szCs w:val="18"/>
                  <w:b w:val="1"/>
                  <w:bCs w:val="1"/>
                  <w:color w:val="0000EE"/>
                  <w:w w:val="98"/>
                </w:rPr>
                <w:t>Item 9A.</w:t>
              </w:r>
            </w:hyperlink>
          </w:p>
        </w:tc>
        <w:tc>
          <w:tcPr>
            <w:tcW w:w="460" w:type="dxa"/>
            <w:vAlign w:val="bottom"/>
          </w:tcPr>
          <w:p>
            <w:pPr>
              <w:spacing w:after="0"/>
              <w:rPr>
                <w:sz w:val="21"/>
                <w:szCs w:val="21"/>
                <w:color w:val="auto"/>
              </w:rPr>
            </w:pPr>
          </w:p>
        </w:tc>
        <w:tc>
          <w:tcPr>
            <w:tcW w:w="192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8"/>
              </w:rPr>
            </w:pPr>
            <w:hyperlink w:anchor="page101">
              <w:r>
                <w:rPr>
                  <w:rFonts w:ascii="Times New Roman" w:cs="Times New Roman" w:eastAsia="Times New Roman" w:hAnsi="Times New Roman"/>
                  <w:sz w:val="18"/>
                  <w:szCs w:val="18"/>
                  <w:b w:val="1"/>
                  <w:bCs w:val="1"/>
                  <w:color w:val="0000EE"/>
                  <w:w w:val="98"/>
                </w:rPr>
                <w:t>Controls and Procedures</w:t>
              </w:r>
            </w:hyperlink>
          </w:p>
        </w:tc>
        <w:tc>
          <w:tcPr>
            <w:tcW w:w="7300" w:type="dxa"/>
            <w:vAlign w:val="bottom"/>
            <w:gridSpan w:val="20"/>
          </w:tcPr>
          <w:p>
            <w:pPr>
              <w:spacing w:after="0"/>
              <w:rPr>
                <w:sz w:val="21"/>
                <w:szCs w:val="21"/>
                <w:color w:val="auto"/>
              </w:rPr>
            </w:pPr>
          </w:p>
        </w:tc>
        <w:tc>
          <w:tcPr>
            <w:tcW w:w="1020" w:type="dxa"/>
            <w:vAlign w:val="bottom"/>
          </w:tcPr>
          <w:p>
            <w:pPr>
              <w:jc w:val="right"/>
              <w:ind w:right="171"/>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101</w:t>
              </w:r>
            </w:hyperlink>
          </w:p>
        </w:tc>
      </w:tr>
      <w:tr>
        <w:trPr>
          <w:trHeight w:val="250"/>
        </w:trPr>
        <w:tc>
          <w:tcPr>
            <w:tcW w:w="1140" w:type="dxa"/>
            <w:vAlign w:val="bottom"/>
            <w:gridSpan w:val="5"/>
          </w:tcPr>
          <w:p>
            <w:pPr>
              <w:spacing w:after="0"/>
              <w:rPr>
                <w:rFonts w:ascii="Times New Roman" w:cs="Times New Roman" w:eastAsia="Times New Roman" w:hAnsi="Times New Roman"/>
                <w:sz w:val="18"/>
                <w:szCs w:val="18"/>
                <w:b w:val="1"/>
                <w:bCs w:val="1"/>
                <w:color w:val="0000EE"/>
              </w:rPr>
            </w:pPr>
            <w:hyperlink w:anchor="page102">
              <w:r>
                <w:rPr>
                  <w:rFonts w:ascii="Times New Roman" w:cs="Times New Roman" w:eastAsia="Times New Roman" w:hAnsi="Times New Roman"/>
                  <w:sz w:val="18"/>
                  <w:szCs w:val="18"/>
                  <w:b w:val="1"/>
                  <w:bCs w:val="1"/>
                  <w:color w:val="0000EE"/>
                </w:rPr>
                <w:t>Item 9B.</w:t>
              </w:r>
            </w:hyperlink>
          </w:p>
        </w:tc>
        <w:tc>
          <w:tcPr>
            <w:tcW w:w="9220" w:type="dxa"/>
            <w:vAlign w:val="bottom"/>
            <w:gridSpan w:val="30"/>
          </w:tcPr>
          <w:p>
            <w:pPr>
              <w:spacing w:after="0"/>
              <w:rPr>
                <w:rFonts w:ascii="Times New Roman" w:cs="Times New Roman" w:eastAsia="Times New Roman" w:hAnsi="Times New Roman"/>
                <w:sz w:val="18"/>
                <w:szCs w:val="18"/>
                <w:b w:val="1"/>
                <w:bCs w:val="1"/>
                <w:color w:val="0000EE"/>
              </w:rPr>
            </w:pPr>
            <w:hyperlink w:anchor="page102">
              <w:r>
                <w:rPr>
                  <w:rFonts w:ascii="Times New Roman" w:cs="Times New Roman" w:eastAsia="Times New Roman" w:hAnsi="Times New Roman"/>
                  <w:sz w:val="18"/>
                  <w:szCs w:val="18"/>
                  <w:b w:val="1"/>
                  <w:bCs w:val="1"/>
                  <w:color w:val="0000EE"/>
                </w:rPr>
                <w:t>Other Information</w:t>
              </w:r>
            </w:hyperlink>
          </w:p>
        </w:tc>
        <w:tc>
          <w:tcPr>
            <w:tcW w:w="1020" w:type="dxa"/>
            <w:vAlign w:val="bottom"/>
          </w:tcPr>
          <w:p>
            <w:pPr>
              <w:jc w:val="right"/>
              <w:ind w:right="171"/>
              <w:spacing w:after="0"/>
              <w:rPr>
                <w:rFonts w:ascii="Times New Roman" w:cs="Times New Roman" w:eastAsia="Times New Roman" w:hAnsi="Times New Roman"/>
                <w:sz w:val="18"/>
                <w:szCs w:val="18"/>
                <w:color w:val="auto"/>
              </w:rPr>
            </w:pPr>
            <w:hyperlink w:anchor="page102">
              <w:r>
                <w:rPr>
                  <w:rFonts w:ascii="Times New Roman" w:cs="Times New Roman" w:eastAsia="Times New Roman" w:hAnsi="Times New Roman"/>
                  <w:sz w:val="18"/>
                  <w:szCs w:val="18"/>
                  <w:color w:val="auto"/>
                </w:rPr>
                <w:t>102</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Times New Roman" w:cs="Times New Roman" w:eastAsia="Times New Roman" w:hAnsi="Times New Roman"/>
                <w:sz w:val="18"/>
                <w:szCs w:val="18"/>
                <w:b w:val="1"/>
                <w:bCs w:val="1"/>
                <w:color w:val="0000EE"/>
                <w:w w:val="96"/>
              </w:rPr>
            </w:pPr>
            <w:hyperlink w:anchor="page103">
              <w:r>
                <w:rPr>
                  <w:rFonts w:ascii="Times New Roman" w:cs="Times New Roman" w:eastAsia="Times New Roman" w:hAnsi="Times New Roman"/>
                  <w:sz w:val="18"/>
                  <w:szCs w:val="18"/>
                  <w:b w:val="1"/>
                  <w:bCs w:val="1"/>
                  <w:color w:val="0000EE"/>
                  <w:w w:val="96"/>
                </w:rPr>
                <w:t>PART III</w:t>
              </w:r>
            </w:hyperlink>
          </w:p>
        </w:tc>
        <w:tc>
          <w:tcPr>
            <w:tcW w:w="43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1140" w:type="dxa"/>
            <w:vAlign w:val="bottom"/>
            <w:gridSpan w:val="5"/>
          </w:tcPr>
          <w:p>
            <w:pPr>
              <w:spacing w:after="0"/>
              <w:rPr>
                <w:rFonts w:ascii="Times New Roman" w:cs="Times New Roman" w:eastAsia="Times New Roman" w:hAnsi="Times New Roman"/>
                <w:sz w:val="18"/>
                <w:szCs w:val="18"/>
                <w:b w:val="1"/>
                <w:bCs w:val="1"/>
                <w:color w:val="0000EE"/>
              </w:rPr>
            </w:pPr>
            <w:hyperlink w:anchor="page103">
              <w:r>
                <w:rPr>
                  <w:rFonts w:ascii="Times New Roman" w:cs="Times New Roman" w:eastAsia="Times New Roman" w:hAnsi="Times New Roman"/>
                  <w:sz w:val="18"/>
                  <w:szCs w:val="18"/>
                  <w:b w:val="1"/>
                  <w:bCs w:val="1"/>
                  <w:color w:val="0000EE"/>
                </w:rPr>
                <w:t>Item 10.</w:t>
              </w:r>
            </w:hyperlink>
          </w:p>
        </w:tc>
        <w:tc>
          <w:tcPr>
            <w:tcW w:w="9220" w:type="dxa"/>
            <w:vAlign w:val="bottom"/>
            <w:gridSpan w:val="30"/>
          </w:tcPr>
          <w:p>
            <w:pPr>
              <w:spacing w:after="0"/>
              <w:rPr>
                <w:rFonts w:ascii="Times New Roman" w:cs="Times New Roman" w:eastAsia="Times New Roman" w:hAnsi="Times New Roman"/>
                <w:sz w:val="18"/>
                <w:szCs w:val="18"/>
                <w:b w:val="1"/>
                <w:bCs w:val="1"/>
                <w:color w:val="0000EE"/>
              </w:rPr>
            </w:pPr>
            <w:hyperlink w:anchor="page103">
              <w:r>
                <w:rPr>
                  <w:rFonts w:ascii="Times New Roman" w:cs="Times New Roman" w:eastAsia="Times New Roman" w:hAnsi="Times New Roman"/>
                  <w:sz w:val="18"/>
                  <w:szCs w:val="18"/>
                  <w:b w:val="1"/>
                  <w:bCs w:val="1"/>
                  <w:color w:val="0000EE"/>
                </w:rPr>
                <w:t>Directors, Executive Officers and Corporate Governance</w:t>
              </w:r>
            </w:hyperlink>
          </w:p>
        </w:tc>
        <w:tc>
          <w:tcPr>
            <w:tcW w:w="1020" w:type="dxa"/>
            <w:vAlign w:val="bottom"/>
          </w:tcPr>
          <w:p>
            <w:pPr>
              <w:jc w:val="right"/>
              <w:ind w:right="171"/>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103</w:t>
              </w:r>
            </w:hyperlink>
          </w:p>
        </w:tc>
      </w:tr>
      <w:tr>
        <w:trPr>
          <w:trHeight w:val="250"/>
        </w:trPr>
        <w:tc>
          <w:tcPr>
            <w:tcW w:w="620" w:type="dxa"/>
            <w:vAlign w:val="bottom"/>
            <w:tcBorders>
              <w:top w:val="single" w:sz="8" w:color="0000EE"/>
            </w:tcBorders>
            <w:gridSpan w:val="2"/>
          </w:tcPr>
          <w:p>
            <w:pPr>
              <w:spacing w:after="0"/>
              <w:rPr>
                <w:rFonts w:ascii="Times New Roman" w:cs="Times New Roman" w:eastAsia="Times New Roman" w:hAnsi="Times New Roman"/>
                <w:sz w:val="18"/>
                <w:szCs w:val="18"/>
                <w:b w:val="1"/>
                <w:bCs w:val="1"/>
                <w:color w:val="0000EE"/>
                <w:w w:val="95"/>
              </w:rPr>
            </w:pPr>
            <w:hyperlink w:anchor="page103">
              <w:r>
                <w:rPr>
                  <w:rFonts w:ascii="Times New Roman" w:cs="Times New Roman" w:eastAsia="Times New Roman" w:hAnsi="Times New Roman"/>
                  <w:sz w:val="18"/>
                  <w:szCs w:val="18"/>
                  <w:b w:val="1"/>
                  <w:bCs w:val="1"/>
                  <w:color w:val="0000EE"/>
                  <w:w w:val="95"/>
                </w:rPr>
                <w:t>Item 11.</w:t>
              </w:r>
            </w:hyperlink>
          </w:p>
        </w:tc>
        <w:tc>
          <w:tcPr>
            <w:tcW w:w="520" w:type="dxa"/>
            <w:vAlign w:val="bottom"/>
            <w:gridSpan w:val="3"/>
          </w:tcPr>
          <w:p>
            <w:pPr>
              <w:spacing w:after="0"/>
              <w:rPr>
                <w:sz w:val="21"/>
                <w:szCs w:val="21"/>
                <w:color w:val="auto"/>
              </w:rPr>
            </w:pPr>
          </w:p>
        </w:tc>
        <w:tc>
          <w:tcPr>
            <w:tcW w:w="4380" w:type="dxa"/>
            <w:vAlign w:val="bottom"/>
            <w:tcBorders>
              <w:top w:val="single" w:sz="8" w:color="0000EE"/>
            </w:tcBorders>
            <w:gridSpan w:val="19"/>
          </w:tcPr>
          <w:p>
            <w:pPr>
              <w:spacing w:after="0"/>
              <w:rPr>
                <w:rFonts w:ascii="Times New Roman" w:cs="Times New Roman" w:eastAsia="Times New Roman" w:hAnsi="Times New Roman"/>
                <w:sz w:val="18"/>
                <w:szCs w:val="18"/>
                <w:b w:val="1"/>
                <w:bCs w:val="1"/>
                <w:color w:val="0000EE"/>
              </w:rPr>
            </w:pPr>
            <w:hyperlink w:anchor="page103">
              <w:r>
                <w:rPr>
                  <w:rFonts w:ascii="Times New Roman" w:cs="Times New Roman" w:eastAsia="Times New Roman" w:hAnsi="Times New Roman"/>
                  <w:sz w:val="18"/>
                  <w:szCs w:val="18"/>
                  <w:b w:val="1"/>
                  <w:bCs w:val="1"/>
                  <w:color w:val="0000EE"/>
                </w:rPr>
                <w:t>Executive Compensation</w:t>
              </w:r>
            </w:hyperlink>
          </w:p>
        </w:tc>
        <w:tc>
          <w:tcPr>
            <w:tcW w:w="4840" w:type="dxa"/>
            <w:vAlign w:val="bottom"/>
            <w:gridSpan w:val="11"/>
          </w:tcPr>
          <w:p>
            <w:pPr>
              <w:spacing w:after="0"/>
              <w:rPr>
                <w:sz w:val="21"/>
                <w:szCs w:val="21"/>
                <w:color w:val="auto"/>
              </w:rPr>
            </w:pPr>
          </w:p>
        </w:tc>
        <w:tc>
          <w:tcPr>
            <w:tcW w:w="1020" w:type="dxa"/>
            <w:vAlign w:val="bottom"/>
          </w:tcPr>
          <w:p>
            <w:pPr>
              <w:jc w:val="right"/>
              <w:ind w:right="171"/>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103</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Times New Roman" w:cs="Times New Roman" w:eastAsia="Times New Roman" w:hAnsi="Times New Roman"/>
                <w:sz w:val="18"/>
                <w:szCs w:val="18"/>
                <w:b w:val="1"/>
                <w:bCs w:val="1"/>
                <w:color w:val="0000EE"/>
              </w:rPr>
            </w:pPr>
            <w:hyperlink w:anchor="page103">
              <w:r>
                <w:rPr>
                  <w:rFonts w:ascii="Times New Roman" w:cs="Times New Roman" w:eastAsia="Times New Roman" w:hAnsi="Times New Roman"/>
                  <w:sz w:val="18"/>
                  <w:szCs w:val="18"/>
                  <w:b w:val="1"/>
                  <w:bCs w:val="1"/>
                  <w:color w:val="0000EE"/>
                </w:rPr>
                <w:t>Item 12.</w:t>
              </w:r>
            </w:hyperlink>
          </w:p>
        </w:tc>
        <w:tc>
          <w:tcPr>
            <w:tcW w:w="9220" w:type="dxa"/>
            <w:vAlign w:val="bottom"/>
            <w:gridSpan w:val="30"/>
          </w:tcPr>
          <w:p>
            <w:pPr>
              <w:spacing w:after="0"/>
              <w:rPr>
                <w:rFonts w:ascii="Times New Roman" w:cs="Times New Roman" w:eastAsia="Times New Roman" w:hAnsi="Times New Roman"/>
                <w:sz w:val="18"/>
                <w:szCs w:val="18"/>
                <w:b w:val="1"/>
                <w:bCs w:val="1"/>
                <w:color w:val="0000EE"/>
              </w:rPr>
            </w:pPr>
            <w:hyperlink w:anchor="page103">
              <w:r>
                <w:rPr>
                  <w:rFonts w:ascii="Times New Roman" w:cs="Times New Roman" w:eastAsia="Times New Roman" w:hAnsi="Times New Roman"/>
                  <w:sz w:val="18"/>
                  <w:szCs w:val="18"/>
                  <w:b w:val="1"/>
                  <w:bCs w:val="1"/>
                  <w:color w:val="0000EE"/>
                </w:rPr>
                <w:t>Security Ownership of Certain Beneficial Owners and Management and Related Stockholder Matters</w:t>
              </w:r>
            </w:hyperlink>
          </w:p>
        </w:tc>
        <w:tc>
          <w:tcPr>
            <w:tcW w:w="1020" w:type="dxa"/>
            <w:vAlign w:val="bottom"/>
          </w:tcPr>
          <w:p>
            <w:pPr>
              <w:jc w:val="right"/>
              <w:ind w:right="171"/>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103</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Times New Roman" w:cs="Times New Roman" w:eastAsia="Times New Roman" w:hAnsi="Times New Roman"/>
                <w:sz w:val="18"/>
                <w:szCs w:val="18"/>
                <w:b w:val="1"/>
                <w:bCs w:val="1"/>
                <w:color w:val="0000EE"/>
              </w:rPr>
            </w:pPr>
            <w:hyperlink w:anchor="page103">
              <w:r>
                <w:rPr>
                  <w:rFonts w:ascii="Times New Roman" w:cs="Times New Roman" w:eastAsia="Times New Roman" w:hAnsi="Times New Roman"/>
                  <w:sz w:val="18"/>
                  <w:szCs w:val="18"/>
                  <w:b w:val="1"/>
                  <w:bCs w:val="1"/>
                  <w:color w:val="0000EE"/>
                </w:rPr>
                <w:t>Item 13.</w:t>
              </w:r>
            </w:hyperlink>
          </w:p>
        </w:tc>
        <w:tc>
          <w:tcPr>
            <w:tcW w:w="9220" w:type="dxa"/>
            <w:vAlign w:val="bottom"/>
            <w:gridSpan w:val="30"/>
          </w:tcPr>
          <w:p>
            <w:pPr>
              <w:spacing w:after="0"/>
              <w:rPr>
                <w:rFonts w:ascii="Times New Roman" w:cs="Times New Roman" w:eastAsia="Times New Roman" w:hAnsi="Times New Roman"/>
                <w:sz w:val="18"/>
                <w:szCs w:val="18"/>
                <w:b w:val="1"/>
                <w:bCs w:val="1"/>
                <w:color w:val="0000EE"/>
              </w:rPr>
            </w:pPr>
            <w:hyperlink w:anchor="page103">
              <w:r>
                <w:rPr>
                  <w:rFonts w:ascii="Times New Roman" w:cs="Times New Roman" w:eastAsia="Times New Roman" w:hAnsi="Times New Roman"/>
                  <w:sz w:val="18"/>
                  <w:szCs w:val="18"/>
                  <w:b w:val="1"/>
                  <w:bCs w:val="1"/>
                  <w:color w:val="0000EE"/>
                </w:rPr>
                <w:t>Certain Relationships and Related Transactions, and Director Independence</w:t>
              </w:r>
            </w:hyperlink>
          </w:p>
        </w:tc>
        <w:tc>
          <w:tcPr>
            <w:tcW w:w="1020" w:type="dxa"/>
            <w:vAlign w:val="bottom"/>
          </w:tcPr>
          <w:p>
            <w:pPr>
              <w:jc w:val="right"/>
              <w:ind w:right="171"/>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103</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Times New Roman" w:cs="Times New Roman" w:eastAsia="Times New Roman" w:hAnsi="Times New Roman"/>
                <w:sz w:val="18"/>
                <w:szCs w:val="18"/>
                <w:b w:val="1"/>
                <w:bCs w:val="1"/>
                <w:color w:val="0000EE"/>
              </w:rPr>
            </w:pPr>
            <w:hyperlink w:anchor="page103">
              <w:r>
                <w:rPr>
                  <w:rFonts w:ascii="Times New Roman" w:cs="Times New Roman" w:eastAsia="Times New Roman" w:hAnsi="Times New Roman"/>
                  <w:sz w:val="18"/>
                  <w:szCs w:val="18"/>
                  <w:b w:val="1"/>
                  <w:bCs w:val="1"/>
                  <w:color w:val="0000EE"/>
                </w:rPr>
                <w:t>Item 14.</w:t>
              </w:r>
            </w:hyperlink>
          </w:p>
        </w:tc>
        <w:tc>
          <w:tcPr>
            <w:tcW w:w="9220" w:type="dxa"/>
            <w:vAlign w:val="bottom"/>
            <w:gridSpan w:val="30"/>
          </w:tcPr>
          <w:p>
            <w:pPr>
              <w:spacing w:after="0"/>
              <w:rPr>
                <w:rFonts w:ascii="Times New Roman" w:cs="Times New Roman" w:eastAsia="Times New Roman" w:hAnsi="Times New Roman"/>
                <w:sz w:val="18"/>
                <w:szCs w:val="18"/>
                <w:b w:val="1"/>
                <w:bCs w:val="1"/>
                <w:color w:val="0000EE"/>
              </w:rPr>
            </w:pPr>
            <w:hyperlink w:anchor="page103">
              <w:r>
                <w:rPr>
                  <w:rFonts w:ascii="Times New Roman" w:cs="Times New Roman" w:eastAsia="Times New Roman" w:hAnsi="Times New Roman"/>
                  <w:sz w:val="18"/>
                  <w:szCs w:val="18"/>
                  <w:b w:val="1"/>
                  <w:bCs w:val="1"/>
                  <w:color w:val="0000EE"/>
                </w:rPr>
                <w:t>Principal Accounting Fees and Services</w:t>
              </w:r>
            </w:hyperlink>
          </w:p>
        </w:tc>
        <w:tc>
          <w:tcPr>
            <w:tcW w:w="1020" w:type="dxa"/>
            <w:vAlign w:val="bottom"/>
          </w:tcPr>
          <w:p>
            <w:pPr>
              <w:jc w:val="right"/>
              <w:ind w:right="171"/>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103</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40" w:type="dxa"/>
            <w:vAlign w:val="bottom"/>
            <w:gridSpan w:val="15"/>
          </w:tcPr>
          <w:p>
            <w:pPr>
              <w:jc w:val="center"/>
              <w:ind w:right="4320"/>
              <w:spacing w:after="0"/>
              <w:rPr>
                <w:rFonts w:ascii="Times New Roman" w:cs="Times New Roman" w:eastAsia="Times New Roman" w:hAnsi="Times New Roman"/>
                <w:sz w:val="18"/>
                <w:szCs w:val="18"/>
                <w:b w:val="1"/>
                <w:bCs w:val="1"/>
                <w:color w:val="0000EE"/>
                <w:w w:val="97"/>
              </w:rPr>
            </w:pPr>
            <w:hyperlink w:anchor="page104">
              <w:r>
                <w:rPr>
                  <w:rFonts w:ascii="Times New Roman" w:cs="Times New Roman" w:eastAsia="Times New Roman" w:hAnsi="Times New Roman"/>
                  <w:sz w:val="18"/>
                  <w:szCs w:val="18"/>
                  <w:b w:val="1"/>
                  <w:bCs w:val="1"/>
                  <w:color w:val="0000EE"/>
                  <w:w w:val="97"/>
                </w:rPr>
                <w:t>PART IV</w:t>
              </w:r>
            </w:hyperlink>
          </w:p>
        </w:tc>
        <w:tc>
          <w:tcPr>
            <w:tcW w:w="1020" w:type="dxa"/>
            <w:vAlign w:val="bottom"/>
          </w:tcPr>
          <w:p>
            <w:pPr>
              <w:spacing w:after="0"/>
              <w:rPr>
                <w:sz w:val="24"/>
                <w:szCs w:val="24"/>
                <w:color w:val="auto"/>
              </w:rPr>
            </w:pPr>
          </w:p>
        </w:tc>
      </w:tr>
      <w:tr>
        <w:trPr>
          <w:trHeight w:val="250"/>
        </w:trPr>
        <w:tc>
          <w:tcPr>
            <w:tcW w:w="1140" w:type="dxa"/>
            <w:vAlign w:val="bottom"/>
            <w:gridSpan w:val="5"/>
          </w:tcPr>
          <w:p>
            <w:pPr>
              <w:spacing w:after="0"/>
              <w:rPr>
                <w:rFonts w:ascii="Times New Roman" w:cs="Times New Roman" w:eastAsia="Times New Roman" w:hAnsi="Times New Roman"/>
                <w:sz w:val="18"/>
                <w:szCs w:val="18"/>
                <w:b w:val="1"/>
                <w:bCs w:val="1"/>
                <w:color w:val="0000EE"/>
              </w:rPr>
            </w:pPr>
            <w:hyperlink w:anchor="page104">
              <w:r>
                <w:rPr>
                  <w:rFonts w:ascii="Times New Roman" w:cs="Times New Roman" w:eastAsia="Times New Roman" w:hAnsi="Times New Roman"/>
                  <w:sz w:val="18"/>
                  <w:szCs w:val="18"/>
                  <w:b w:val="1"/>
                  <w:bCs w:val="1"/>
                  <w:color w:val="0000EE"/>
                </w:rPr>
                <w:t>Item 15.</w:t>
              </w:r>
            </w:hyperlink>
          </w:p>
        </w:tc>
        <w:tc>
          <w:tcPr>
            <w:tcW w:w="4200" w:type="dxa"/>
            <w:vAlign w:val="bottom"/>
            <w:gridSpan w:val="16"/>
          </w:tcPr>
          <w:p>
            <w:pPr>
              <w:spacing w:after="0"/>
              <w:rPr>
                <w:rFonts w:ascii="Times New Roman" w:cs="Times New Roman" w:eastAsia="Times New Roman" w:hAnsi="Times New Roman"/>
                <w:sz w:val="18"/>
                <w:szCs w:val="18"/>
                <w:b w:val="1"/>
                <w:bCs w:val="1"/>
                <w:color w:val="0000EE"/>
              </w:rPr>
            </w:pPr>
            <w:hyperlink w:anchor="page104">
              <w:r>
                <w:rPr>
                  <w:rFonts w:ascii="Times New Roman" w:cs="Times New Roman" w:eastAsia="Times New Roman" w:hAnsi="Times New Roman"/>
                  <w:sz w:val="18"/>
                  <w:szCs w:val="18"/>
                  <w:b w:val="1"/>
                  <w:bCs w:val="1"/>
                  <w:color w:val="0000EE"/>
                </w:rPr>
                <w:t>Exhibits, Financial Statement Schedules</w:t>
              </w:r>
            </w:hyperlink>
          </w:p>
        </w:tc>
        <w:tc>
          <w:tcPr>
            <w:tcW w:w="700" w:type="dxa"/>
            <w:vAlign w:val="bottom"/>
            <w:tcBorders>
              <w:top w:val="single" w:sz="8" w:color="0000EE"/>
            </w:tcBorders>
            <w:gridSpan w:val="7"/>
          </w:tcPr>
          <w:p>
            <w:pPr>
              <w:spacing w:after="0"/>
              <w:rPr>
                <w:sz w:val="21"/>
                <w:szCs w:val="21"/>
                <w:color w:val="auto"/>
              </w:rPr>
            </w:pPr>
          </w:p>
        </w:tc>
        <w:tc>
          <w:tcPr>
            <w:tcW w:w="4320" w:type="dxa"/>
            <w:vAlign w:val="bottom"/>
            <w:gridSpan w:val="7"/>
          </w:tcPr>
          <w:p>
            <w:pPr>
              <w:spacing w:after="0"/>
              <w:rPr>
                <w:sz w:val="21"/>
                <w:szCs w:val="21"/>
                <w:color w:val="auto"/>
              </w:rPr>
            </w:pPr>
          </w:p>
        </w:tc>
        <w:tc>
          <w:tcPr>
            <w:tcW w:w="1020" w:type="dxa"/>
            <w:vAlign w:val="bottom"/>
          </w:tcPr>
          <w:p>
            <w:pPr>
              <w:jc w:val="right"/>
              <w:ind w:right="171"/>
              <w:spacing w:after="0"/>
              <w:rPr>
                <w:rFonts w:ascii="Times New Roman" w:cs="Times New Roman" w:eastAsia="Times New Roman" w:hAnsi="Times New Roman"/>
                <w:sz w:val="18"/>
                <w:szCs w:val="18"/>
                <w:color w:val="auto"/>
              </w:rPr>
            </w:pPr>
            <w:hyperlink w:anchor="page104">
              <w:r>
                <w:rPr>
                  <w:rFonts w:ascii="Times New Roman" w:cs="Times New Roman" w:eastAsia="Times New Roman" w:hAnsi="Times New Roman"/>
                  <w:sz w:val="18"/>
                  <w:szCs w:val="18"/>
                  <w:color w:val="auto"/>
                </w:rPr>
                <w:t>104</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6140" w:type="dxa"/>
            <w:vAlign w:val="bottom"/>
            <w:gridSpan w:val="1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Times New Roman" w:cs="Times New Roman" w:eastAsia="Times New Roman" w:hAnsi="Times New Roman"/>
                <w:sz w:val="18"/>
                <w:szCs w:val="18"/>
                <w:b w:val="1"/>
                <w:bCs w:val="1"/>
                <w:color w:val="0000EE"/>
              </w:rPr>
            </w:pPr>
            <w:hyperlink w:anchor="page108">
              <w:r>
                <w:rPr>
                  <w:rFonts w:ascii="Times New Roman" w:cs="Times New Roman" w:eastAsia="Times New Roman" w:hAnsi="Times New Roman"/>
                  <w:sz w:val="18"/>
                  <w:szCs w:val="18"/>
                  <w:b w:val="1"/>
                  <w:bCs w:val="1"/>
                  <w:color w:val="0000EE"/>
                </w:rPr>
                <w:t>Item 16.</w:t>
              </w:r>
            </w:hyperlink>
          </w:p>
        </w:tc>
        <w:tc>
          <w:tcPr>
            <w:tcW w:w="9220" w:type="dxa"/>
            <w:vAlign w:val="bottom"/>
            <w:gridSpan w:val="30"/>
          </w:tcPr>
          <w:p>
            <w:pPr>
              <w:spacing w:after="0"/>
              <w:rPr>
                <w:rFonts w:ascii="Times New Roman" w:cs="Times New Roman" w:eastAsia="Times New Roman" w:hAnsi="Times New Roman"/>
                <w:sz w:val="18"/>
                <w:szCs w:val="18"/>
                <w:b w:val="1"/>
                <w:bCs w:val="1"/>
                <w:color w:val="0000EE"/>
              </w:rPr>
            </w:pPr>
            <w:hyperlink w:anchor="page108">
              <w:r>
                <w:rPr>
                  <w:rFonts w:ascii="Times New Roman" w:cs="Times New Roman" w:eastAsia="Times New Roman" w:hAnsi="Times New Roman"/>
                  <w:sz w:val="18"/>
                  <w:szCs w:val="18"/>
                  <w:b w:val="1"/>
                  <w:bCs w:val="1"/>
                  <w:color w:val="0000EE"/>
                </w:rPr>
                <w:t>Form 10-K Summary</w:t>
              </w:r>
            </w:hyperlink>
          </w:p>
        </w:tc>
        <w:tc>
          <w:tcPr>
            <w:tcW w:w="1020" w:type="dxa"/>
            <w:vAlign w:val="bottom"/>
          </w:tcPr>
          <w:p>
            <w:pPr>
              <w:jc w:val="right"/>
              <w:ind w:right="171"/>
              <w:spacing w:after="0"/>
              <w:rPr>
                <w:rFonts w:ascii="Times New Roman" w:cs="Times New Roman" w:eastAsia="Times New Roman" w:hAnsi="Times New Roman"/>
                <w:sz w:val="18"/>
                <w:szCs w:val="18"/>
                <w:color w:val="auto"/>
              </w:rPr>
            </w:pPr>
            <w:hyperlink w:anchor="page108">
              <w:r>
                <w:rPr>
                  <w:rFonts w:ascii="Times New Roman" w:cs="Times New Roman" w:eastAsia="Times New Roman" w:hAnsi="Times New Roman"/>
                  <w:sz w:val="18"/>
                  <w:szCs w:val="18"/>
                  <w:color w:val="auto"/>
                </w:rPr>
                <w:t>108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2018 (the "Annual Report") contains "forward-looking statements" within the meaning of the Securities Act of 1933, as amended, and the Securities Exchange Act of 1934, as amended.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 including in Item 1A. Risk Factors.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LendingTree, Inc. ("LendingTree", the "Company", "we" or "us") operates what we believe to be the leading online consumer platform that connects consumers with the choices they need to be confident in their financial decisions. Through multiple branded marketplaces, LendingTree empowers consumers to shop for financial services the same way they would shop for airline tickets or hotel stays, comparing multiple offers from a nationwide network of over 550 partners (which we refer to as "Network Partners") in one simple search, and choose the option that best fits their financial needs. Services include mortgage loans, mortgage refinances,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believe our platform, consisting of a deep network of Network Partners across a broad array of financial products, differentiates us from other loan or insurance comparison-shopping marketplaces which may focus on fewer product offerings or partner with fewer service providers.</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strategically designed and executed advertising and marketing campaigns (which we refer to as performance marketing) span a wide array of digital and traditional media acquisition channels and promote our LendingTree and other brands and product offerings. Our marketing efforts are designed to attract consumers to our websites and toll-free telephone numbers. Interested consumers complete inquiry forms, providing detailed information about themselves and the loans or other offerings they are seeking. We refer to such consumer inquiries as consumer requests. We then match these consumer requests with Network Partners in our marketplace that are seeking to serve these consumers' needs. We generate revenue from our Network Partners, generally at the time of transmitting a consumer request to them, in the form of a match fee. In certain instances outside our mortgage and insurance business, we charge other kinds of fees, such as closed loan or closed sale fees. In addition to our primary consumer request data referral business, LendingTree also matches consumers with Network Partners via website clicks and calls for which partners pay either front-end or back-end fees.</w:t>
      </w:r>
    </w:p>
    <w:p>
      <w:pPr>
        <w:spacing w:after="0" w:line="1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continually working to improve the consumer experience. We have made investments in technologically-adept personnel and we use in-market real-time testing to improve our digital platforms. Additionally, we work with our Network Partners, including providing training and other resources, to improve the consumer experience throughout the process. Further, we have been building and improving our My LendingTree platform, which provides a relationship-based consumer experience, rather than just a transaction-based experience.</w:t>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Evolution and Future Growth of Our Business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its inception, our original business was to serve consumers seeking home mortgage loans by matching them with various lenders. We launched the LendingTree brand nationally in 1998 and, over the last twenty years, we invested significantly in this brand to gain widespread consumer recognition.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 recently, we have actively sought to expand the suite of financial services offerings we provide to consumers, in order to both leverage the applicability of the LendingTree brand as well as more fully serve the needs of consumers and Network Partners. We believe that consumers with existing LendingTree-branded associations will be more likely to utilize our other service offerings than those of other providers whose brands consumers may not recognize.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2014, we re-launched My LendingTree, a platform that offers a personalized loan comparison-shopping experience, by providing free credit scores and credit score analysis. This platform enables us to observe consumers' credit profiles and then identify and alert them to loans and other offerings on our marketplace that may be more favorable than the terms they have at a given point in time. This is designed to provide consumers with measurable savings opportunities over their lifetimes.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Acquisitions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10, 2019, we acquired Value Holding Inc., the parent company of ValuePenguin Inc. ("ValuePenguin"), a personal finance website that offers consumers objective analysis on a variety of financial topics from insurance to credit cards. We believe that combining ValuePenguin’s high-quality content and search engine optimization capability with recently acquired proprietary technology and insurance carrier network from QuoteWizard.com, LLC ("QuoteWizard") (discussed below) enables us to provide immense value to carriers and agents. This strategic acquisition positions us to achieve further scale in the insurance space as well as the broader financial services industry.</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October 31, 2018, we acquired QuoteWizard.com, one of the largest insurance comparison marketplaces in the growing online insurance advertising market. QuoteWizard services clients by driving consumers to insurance companies’ websites, providing leads to agents and carriers, as well as phone transfers of consumers into carrier call centers. We believe this acquisition will establish LendingTree as a leading player in the online insurance advertising industry while continuing our ongoing diversification within the financial services category.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"Management's Discussion and Analysis of Financial Condition and Results of Operations - Results of Operations for the Years ended December 31, 2018, 2017, and 2016 - Revenue."</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23, 2018, we acquired Student Loan Hero, Inc. (“Student Loan Hero”), a personal finance website dedicated to helping student loan borrowers manage their student debt. Student Loan Hero offers current and former students in-depth financial comparison tools, educational resources, and unbiased, personalized advice. This strategic transaction allows us to scale our student loan business and provide consumers with the tools and resources to better understand their personal finances and make smarter financial decisions.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11, 2018, we acquired Ovation Credit Services, Inc. (“Ovation”), a leading provider of credit services with a strong customer service reputation.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 Ovation's experienced management team, strong credit bureau relationships and customized software platform enable us to help more consumers achieve their original financial goals through the LendingTree platform.</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19, 2017, we acquired certain assets of Snap Capital LLC ("SnapCap"). SnapCap is a tech-enabled online platform, which connects business owners with lenders offering small business loans, lines of credit and merchant cash advance products through a concierge-based sales approach. SnapCap's high-touch, high-conversion sales approach with our brand and performance marketing expertise has enabled growth in our small business offering.</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20, 2017, we acquired the membership interests of Camino Del Avion (Delaware), LLC, which does business under the name MagnifyMoney. MagnifyMoney is a leading consumer-facing media property that offers editorial content, expert commentary, tools and resources to help consumers compare financial products and make informed financial decisions.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MagnifyMoney team brings the expertise and infrastructure to expand content creation and distribution across all of our consumer facing brands, improving our presence and efficacy in acquisition channels such as search engine optimization.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14, 2017, we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 This acquisition represented our first offering to address the asset side of the consumer balance sheet.</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November 16, 2016, we acquired Iron Horse Holdings, LLC, which does business under the name CompareCards. CompareCards is a leading online source for side-by-side credit card comparison shopping. CompareCards provides consumers with one centralized location for pertinent credit card information needed to find the best card for their needs. CompareCards’ unique marketing platform and strong relationships with card issuers combined with LendingTree’s scale and organizational support have delivered substantial growth in our credit card business.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"Management's Discussion and Analysis of Financial Condition and Results of Operations - Results of Operations for the Years ended December 31, 2018, 2017, and 2016 - Revenue."</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report our revenues in two product categories: (i) mortgage products and (ii) non-mortgage products. Non-mortgage products include credit cards, personal loans, home equity loans, reverse mortgage loans, auto loans, small business loans, student loans and insurance quotes. Non-mortgage products also include deposit accounts, home improvement referrals and other credit products such as credit repair and debt settlement.</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Mortgage and non-mortgage product 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7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36830</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420" w:type="dxa"/>
            <w:vAlign w:val="bottom"/>
          </w:tcPr>
          <w:p>
            <w:pPr>
              <w:spacing w:after="0"/>
              <w:rPr>
                <w:sz w:val="18"/>
                <w:szCs w:val="18"/>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4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242,175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275,910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219,991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Non-mortgage products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522,690</w:t>
            </w:r>
          </w:p>
        </w:tc>
        <w:tc>
          <w:tcPr>
            <w:tcW w:w="4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341,826</w:t>
            </w: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164,411</w:t>
            </w: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764,865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617,736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384,402</w:t>
            </w:r>
          </w:p>
        </w:tc>
      </w:tr>
      <w:tr>
        <w:trPr>
          <w:trHeight w:val="27"/>
        </w:trPr>
        <w:tc>
          <w:tcPr>
            <w:tcW w:w="7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LendingTree does not charge consumers or small businesses for the use of our services, except for credit repair services. Revenues from our mortgage products are mostly derived from upfront match fees paid by Network Partners that receive a consumer request, and in some cases upfront fees for clicks or call transfers. Because a given consumer request form can be matched with more than one Network Partner, up to five match fees may be generated from a single consumer request form. Revenues from our non-mortgage products are derived from upfront match fees paid on delivery of a consumer request, click or call and closed loan fees. For our credit card product, we send click traffic to issuers and are paid per card approval. For the year ended December 31, 2018, there were no Network Partners accounting for more than 10% of total revenue. For the years ended December 31, 2017 and 2016, one Network Partner, Quicken Loans, accounted for 11% and 15% of total revenue, respectively. Another Network Partner, loanDepot, LLC, accounted for 13% of total revenue for the year ended December 31, 2016.</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Mortgage Products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mortgage products category includes our purchase and refinance products.</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partner with lenders throughout the United States to provide full geographic lending coverage and to offer a complete suite of loan offerings on our marketplace. To participate on our marketplace, lenders are required to enter into contracts with us that state the terms and conditions for such participation, although these contracts generally may be terminated for convenience by either party. We perform certain due diligence procedures on prospective new lenders, including screening against a national anti-fraud database maintained by the Mortgage Asset Research Institute, which helps manage our risk exposure. The data is utilized to determine whether a lender and its principals are eligible to participate on our marketplace and have not been convicted of and/or penalized for fraudulent activity.</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Consumers seeking mortgage loans through our loan marketplace can receive multiple conditional loan offers from participating lenders in response to a single consumer request form. We refer to the process by which we match consumers and Network Partners as the matching process. This matching process consists of the following steps:</w:t>
      </w:r>
    </w:p>
    <w:p>
      <w:pPr>
        <w:spacing w:after="0" w:line="64" w:lineRule="exact"/>
        <w:rPr>
          <w:sz w:val="20"/>
          <w:szCs w:val="20"/>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Consumer Request. </w:t>
      </w:r>
      <w:r>
        <w:rPr>
          <w:rFonts w:ascii="Times New Roman" w:cs="Times New Roman" w:eastAsia="Times New Roman" w:hAnsi="Times New Roman"/>
          <w:sz w:val="18"/>
          <w:szCs w:val="18"/>
          <w:color w:val="auto"/>
        </w:rPr>
        <w:t>Consumers complete a single request form with information regarding the type of mortgage loan product they are seeking,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preferences and other data. Consumers also consent to a soft inquiry regarding their credit.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660" w:hanging="328"/>
        <w:spacing w:after="0" w:line="268"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Consumer Request Form Matching and Transmission. </w:t>
      </w:r>
      <w:r>
        <w:rPr>
          <w:rFonts w:ascii="Times New Roman" w:cs="Times New Roman" w:eastAsia="Times New Roman" w:hAnsi="Times New Roman"/>
          <w:sz w:val="18"/>
          <w:szCs w:val="18"/>
          <w:color w:val="auto"/>
        </w:rPr>
        <w:t>Our proprietary systems and technology match a given consumer's request form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profile and geographic location against certain pre-established criteria of Network Partners, which may be modified from time to time. Once a given request passes through the matching process, the request is automatically transmitted to up to five participating Network Partners.</w:t>
      </w:r>
    </w:p>
    <w:p>
      <w:pPr>
        <w:spacing w:after="0" w:line="62"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Lender Evaluation and Response. </w:t>
      </w:r>
      <w:r>
        <w:rPr>
          <w:rFonts w:ascii="Times New Roman" w:cs="Times New Roman" w:eastAsia="Times New Roman" w:hAnsi="Times New Roman"/>
          <w:sz w:val="18"/>
          <w:szCs w:val="18"/>
          <w:color w:val="auto"/>
        </w:rPr>
        <w:t>Network Partners that receive a consumer request form evaluate the information contained in it to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to make a conditional loan offer.</w:t>
      </w:r>
    </w:p>
    <w:p>
      <w:pPr>
        <w:spacing w:after="0" w:line="46"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Communication of a Conditional Offer. </w:t>
      </w:r>
      <w:r>
        <w:rPr>
          <w:rFonts w:ascii="Times New Roman" w:cs="Times New Roman" w:eastAsia="Times New Roman" w:hAnsi="Times New Roman"/>
          <w:sz w:val="18"/>
          <w:szCs w:val="18"/>
          <w:color w:val="auto"/>
        </w:rPr>
        <w:t>All matched Network Partners and any conditional offers are presented to the consumer upon completion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consumer request form. Consumers can return to the site and view their offer(s) at any time by logging in to their My LendingTree profile. Additionally, matched lenders and offers are also sent to the email address associated with the consumer request.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offer consumers other mortgage products such as:</w:t>
      </w:r>
    </w:p>
    <w:p>
      <w:pPr>
        <w:spacing w:after="0" w:line="117" w:lineRule="exact"/>
        <w:rPr>
          <w:sz w:val="20"/>
          <w:szCs w:val="20"/>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alternative "short-form" matching process, which provides them with lender contact information rather than conditional offers from Network Partners,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"rate table" loan marketplace, where consumers can enter their loan and credit profile and dynamically view real-time rates from lenders without entering their contact information.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Non-Mortgage Products</w:t>
      </w:r>
    </w:p>
    <w:p>
      <w:pPr>
        <w:spacing w:after="0" w:line="119"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Lending Products</w:t>
      </w:r>
      <w:r>
        <w:rPr>
          <w:rFonts w:ascii="Times New Roman" w:cs="Times New Roman" w:eastAsia="Times New Roman" w:hAnsi="Times New Roman"/>
          <w:sz w:val="18"/>
          <w:szCs w:val="18"/>
          <w:color w:val="auto"/>
        </w:rPr>
        <w:t>. Other lending products on our online marketplace include information, tools and access to multiple conditional loan offers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w:t>
      </w:r>
    </w:p>
    <w:p>
      <w:pPr>
        <w:spacing w:after="0" w:line="52"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 which includes our auto refinance and purchase loan products. Auto loans enable consumers to purchase new or used vehicles or refinance an existing loan secured by an automobile.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cards, which include offerings from most major card issuers. As described above, during the fourth quarter of 2016, we purchased CompareCards, a leader in the online credit card comparison industry, enhancing this product.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equity loans and lines of credit, which enable home owners to borrow against the equity in their home, as measured by the difference between the market value of the home and any existing loans secured by the home. Home equity loans are one-time lump sum loans, whereas a home equity line of credit reflects a line of revolving credit where the borrower has flexibility to draw down and repay the line over time.</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loans, which are unsecured obligations generally carrying shorter terms and smaller loan amounts than home mortgages.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 mortgage loans, which are a loan product available to qualifying homeowners age 62 or older.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business loans, which include a broad array of financing types, including but not limited to loans secured by working capital, equipment, real estate and other forms of financing, provided to small and medium-sized businesses. As described above, during the third quarter of 2017, we purchased SnapCap, an online platform with a concierge-based approach to connecting business owners with sources of credit, enhancing this product.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 loans, which includes both new loans to finance an education and related expenses, as well as refinancing of existing loans. During the second quarter of 2016, we purchased SimpleTuition, a leading online marketing platform for student loans, and during the third quarter of 2018, we purchased Student Loan Hero, a personal finance website dedicated to helping student loan borrowers manage their student debt, enhancing this product.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continue adding new offerings for consumers, small businesses and partners on our online marketplace, in order to grow and diversify our sources of revenue. We may develop such new offerings through internal product development efforts, strategic business relationships with third parties and/or acquisitions.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Products</w:t>
      </w:r>
      <w:r>
        <w:rPr>
          <w:rFonts w:ascii="Times New Roman" w:cs="Times New Roman" w:eastAsia="Times New Roman" w:hAnsi="Times New Roman"/>
          <w:sz w:val="18"/>
          <w:szCs w:val="18"/>
          <w:color w:val="auto"/>
        </w:rPr>
        <w:t>. Other products also includes information, tools and access to the following:</w:t>
      </w:r>
    </w:p>
    <w:p>
      <w:pPr>
        <w:spacing w:after="0" w:line="119" w:lineRule="exact"/>
        <w:rPr>
          <w:sz w:val="20"/>
          <w:szCs w:val="20"/>
          <w:color w:val="auto"/>
        </w:rPr>
      </w:pPr>
    </w:p>
    <w:p>
      <w:pPr>
        <w:jc w:val="both"/>
        <w:ind w:left="660" w:right="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accounts, through which consumers can access depository deals and analysis covering all major deposit product categories. On June 14, 2017, we acquired DepositAccounts.com,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repair, through which consumers can obtain assistance improving their credit profiles, in order to expand and improve loan and other financial product opportunities available to them. During the second quarter of 2018, we purchased Ovation, a leading provider of credit services with a strong customer service reputation, enhancing this product.</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relief services, through which consumers can obtain assistance negotiating existing loans.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improvement services, through which consumers have the opportunity to research and find home improvement professional services.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products, including home and automobile, through which consumers are matched with insurance lead aggregators to obtain insurance offers. We enhanced our insurance products by acquiring QuoteWizard, one of the largest insurance comparison marketplaces in the growing online insurance advertising market, in the fourth quarter of 2018. We also purchased ValuePenguin, a personal finance website that offers consumers objective analysis on a variety of financial topics from insurance to credit cards, in the first quarter of 2019.</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credit data, through which consumers can gain insights into how prospective lenders and other third parties view their credit profiles.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brokerage services, through which consumers are matched with local realtors who can assist them in their home purchase or sale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through resale of online advertising space to third parties is also classified in other products.</w:t>
      </w:r>
    </w:p>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refer to the various purchasers of leads from our other marketplaces as lead purchasers. We generate revenue from the deposit account product from a consumer clicking from our website through to a financial institution's website. We generate revenue from insurance products through match fees, fees for website clicks or fees for calls. We generate revenue from real estate brokerage services through match fees paid to us by real estate brokers participating in our online marketplace. We generate revenue from credit repair and debt relief services through subscription fees from consumers that enroll in our credit repair product, or a fee for a customer referral to a service provider partner or through a fee at the time a consumer enrolls in a program with one of our partners. Revenue for home services is derived primarily through matching of leads to other home services lead aggregators.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 However, in certain historical periods additional factors affecting the mortgage and real estate markets, such as the 2008-2009 financial crisis and ensuing recession have impacted customary seasonal trends.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anticipate revenue in our newer products to be cyclical as well; however, we have limited historical data to predict the nature and magnitude of this cyclicality. Based on industry data, we anticipate that as our personal loan product matures we will experience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in-school student loan products occurs in the third quarter coinciding with collegiate enrollment in late summer. Other factors affecting our businesses include macro factors such as credit availability in the market, interest rates, the strength of the economy and employment.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lending and other businesses compete with other online marketing companies, including online intermediaries that operate network-type arrangements. We also face competition from lenders and insurance agents that source consumers directly. These companies typically operate consumer-branded websites and attract consumers via online banner ads, keyword placement on search engines, direct mail, television ads, retail branches, realtors, brokers, radio and other sources, partnerships with affiliates and business development arrangements with others, including major online portals.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LendingTree, Inc., is the parent of LendingTree, LLC and several companies owned by LendingTree, LLC. LendingTree, LLC, formerly known as LendingTree, Inc., was incorporated in the state of Delaware in June 1996 and commenced nationwide operations in July 1998. LendingTree, Inc., was acquired by IAC/InterActiveCorp ("IAC") in 2003 and converted to a Delaware limited liability company (LendingTree, LLC) in December 2004. LendingTree, LLC entered the mortgage origination business through the acquisition of Home Loan Center, Inc. in 2004. On August 20, 2008, LendingTree, LLC (along with its parent holding company Tree.com, Inc.) was spun off from IAC/InterActiveCorp into a separate publicly-traded company. We refer to the separation transaction as the "spin-off" in this report. Tree.com was incorporated as a Delaware corporation in April 2008 in anticipation of the spin-off. The Home Loan Center business was sold to Discover Financial Services in 2012. Since then, the Company has operated as a pure online marketplace and does not originate loans. Effective January 1, 2015, we changed our corporate name from Tree.com, Inc. to LendingTree,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Legal Compliance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businesses market and provide services in heavily regulated industries through a number of different online and offline channels across the United States. As a result, we are subject to a variety of statutes, rules, regulations, policies and procedures in various jurisdictions in the United States, including:</w:t>
      </w:r>
    </w:p>
    <w:p>
      <w:pPr>
        <w:spacing w:after="0" w:line="54" w:lineRule="exact"/>
        <w:rPr>
          <w:sz w:val="20"/>
          <w:szCs w:val="20"/>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manner in which consumer loans are marketed and originated, including, but not limited to, the making of required consumer disclosures, such as the Federal Trade Commission's Mortgage Advertising Practices ("MAP") Rules, federal Truth-in-Lending Act, the federal Equal Credit Opportunity Act, the federal Fair Credit Reporting Act, the federal Fair Housing Act, the federal Real Estate Settlement Procedures Act ("RESPA"), and similar state laws;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Dodd-Frank Wall Street Reform and Consumer Protection Act (the "Dodd Frank Act") and current or future rules promulgated thereunder, including, but not limited to, limitations on fees charged by mortgage lenders, mortgage broker disclosures and rules promulgated by the Consumer Financial Protection Bureau ("CFPB"), which was created under the Dodd-Frank Act;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amount and nature of fees that may be charged to lenders and real estate professionals for providing or obtaining consumer loan requests, such as under RESPA;</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relating to the implementation of the Secure and Fair Enforcement of Mortgage Licensing Act of 2008 (the "SAFE Act") that require us to be licensed in all States and the District of Columbia (licensing requirements are applicable to both individuals and/or businesses engaged in the solicitation of or the brokering of residential mortgage loans and/or the brokering of real estate transactions);</w:t>
      </w:r>
    </w:p>
    <w:p>
      <w:pPr>
        <w:spacing w:after="0" w:line="68"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restrictions on the marketing activities conducted by telephone, mail, email, mobile device or the internet, including the Telemarketing Sales Rule ("TSR"), the Telephone Consumer Protection Act ("TCPA"), state telemarketing laws, federal and state privacy laws, the CAN-SPAM Act, and the Federal Trade Commission Act and their accompanying regulations and guidelines;</w:t>
      </w:r>
    </w:p>
    <w:p>
      <w:pPr>
        <w:spacing w:after="0" w:line="6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requiring licensure for or otherwise imposing restrictions on the solicitation of or brokering of consumer loans which could affect us in our personal loan, automobile loan, student loan, credit card, or other non-mortgage consumer lending businesses;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relating to offering of credit repair services to consumers, such as Credit Repair Organizations Act ("CROA") and state level CROA-type statutes.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usage and storage of consumer credit information, such as those contained in the federal Fair Credit Reporting Act and the federal CROA;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"Bird Dog" laws which restrict the amount and nature of fees, if any, that may be charged to consumers for automobile direct and indirect financing.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intellectual property rights are vital to our success. To protect our intellectual property rights in our brand, technology, products, improvements and inventions, we rely on a combination of trademarks, trade secrets, patents and other laws, and contractual restrictions on disclosure, including confidentiality agreements with strategic partners, employees, consultants and other third parties. As new or improved proprietary technologies are developed or inventions are identified, we seek patent protection in the United States and abroad, as appropriate. We have one issued U.S. patent related to the system and method for collecting financial information over a global communications network, which expires in 2032.</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services are offered under proprietary trademarks and service marks. We generally apply to register or secure by contract our principal trademarks and service marks as they are developed and used. We have 28 trademarks and service marks registered with the United States Patent and Trademark Office. These registrations can typically be renewed at 10-year intervals.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reserve and register domain names when and where we deem appropriate and we currently have over 1,500 registered domain names. We also have agreements with third parties that provide for the licensing of patented and proprietary technology used in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be subjected to legal proceedings and claims, or threatened legal proceedings or claims, including allegations of infringement of third-party trademarks, copyrights, patents and other intellectual property rights of third parties. In addition, the use of litigation and other dispute resolution processes, such as Uniform Domain Name Dispute Resolution, may be necessary for us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we had 909 employees, of which approximately 892 are full-time and 17 are temporary or part-time. None of our employees are represented under collective bargaining agreements and we consider our relations with employees and independent contractors to be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Website and Public Filings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www.lendingtree.com</w:t>
      </w:r>
      <w:r>
        <w:rPr>
          <w:rFonts w:ascii="Times New Roman" w:cs="Times New Roman" w:eastAsia="Times New Roman" w:hAnsi="Times New Roman"/>
          <w:sz w:val="18"/>
          <w:szCs w:val="18"/>
          <w:color w:val="auto"/>
        </w:rPr>
        <w:t xml:space="preserve"> and an investor relations website at </w:t>
      </w:r>
      <w:r>
        <w:rPr>
          <w:rFonts w:ascii="Times New Roman" w:cs="Times New Roman" w:eastAsia="Times New Roman" w:hAnsi="Times New Roman"/>
          <w:sz w:val="18"/>
          <w:szCs w:val="18"/>
          <w:i w:val="1"/>
          <w:iCs w:val="1"/>
          <w:color w:val="auto"/>
        </w:rPr>
        <w:t>investors.lendingtree.com</w:t>
      </w:r>
      <w:r>
        <w:rPr>
          <w:rFonts w:ascii="Times New Roman" w:cs="Times New Roman" w:eastAsia="Times New Roman" w:hAnsi="Times New Roman"/>
          <w:sz w:val="18"/>
          <w:szCs w:val="18"/>
          <w:color w:val="auto"/>
        </w:rPr>
        <w:t>. None of the information on our website is incorporated by reference in this report, or in any other filings with, or in any information furnished or submitted to, the Securities and Exchange Commission (the "SEC").</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make available, free of charge through our website, our reports on Forms 10-K, 10-Q and 8-K, our proxy statement for the annual shareholders' meeting and beneficial ownership reports on Forms 3, 4 and 5 as soon as reasonably practicable after we file such material with, or furnish such material to, the SEC. Our filings with the SEC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code of business conduct and ethics, which applies to all employees, including all executive officers and senior financial officers and directors, is posted on our website at </w:t>
      </w:r>
      <w:r>
        <w:rPr>
          <w:rFonts w:ascii="Times New Roman" w:cs="Times New Roman" w:eastAsia="Times New Roman" w:hAnsi="Times New Roman"/>
          <w:sz w:val="18"/>
          <w:szCs w:val="18"/>
          <w:i w:val="1"/>
          <w:iCs w:val="1"/>
          <w:color w:val="auto"/>
        </w:rPr>
        <w:t>investors.lendingtree.com/governance/board-of-directors</w:t>
      </w:r>
      <w:r>
        <w:rPr>
          <w:rFonts w:ascii="Times New Roman" w:cs="Times New Roman" w:eastAsia="Times New Roman" w:hAnsi="Times New Roman"/>
          <w:sz w:val="18"/>
          <w:szCs w:val="18"/>
          <w:color w:val="auto"/>
        </w:rPr>
        <w:t>. This is our code of ethics pursuant to Item 406 of SEC Regulation S-K and the rules of The Nasdaq Stock Market. Any amendments to or waivers of the code of business conduct and ethics that are of the type described in Item 406(b) and (d) of Regulation S-K will be disclosed on our website.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an investment decision, you should carefully consider the risks described below, together with all of the other information included in this annual report and the information incorporated by reference herein. If any of the risks described below, or incorporated by reference into this annual report actually occur, our business, financial condition or results of operations could suffer. In that case, the trading price of our common stock may decline and you may lose all or part of your investment. The risks and uncertainties we have described are not the only ones we face. Additional risks and uncertainties not presently known to us or that we currently deem immaterial may also affect our business, financial condition and results of operations. Certain statements below are forward-looking statements. See the information included under the heading "Cautionary Statement Regarding Forward-Looking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primary and secondary mortgage markets, as well as the general economy, could materially and adversely affect our business, financial condition and results of operations.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Constraints in the primary and secondary mortgage markets have in the past had, and may in the future have, an adverse effect on our business, financial condition and results of operations. Generally, increases in interest rates adversely affect the ability of our mortgage Network Partners to close loans, and adverse economic trends limit the ability of our mortgage Network Partners to offer home loans other than low-margin conforming loans. Our businesses may experience a decline in demand for their offerings due to decreased consumer demand as a result of the conditions described above, now or in the future. The decreased consumer demand for mortgage refinancing typically leads to decreased traffic to our website and higher associated selling and marketing efforts associated with that traffic. While higher lender demand during these periods often leads to an increase in the amount lenders will pay per matched lead and higher revenue earned per consumer, increases in the amount lenders will pay per matched lead in this situation is limited by the overall cost models of our lenders, and our revenue earned per consumer can be adversely affected by the overall reduced demand for refinancing in a rising rate environment. These factors combined to cause lower revenue earned per consumer in the second half of 2018 compared to the prior year period. Conversely, during periods with decreased interest rates, mortgage Network Partners have less incentive to use our marketplaces, or in the case of sudden increases in consumer demand, our mortgage Network Partners may lack the ability to support sudden increases in volume.</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relationships with Network Partners and any adverse changes in these relationships could adversely affect our business, financial condition and results of operations.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in significant part on the financial strength of lenders and lead purchasers participating on our marketplaces and continuing relationships with such lenders and lead purchases. Network Partners could, for any reason, experience financial difficulties and cease participating on our marketplaces, fail to pay match and/or closing fees when due and/or drop the quality of their services to consumers. We could also have commercial or other disputes with such Network Partners from time to time. The occurrence of one or more of these events with a significant number of Network Partners could, alone or in combination, have a material and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meet certain metrics required by Network Partners, then our business and financial results may be harmed.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compete against other online marketing companies in significant part based on the quality and convertibility of the leads we generate. Network Partners have expectations as to the quality and conversion rate of the leads that we generate. These expectations sometimes change over time. The leads that we supply to Network Partners may not meet the expectations that they have for such leads. Conversion rates for leads may be impacted by factors other than the lead quality, many of which are outside our control. Such factors include competition in lending and insurance markets and sales practices of Network Partners. Failure to meet the expectations of Network Partners in terms of quality and convertibility of leads may result in reduced fees paid to us by such Network Partners, or in extreme cases, the loss of one or more Network Partners, which could materially and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brand recognition and attract and retain consumers in a cost-effective manner could materially and adversely affect our business, financial condition and results of operations.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attract visitors to our websites, convert these visitors into loan or other financial product requests for our Network Partners and lead purchasers and generate repeat visits from consumers, our businesses must promote and maintain their various brands. Brand promotion and maintenance requires the expenditure of considerable money and resources for online and offline advertising, marketing and related efforts, as well as the continued provision and introduction of high-quality products and services.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on, and devote significant resources to, branding, advertising and other marketing initiatives, which may not be successful or cost-effective. The failure of our businesses to maintain the recognition of their respective brands and attract and retain consumers in a cost-effective manner could materially and adversely affect our business, financial condition and results of operations.</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Adverse publicity from legal proceedings against us or our businesses, including governmental proceedings and consumer class action litigation, or from the disclosure of information security breaches, could negatively impact our various brands, which could materially and adversely affect our business, financial condition and results of operations. In addition, the actions of our third-party marketing partners who engage in advertising on our behalf could negatively impact our various brands. Furthermore, adverse publicity and the potential corresponding impact on our reputation may be accelerated and amplified by the widespread use of social media platforms.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search engines, online advertising and other online sources to attract visitors to our websites, and if we are unable to attract these visitors and convert them into consumer requests for our Network Partners in a cost-effective manner, our business and financial results may be harmed.</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attract online consumers to our websites and convert them into customers in a cost-effective manner. We depend, in part, on search engines, online advertising and other online sources for our website traffic. We are included in search results as a result of both paid search listings, where we purchase specific search terms that result in the inclusion of our advertisement, and, separately, organic searches, that depend upon the searchable content on our sites. Search engines and other online sources revise their algorithms, and introduce new advertising products, from time to time in an attempt to optimize their search results.</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one or more of the search engines or other online sources on which we rely for website traffic were to modify its general methodology for how it displays our websites, resulting in fewer consumers clicking through to our websites, our business could suffer. If any free search engine traffic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and adverse effect on our business, financial condition and results of operations. In addition, if our online advertisements are not able to reach certain consumers due to consumers’ use of ad-blocking software,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compete with a number of other online marketing companies, and we face the possibility of new competitors.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currently compete with a number of other online marketing companies and we expect that competition will intensify.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new competitors may enter the market and may be able to innovate and bring products and services to market faster, or anticipate and meet consumer or Network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retaining customers or Network Partners, our business, financial condition and results of operations could be materially and adversely affected.</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materially and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events were to occur, it could materially and adversely affect our business, financial condition and results of operations.</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also in the process of transitioning certain product exchanges to a new technology platform. The risks associated with this transition include, but are not limited to, operational implementation, downtimes, and diversion of management and technical resources. If the transition to the new platform is more challenging or time consuming than expected, then our business, financial condition and results of operations could be materially and adversely affected.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Breaches or failures of our network and website security, the theft, unauthorized access, acquisition, use, disclosure or misappropriation of personal consumer information, the occurrence of fraudulent activity, or other data security-related incidents may have a material and adverse impact on our business, financial condition and results of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Breaches or failures of security involving our systems and website or those of any of our affiliated third-parties may occur, and could result in the theft, unauthorized access, acquisition, use, disclosure, or misappropriation of personal consumer information, fraudulent activity, or system disruptions or shutdowns. Any breach, penetration, or failure of network security or theft, unauthorized access, acquisition, use, disclosure or misappropriate of personal consumer information collected, processed, or maintained by us or our affiliated third-parties could cause interruptions in the operations of our businesses and subject us to increased costs, litigation, and other liabilities. The occurrence of any real or attempted breach, penetration, or failure of security, or the reporting of such an incident, whether accurate or not, could result in claims made against us or our third-party affiliates for the theft, unauthorized access, acquisition, use, disclosure, or misappropriation of personal information, which could result in state and/or federal litigation and related financial liabilities, as well as criminal penalties or civil liabilities and regulatory actions from state and/or federal governmental authorities. Real or perceived security breaches or failures could also significantly damage our brand and reputation with consumers and third parties with whom we do business and result in adverse publicity, loss of consumer confidence, and reduced sales and profits.</w:t>
      </w:r>
    </w:p>
    <w:p>
      <w:pPr>
        <w:spacing w:after="0" w:line="7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respond to, and recover from any potential, attempted, or existing security breaches or failures and their consequences. We also face risks associated with security breaches affecting third parties with whom we are affiliated or otherwise conduct business. Consumers are generally concerned with security and privacy of the Internet, and any publicized security problems affecting our businesses and/or those of third parties may discourage consumers from doing business with us, which could have a material and adverse effect on our business, financial condition and results of operations.</w:t>
      </w:r>
    </w:p>
    <w:p>
      <w:pPr>
        <w:spacing w:after="0" w:line="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susceptible to fraudulent activity and data security-related incidents that may be committed against us, our Network Partners or external service providers which may result in financial losses or increased costs to us, disclosure or misuse of our information, theft, unauthorized access, acquisition, use, disclosure or misappropriation of personal information, misappropriation of assets, privacy litigation, regulatory actions, or damage to our reputation. Such fraudulent and malicious activity may take many forms, including check fraud, fraudulent inducement, electronic fraud, wire fraud, computer viruses, phishing, social engineering and other dishonest acts, any of which could be the result of a circumvention or failure of our data security processes, procedures, tools, and controls. Information security breaches and failures may include fraudulent or unauthorized access to systems used by us, Network Partners, or external service providers, denial or degradation of service attacks, and malware, such as ransomware, or other cyber-attacks. We rely on a framework of security, processes, procedures, tools, and controls designed to protect our information and assets, but despite our reasonable efforts to ensure the integrity of our systems and website, it is possible that we may not be able to anticipate or implement effective preventative measures against all security breaches or failures and fraudulent activity, especially because the methods of attack and deception change frequently and because such conduct can originate from a wide variety of sources, including third parties such as external service providers. As a result, our business, financial condition or results of operations could be adversely affected.</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and indemnification of secondary market purchasers, including a pending case brought by Residential Funding Company, LLC, could have a material and adverse effect on our business, financial condition, results of operations and liquidity.</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sale of loans to secondary market purchasers, Home Loan Center, Inc. ("HLC") may be liable for certain indemnification, repurchase and premium repayment obligations. For example, in connection with the sale of loans to secondary market purchasers, HLC made certain representations regarding related borrower credit information, loan documentation and collateral. To the extent that these representations were incorrect, HLC may be required to repurchase loans or indemnify secondary market purchasers for losses due to borrower defaults. HLC has made payments for these liabilities in the past and expects to make payments for these liabilities in the future.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be liable for these indemnification obligations, repurchase obligations and premium repayment obligations following the sale of substantially all of the operating assets of our LendingTree Loans business. We have in the past and intend to continue to negotiate in the future with secondary market purchasers to settle any existing and future contingent liabilities, but we cannot assure you we will be able to do so on terms acceptable to us, or at all.</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the fourth quarter of 2018, the case of Residential Funding Company, LLC v Home Loan Center, Inc., went to trial, and the jury returned a verdict of $28.7 million in favor of the plaintiff. The plaintiff is also seeking up to $28.8 million in attorneys’ fees and $30.6 million in pre-judgment interest in addition to the jury verdict amount. As of February 28, 2019, the court has not yet entered judgment in favor of the plaintiff. HLC believes it has strong grounds for appeal and further believes that the plaintiff’s demand for attorneys’ fees and pre-judgment interest is excessive (and, if granted, would be subject to appeal). HLC intends to vigorously pursue an appeal but we cannot assure you that the appeal will be successful or that even if successful on certain theories, the plaintiff would not receive a substantial recovery upon retrial or otherwise.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15 - Contingencies, in the notes to the consolidated financial statements included elsewhere in this report. We have incurred substantial legal fees in this matter.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7. Management's Discussion and Analysis of Financial Condition and Results of Operations-Results of Operations for the Years Ended December 31, 2018, 2017 and 2016-Discontinued Operations.</w:t>
      </w:r>
    </w:p>
    <w:p>
      <w:pPr>
        <w:spacing w:after="0" w:line="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ultimate outcome of the Residential Funding Company, LLC matter and the outcomes of other pending of indemnification claims, repurchase obligations or premium repayments beyond our reserves for these contingencies, including legal fees we incur, may have a material and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 market conditions have adversely affected the mortgage industry.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Declines in the housing market from 2006 through early 2012, as measured by the S&amp;P/Case-Schiller 20-city composite home price index, with home price declines and increased foreclosures, unemployment and under-employment,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subsequently of other asset-backed securities, credit default swaps and other derivative and cash securities, in turn, caused many financial institutions to seek additional capital, merge with larger and stronger institutions and, in some cases, to fail.</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Reflecting concern about the stability of the housing markets generally and the strength of counterparties, many lenders and institutional investors reduced or ceased providing funding to borrowers, including to other financial institutions. This market disruption and tightening of credit led to an increased level of commercial and consumer delinquencies, lack of consumer confidence and increased market volatility. The resulting economic pressure on consumers and lack of confidence in the financial markets has had in the past and may have in the future, an adverse effect on our business, financial condition and results of operations.</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conditions in the housing markets have improved since 2013, the failure to sustain such improvements could have adverse effects on us and our mortgage Network Partners. Further, our business could be adversely affected by the actions and commercial soundness of other businesses in the financial services sector, including our non-lender lead purchasers. As a result, defaults by, or even rumors or questions about, one or more of these entities, or the financial services industry generally, have in the past, and may in the future, lead to market-wide liquidity problems and could lead to disruptions in the financial technology industry. Any such disruption could have a material and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growth in 2017 and 2018 has been driven by our credit card product.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credit card product offering is subject to particular risks:</w:t>
      </w:r>
    </w:p>
    <w:p>
      <w:pPr>
        <w:spacing w:after="0" w:line="11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economy may affect credit card issuers and their willingness to issue new credit;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among credit card issuers may increase beyond normal and budgeted levels which could cause a reduction in demand;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increases may make balance transfer cards less profitable for issuers;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issuers and other advertisers in the business verticals in which we operate may be unwilling to advertise on our websites or mobile applications;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application approval rates by credit card issuer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its effect on our website traffic, click-through rates, advertising rates, revenue, margins, and market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competitive service to credit card issuers and to consumers using our online offerings and other platforms;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issuers may determine that the online digital marketing channel is no longer a viable marketing platform for generating new credit card customers;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brand recognition for both LendingTree and CompareCards and to effectively leverage the LendingTree brand with the CompareCards brand;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and enhance existing ones.</w:t>
      </w:r>
    </w:p>
    <w:p>
      <w:pPr>
        <w:spacing w:after="0" w:line="11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our credit card product is impacted by the risks described above, then our results of operations and future growth prospects could be materially and adversely affected.</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growth in 2018 has been driven by our insurance leads business through our acquisition of QuoteWizard, which was completed in October 2018.</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QuoteWizard acquisition poses risks for our ongoing operations, including, among others:</w:t>
      </w:r>
    </w:p>
    <w:p>
      <w:pPr>
        <w:spacing w:after="0" w:line="10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economy may affect insurance carriers and their willingness to issue policies;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losses among insurance carriers may increase beyond normal and budgeted levels which could cause a reduction in demand;</w:t>
      </w:r>
    </w:p>
    <w:p>
      <w:pPr>
        <w:spacing w:after="0" w:line="103" w:lineRule="exact"/>
        <w:rPr>
          <w:rFonts w:ascii="Times New Roman" w:cs="Times New Roman" w:eastAsia="Times New Roman" w:hAnsi="Times New Roman"/>
          <w:sz w:val="18"/>
          <w:szCs w:val="18"/>
          <w:color w:val="auto"/>
        </w:rPr>
      </w:pPr>
    </w:p>
    <w:p>
      <w:pPr>
        <w:ind w:left="660" w:right="600" w:hanging="328"/>
        <w:spacing w:after="0" w:line="3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carriers and other advertisers in the business verticals in which we or QuoteWizard operate may be unwilling to advertise on our or QuoteWizard’s websites or mobile applications;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underwriting approval rates by insurance carrier customers;</w:t>
      </w:r>
    </w:p>
    <w:p>
      <w:pPr>
        <w:spacing w:after="0" w:line="103" w:lineRule="exact"/>
        <w:rPr>
          <w:rFonts w:ascii="Times New Roman" w:cs="Times New Roman" w:eastAsia="Times New Roman" w:hAnsi="Times New Roman"/>
          <w:sz w:val="18"/>
          <w:szCs w:val="18"/>
          <w:color w:val="auto"/>
        </w:rPr>
      </w:pPr>
    </w:p>
    <w:p>
      <w:pPr>
        <w:ind w:left="660" w:right="360" w:hanging="328"/>
        <w:spacing w:after="0" w:line="3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its effect on our or QuoteWizard’s website traffic, click-through rates, advertising rates, revenue, margins, and market share;</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competitive service to insurance carriers and to consumers using QuoteWizard’s and our online offerings and other platforms;</w:t>
      </w:r>
    </w:p>
    <w:p>
      <w:pPr>
        <w:spacing w:after="0" w:line="103" w:lineRule="exact"/>
        <w:rPr>
          <w:rFonts w:ascii="Times New Roman" w:cs="Times New Roman" w:eastAsia="Times New Roman" w:hAnsi="Times New Roman"/>
          <w:sz w:val="18"/>
          <w:szCs w:val="18"/>
          <w:color w:val="auto"/>
        </w:rPr>
      </w:pPr>
    </w:p>
    <w:p>
      <w:pPr>
        <w:ind w:left="660" w:right="320" w:hanging="328"/>
        <w:spacing w:after="0" w:line="3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carriers may determine that the online digital marketing channel is no longer a viable marketing platform for generating new insurance customers;</w:t>
      </w:r>
    </w:p>
    <w:p>
      <w:pPr>
        <w:ind w:left="660" w:right="660" w:hanging="328"/>
        <w:spacing w:after="0" w:line="3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brand recognition for both LendingTree and QuoteWizard and to effectively leverage the LendingTree brand with the QuoteWizard brand;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and enhance existing ones;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employees of QuoteWizard;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associated with any undisclosed or potential liabilities;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business acquired in the acquisition may not continue to perform as well as anticipated; and</w:t>
      </w:r>
    </w:p>
    <w:p>
      <w:pPr>
        <w:spacing w:after="0" w:line="103" w:lineRule="exact"/>
        <w:rPr>
          <w:rFonts w:ascii="Times New Roman" w:cs="Times New Roman" w:eastAsia="Times New Roman" w:hAnsi="Times New Roman"/>
          <w:sz w:val="18"/>
          <w:szCs w:val="18"/>
          <w:color w:val="auto"/>
        </w:rPr>
      </w:pPr>
    </w:p>
    <w:p>
      <w:pPr>
        <w:ind w:left="660" w:right="60" w:hanging="328"/>
        <w:spacing w:after="0" w:line="39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liabilities associated with QuoteWizard’s historical operations, including liabilities arising from privacy and security regulations or security breaches.</w:t>
      </w:r>
    </w:p>
    <w:p>
      <w:pPr>
        <w:spacing w:after="0" w:line="5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the QuoteWizard business is impacted by the risks described above, then our results of operations and future growth prospects could be materially and adversely affected.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growth in recent years has been driven by personal loan offerings. If lenders participating on our marketplace decide to reduce their offerings of personal loans or if such loans become unattractive to consumers because of higher interest rates demanded by lenders, then our results of operations and future growth prospects could be materially and adversely affected.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personal loan offerings was responsible for a significant portion of the growth in the non-mortgage revenue over the last few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our personal loan product increased $46.0 million in 2018 from 2017 and $21.7 million in 2017 from 2016.</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Personal loans are unsecured obligations and generally carry shorter terms and smaller loan amounts than mortgages. Because they are unsecured, they are generally riskier assets for lenders than mortgages or other secured loans. Consumer demand for unsecured loans offered on our marketplace is often for refinancing of higher interest credit card debt or for a lower interest alternative to credit card debt for a contemplated larger purchase that would otherwise be purchased with a credit card. Lenders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participating on our marketplace may reduce their willingness to make personal loans at more attractive interest rates than credit card debt and may for that reason, or for any other reason, reduce their demand for personal consumer requests generated from our personal loan marketplace. Reasons that lenders might reduce their willingness to make personal loans at attractive interest rates may include regulatory changes, stricter institutional lending criteria, a lack of adequate funding sources or capital for loan originations, or increased borrower default levels, which may occur upon adverse changes in regional, national or global economic conditions. Additionally, lenders may tighten their underwriting standards, making it more difficult for consumers to qualify for personal loans. If lenders participating on our marketplace decide to reduce their offerings of personal loans, tighten their underwriting standards, or if personal loans become unattractive to consumers because of higher interest rates demanded by lenders, then our results of operations and future growth prospects could be materially and adversely affected.</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Network Partners affiliated with our marketplaces are not precluded from offering products and services outside of our marketplaces, or obtaining products and services from our competitors.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our businesses do not have exclusive relationships with Network Partners, consumers may obtain loans and other financial products from these third-party service providers without having to use our marketplaces. Network Partners can offer loans and other financial products directly to consumers through their own marketing campaigns or other traditional methods of distribution, such as referral arrangements, physical store-front operations or broker agreements. Network Partners may also offer loans and other financial products and services to prospective customers online directly, through one or more online competitors of our businesses, or both. If a significant number of consumers seek loans and other financial products and services directly from Network Partners or through our competitors as opposed to through our marketplaces, our business, financial condition and results of operations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non-mortgage products are new to the market and may fail to achieve or maintain customer acceptance and profitability.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launched a number of new non-mortgage products over the last several years. We do not have as much experience with these new non-mortgage products as with the mortgage products and our other mature non-mortgage products. Accordingly, new non-mortgage products may be subject to greater risks than our more mature products.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success of new products we may offer will depend on a number of factors, including:</w:t>
      </w:r>
    </w:p>
    <w:p>
      <w:pPr>
        <w:spacing w:after="0" w:line="1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at an acceptable cost, product features offered by our competitors and/or expected by consumers, lenders and lead purchasers;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by consumers, lenders and lead purchasers;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by current and future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management and other skilled personnel for these businesses;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amounts owed to us from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successful and cost-effective marketing campaigns;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adjust marketing expenditures in relation to changes in demand for the underlying products and services offered by our Network Partners.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results of operations may suffer if we fail to successfully anticipate and manage these issues associated with new products.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continually enhance our products and services and adapt them to technological changes and consumer and lender and/or lead purchaser needs, including the emergence of new computing devices and more sophisticated online services, we may lose market share and revenue and our business could suffer.</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need to anticipate, develop and introduce new products, services and applications on a timely and cost-effective basis that keep pace with technological developments and changing consumer and customer needs. For example, the number of individuals who access the internet through devices other than a personal computer, such as tablets, mobile telephones, voice assistants, televisions and set-top box devices has increased significantly and this trend is likely to continue. Because each manufacturer or distributor may establish unique technical standards for its devices, our websites may not be functional or viewable on these devices. Additionally, new devices and new platforms are continually being released. Consumers access many traditional web services on mobile devices through applications, or apps.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It is difficult to predict the problems we may encounter in improving our websites' functionality with these alternative devices or developing apps for mobile platforms. If we fail to develop our websites or apps to respond to these or other technological developments and changing consumer and customer needs cost effectively, or if consumers and customers respond negatively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we may lose market share, which could materially and adversely affect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improve our products and services in ways that forego short-term gains.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constantly striving to improve the user experience for our consumers who use our websites and applications and for our Network Partners. Some of our changes may have the effect of reducing our short-term revenue or profitability if we believe that the benefits will ultimately improve our financial performance over the long-term. Any short-term reductions in revenue or profitability could be more severe than we anticipate or these decisions may not produce the long-term benefits that we expect, in which case our business and results of operations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adequately protect our intellectual property rights or may be accused of infringing intellectual property rights of third parties.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regard our intellectual property rights, including patents, service marks, trademarks and domain names, copyrights, trade secrets and similar intellectual property (as applicable), as critical to our success. Our businesses also rely heavily upon software codes, informational databases and other components that make up their products and services.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rely on a combination of laws and contractual restrictions with employees, customers, suppliers, affiliates and others to establish and protect these proprietary rights. Despite these precautions, it may be possible for a third party to copy or otherwise obtain and use trade secrets or registered intellectual property without authorization which, if discovered, might require legal action to correct. In addition, third parties may independently and lawfully develop substantially similar intellectual properties.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materially and adversely affect our business, financial condition and results of operations.</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been granted patents and from time to time we may have patent applications pending with the United States Patent and Trademark Office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In addition, third parties may create new products or methods that achieve similar results without infringing upon patents that we own.</w:t>
      </w:r>
    </w:p>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Likewise, the issuance of a patent to us does not mean that our processes or inventions will be found not to infringe upon patents or other rights previously issued to third parties.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in the ordinary course of business we are subjected to legal proceedings, claims and counterclaims, or threatened legal proceedings, claims or counterclaims, including allegations relating to misappropriation of trade secrets or infringement of the trademarks, copyrights, patents and other intellectual property rights of third parties. In addition, litigation may be necessary in the future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materially and adversely affect our business, financial condition and results of operations. Patent litigation tends to be particularly protracted and expensive.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framework for managing risks may not be effective in mitigating our risk of loss.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risk management framework seeks to mitigate risk and appropriately balance risk and return. We have established processes and procedures intended to identify, measure, monitor and report the types of risk to which we are subject, including credit risk, market risk, liquidity risk, operational risk, legal and compliance risk, and strategic risk. We seek to monitor and control our risk exposure through a framework of policies, procedures and reporting requirements. There may be risks that exist, or that develop in the future, that we have not appropriately anticipated, identified or mitigated. If our risk management framework does not effectively identify or mitigate our risks, we could suffer unexpected losses and could be materially and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intended benefits of recent acquisitions may not be realized.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acquisitions pose risks for our ongoing operations, including, among others: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senior management’s attention may be diverted from the management of daily operations to the integration of the businesses acquired in the acquisition;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retain key employees of businesses acquired;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associated with any undisclosed or potential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businesses acquired in the acquisition may not perform as well as anticipated;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economy may affect the lenders or customers of the acquired businesses and their willingness to issue new credit;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advertisers in the business verticals in which we or the acquired businesses operate may be unwilling to advertise on our websites or mobile applications;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its effect on our or the acquired businesses' website traffic, click-through rates, submitted consumer requests, advertising rates, revenue, margins, and market share;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brand recognition for both us and the acquired businesses and to effectively leverage the LendingTree brand with the newly acquired brands;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and enhance existing ones;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liabilities associated with the historical operations of the acquired businesses, including as a result of privacy regulations or data breaches.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acquisitions may not be accretive to us in the near term or at all. Furthermore, if we fail to realize the intended benefits of the business acquired in the acquisition, the market price of our common stock could decline to the extent that the market price reflects an expectation of those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 or strategic investments that we pursue may not be successful and could disrupt our business and harm our financial condition.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consider or undertake strategic acquisitions of, or material investments in, businesses, products or technologies.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or through borrowings under our Revolving Credit Facility, it would reduce our cash balances and/or result in indebtedness we must service, which may have a material and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 material and adverse effect on our financial condition. There may also be litigation or other claims arising in connection with an acquisition itself.</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business and results of operations could be harmed.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experienced rapid and significant growth in our headcount and operations, including as a result of acquisitions, which places substantial demand on management and our operational infrastructure.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business and results of operations.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highly skilled personnel and if we are unable to attract, retain and motivate well-qualified employees, our business could be harmed.</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management team and our highly skilled employees, including our software engineers, analysts, marketing professionals and sales staff. Our future success depends on our continuing ability to attract, develop, motivate and retain highly qualified and skilled employees. The loss of any of our senior management or key employees could materially and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 If we do not succeed in attracting well-qualified employees or retaining and motivating existing employees, our business and results of operations could be harmed.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Network Partners on our marketplaces may not provide competitive levels of service to consumers, which could materially and adversely affect our brands and businesses and their ability to attract consumers.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ability of our businesses to provide consumers with a high-quality experience depends, in part, on consumers receiving competitive levels of convenience, customer service, price and responsiveness from Network Partners participating on our other marketplaces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marketplaces may decline, which could have a material and adverse effect on our business, financial condition and results of operations.</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revenue is derived from two Network Partners, and our results from operations could be adversely affected and stockholder value harmed if we lose significant business from either of these Network Partners.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2017 and 2016, one Network Partner accounted for 11% and 15% of total revenue. For the year ended December 31, 2016, another Network Partner accounted for 13% of total revenue. If either of these significant Network Partners were to cease purchasing consumer requests and we were unable to replace the associated demand, the loss could have a material adverse effect on our results of operations in the short term and potentially also the longer term. Also, if either Network Partner reduces its volume of consumer requests for any reason, our business could be adversely affected.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lack of geographic diversity exposes us to risk.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than a support services office in India, our operations are geographically limited to and dependent upon the economic condition of the United States. As a result of this geographical concentration, we are more vulnerable to downturns or other conditions that affect the US economy. We may choose to expand our operations in order to increase our geographic diversity, and if we do, such expansion would place increased responsibilities on our management, divert resources from other operations and expose us to new risks of foreign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in the past and we may not be able to generate sufficient revenue to be profitable over the long term.</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incurred operating losses from continuing operations at times in our history, and although we were profitable in 2016, 2017 and 2018, we have an accumulated deficit of $610.5 million at December 31, 2018. If we fail to maintain or grow our revenue and manage our expenses, we may incur significant losses in the future and not be able to maintain profitability.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could adversely affect us.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22, 2017, President Trump signed into law the Tax Cuts and Jobs Act (TCJA), which legislation significantly reforms the Internal Revenue Code of 1986, as amended. This tax legislation significantly reduced the U.S. statutory corporate tax rate and made other changes that could have a favorable impact on our overall U.S. federal tax liability in a given period. However, the tax legislation also included a number of provisions, including, but not limited to, the limitation or elimination of various deductions or credits (including for interest expense and for performance-based compensation under Section 162(m) of the Internal Revenue Code), the changing of the timing of the recognition of certain income and deductions or their character, and the limitation of asset basis under certain circumstances, that could significantly and adversely affect our U.S. federal income tax position. The legislation also made changes to the tax rules applicable to financial institutions and other entities with which we do business.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revalued deferred tax assets at December 31, 2017 in light of the changes in the TCJA, and we recorded a net tax expense of $9.1 million during the fourth quarter of 2017.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impact of the TCJA and associated anticipated regulations on future years may be material to our consolidated financial statements. For example, we have historically relied extensively on performance-based compensation for our executive officers. The non-deductibility of future performance-based compensation to executive officers, and the expanded definition of “covered employees” whose compensation is subject to Section 162(m) may have material adverse effects on our effective tax rates. In addition, the limitations on the deductibility of interest may affect our anticipated tax benefits for the convertible note and hedge transactions described in Note 13—Debt to the consolidated financial statements included elsewhere in this report. We continue to examine the impact this tax reform legislation may have on our business. The impact of this tax reform on holders of our common stock is uncertain and could be adverse. Similarly, changes in tax laws and regulations that impact our Network Partners or the economy generally may also impact our financial condition and results of operations.</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tax laws and regulations are complex and subject to varying interpretations, and any significant failure to comply with applicable tax laws and regulations in all relevant jurisdictions could give rise to substantial penalties and liabilities. Any changes in enacted tax laws (such as the recent U.S. tax legislation), rules or regulatory or judicial interpretations; any adverse outcome in connection with tax audits in any jurisdiction; or any change in the pronouncements relating to accounting for income taxes could materially and adversely impact our effective tax rate, tax payments,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2018, we had pre-tax consolidated federal net operating losses (“NOLs”) of $203.5 million. The federal NOLs no longer expire under the new TCJA. Our NOLs will be available to offset taxable income subject to the limitations found in Internal Revenue Code Sections 382 and 383. In addition, we have state NOLs of approximately $498.5 million at December 31, 2018, that will expire at various times between 2020 and 2038. If we experience one or more ownership changes in the future as a result of future transactions in our stock, our ability to utilize NOLs could be limited. Our ability to use our NOLs was limited by the TCJA.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"U.S. federal income tax reform could adversely affect us."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relocate our corporate headquarters due to our growth and we may experience costs and risks associated with our ownership of a two-building office complex we purchased in Charlotte, North Carolina.</w:t>
      </w:r>
    </w:p>
    <w:p>
      <w:pPr>
        <w:spacing w:after="0" w:line="105"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currently located in approximately 37,800 square feet of office space in Charlotte, North Carolina under a lease that expires in December 2020. We have determined that we will need to relocate our principal executive offices to accommodate our growth and we are in the process of selecting an alternative site. We will incur relocation costs associated with the movement of employees to a new principal executive office or other sites. We may experience loss of employees or lost employee productivity resulting from this relocation and other work location changes necessitated by our growth. Any of these costs and risks may negatively impact our earnings and cause our stock price to decline.</w:t>
      </w:r>
    </w:p>
    <w:p>
      <w:pPr>
        <w:spacing w:after="0" w:line="130"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 xml:space="preserve">In December 2016, we completed the purchase of two office buildings in Charlotte, North Carolina for an aggregate purchase price of $23.5 million. We currently lease a portion of this space to other tenants. We acquired these buildings with the intent to use such buildings as our principal executive offices in the future, and rent any unused space. In November 2018, our board of directors approved a plan to sell these two office buildings and they were classified as held for sale. In February 2019, we agreed to sell these buildings to an unrelated third party. For additional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9B. Other Information and Note 7 - Assets Held For Sale in the notes to the consolidated financial statements included elsewhere in this report. There are costs and risks associated with our leasing and holding this real estate for sale, including:</w:t>
      </w:r>
    </w:p>
    <w:p>
      <w:pPr>
        <w:spacing w:after="0" w:line="8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taxes and maintenance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or lease defaults by our tenants;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turnover and loss of potential tenants to competing landlords;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competing landlords that may decrease or prevent increases in the occupancy and rental rates of our properties;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governmental rules and regulations, including the Americans with Disabilities Act, and zoning laws and potential liability thereunder;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or availability of adequate insurance, including coverage for mold and asbestos;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environmental conditions or retained liabilities for such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remodeling the buildings;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required governmental construction, zoning or other approvals and permits;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modifications in the design to the size and scope of the remodeling or other unforeseen engineering problems;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real estate market conditions affecting the marketability and realizable value of the property;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binding purchase agreements for the sale of properties such as these buildings customarily have a post-signing inspection period during which the buyer is able to terminate the agreement with limited remedies to us as the seller;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retained liabilities following a sale, such as those imposed under environmental laws or that we may otherwise agree to.</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Revolving Credit Facility contains financial covenants and other restrictions on our actions, and it could therefore limit our operational flexibility or otherwise adversely affect our financial condition. Failure to comply with the terms of any such facility could impair our rights to the assets that have been pledged as collateral under the facility.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21, 2017, our wholly-owned subsidiary LendingTree, LLC entered into an amended and restated $250.0 million five-year senior secured revolving credit facility which matures on November 21, 2022 (the "Revolving Credit Facility"). On October 26, 2018, we amended the Revolving Credit Facility to increase its borrowing capacity by $100.0 million to $350.0 million. Borrowings under the Revolving Credit Facility can be used to finance working capital needs, capital expenditures, and general corporate purposes, including to finance permitted acquisitions. As of February 28, 2019, there was $195.0 million borrowed under the Revolving Credit Facility.</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a restrictive financial covenant, which limits the total consolidated debt to an EBITDA ratio. In addition, the Revolving Credit Facility contains customary affirmative and negative covenants, including, subject to certain exceptions, restrictions on our ability to, among other things:</w:t>
      </w:r>
    </w:p>
    <w:p>
      <w:pPr>
        <w:spacing w:after="0" w:line="6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mergers or make certain fundamental changes;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restricted payments, including dividends, distributions, stock repurchases or redemptions;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restrictive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hedging transactions;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other transactions without the prior consent of the lenders.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If an event of default occurs or if we otherwise fail to comply with any of the negative or affirmative covenants of the Revolving Credit Facility, the lenders may declare all of the obligations and indebtedness under such facility due and payable. In such a scenario, the lenders could exercise their lien on the pledged collateral, which would have a material adverse effect on our business, operations, financial condition and liquidity. For additional information on the Revolving Credit Facility,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13—Debt, in the notes to the consolidated financial statements included elsewhere in this report.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indefinite-lived intangible assets become impaired, we may be required to record a significant charge to earnings.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accounting principles generally accepted in the United States of America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 charge in our financial statements during a period in which any impairment of our goodwill or indefinite-lived intangible assets is determined, negatively impacting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Charges to earnings resulting from acquisitions may adversely affect our operating results.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GAAP, 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Our estimates of fair value are based upon assumptions believed to be reasonable but which are uncertain and involve significant judgments by management. After we complete an acquisition, the following factors could result in material charges and adversely affect our operating results and may adversely affect our cash flows:</w:t>
      </w:r>
    </w:p>
    <w:p>
      <w:pPr>
        <w:spacing w:after="0" w:line="76"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combine the operations of companies we acquire, such as transitional employee expenses and employee retention or relocation expenses;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intangible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useful lives of intangible assets acquired;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or changes to, assumed contingent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any contingent consideration;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due to duplicative pre-merger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from expenses incurred to effect the acquisition;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due to the expensing of certain stock awards assumed in an acquisition.</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Substantially all of these potential charges would be accounted for as expenses that would decrease our net income and earnings per share for the periods in which those costs are incurred. Charges to our operating results in any given period could differ substantially from other periods based on the timing and size of our acquisitions and the extent of acquisition accounting adjustments.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acquisitions with potential future contingent consideration payments, we assign a fair value to the contingent consideration and reassess this fair value quarterly. Increases or decreases based on the actual performance of the acquired company against the contingent consideration targets or other factors will cause decreases or increases, respectively, in our results of operations. These quarterly adjustments could have a material adverse effect on our results of operations. During 2018 and 2017, we incurred $10.8 million and $23.9 million, respectively, of contingent consideration expense due to the change in estimated fair value of the earnout payments.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Compliance and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past, existing or new laws, rules and regulations, or to obtain and maintain required licenses, could materially and adversely affect our business, financial condition and results of operations.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market and provide services in heavily regulated industries through a number of different channels across the United States. As a result, our businesses have been and remain subject to a variety of statutes, rules, regulations, policies and procedures in various jurisdictions in the United States, which are subject to change at any time. The failure of our businesses to comply with past, existing or new laws, rules and regulations, or to obtain and maintain required licenses, could result in administrative fines and/or proceedings against us or our businesses by governmental agencies and/or litigation by consumers, which could materially and adversely affect our business, financial condition and results of operations and our brand.</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businesses conduct marketing activities via the telephone, the mail and/or through online marketing channels, which general marketing activities are governed by numerous federal and state regulations, such as the Telemarketing Sales Rule, state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telemarketing laws, federal and state privacy laws, the CAN-SPAM Act, the Telephone Consumer Protection Act and the Federal Trade Commission Act and its accompanying regulations and guidelines, among others. Increased regulation by the U.S. Federal Trade Commission ("FTC") and Federal Communications Commission ("FCC") has resulted in restrictions on telephone calls to residential and wireless telephone subscribers.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 federal, state and in some instances, local laws regulate secured and unsecured lending activities, which impacts the marketplace, lenders and consumers. These laws generally regulate the manner in which lending and lending-related activities are marketed or made available, including advertising and other consumer disclosures, payments for services and record keeping requirements; these laws include RESPA, the Fair Credit Reporting Act, the Truth in Lending Act, the Equal Credit Opportunity Act, the Fair Housing Act and various state laws. State laws often restrict the amount (and nature) of interest and fees that may be charged by a lender or mortgage broker, or otherwise regulate the manner in which lenders or mortgage brokers operate or advertise.</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State, federal and foreign lending laws and regulations generally require accurate disclosure of the critical components of credit costs so that consumers can readily compare credit terms from various lenders. These laws and regulations also impose certain restrictions on the advertisement of these credit terms. Because we are an aggregator of rate and other information regarding many financial products, including mortgages, deposits and credit cards, we may be subject to some of these laws and regulations and we may be held liable under these laws and regulations for information provided through our online services. The insurance industry is also subject to numerous federal and state laws and regulations, including licensing requirements.</w:t>
      </w:r>
    </w:p>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operations in India may subject us to the Foreign Corrupt Practices Act of 1977 (“FCPA”) and other laws that prohibit improper payments or offers of payments to foreign governments and their officials and political parties by U.S. persons and issuers for the purpose of obtaining or retaining business.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Further, as mandated by the federal Secure and Fair Enforcement for Mortgage Licensing Act (the "SAFE Act"), states adopted certain minimum standards for the licensing of individuals involved in mortgage lending or loan brokering. Compliance with these requirements may render it more difficult for us and our Network Partners to operate or may raise our internal costs or the costs of our Network Partners, which may be passed on to us through less favorable commercial arrangements.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Likewise, states or municipalities may adopt statutes or regulations making it unattractive, impracticable or infeasible for our businesses to continue to conduct business in such jurisdictions. The withdrawal from any jurisdiction due to emerging legal requirements could materially and adversely affect our business, financial condition and results of operations.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our and our Network Partners' ability to conduct marketing and referral activities.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Various federal, state and, in some instances, local, laws also prohibit unfair and deceptive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Compliance with these laws, rules and regulations is a significant component of our internal costs, and new laws, rules and regulations are frequently proposed and adopted, requiring us to adopt new procedures and practices. Changes to existing laws, rules and regulations or changes to interpretation of existing laws, rules and regulations could result in further restriction of activities incidental to our business and could have a material and adverse effect on our business, results of operation and financial condition.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Parties through which our businesses conduct business similarly may be subject to federal and state regulation. These parties typically act as independent contractors and not as agents in their solicitations and transactions with consumers. We cannot ensure that these entities will comply with applicable laws and regulations at all times. Failure on the part of a lender, website operator or other third party to comply with these laws or regulations could result in, among other things, claims of vicarious liability or a negative impact on our reputation and business.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Regulatory authorities and private plaintiffs may allege that we failed to comply with applicable laws, rules and regulations where we believe we have complied. These allegations may relate to past conduct and/or past business operations, such as our discontinued mortgage origination operation (which was subject to various state and local laws, rules and regulations). Even allegations that our activities have not complied or do not comply with all applicable laws and regulations may have a material and adverse effect on our business, financial condition and results of operations. The alleged violation of such laws, rules or regulations may entitle an individual plaintiff to seek monetary damages, or may entitle an enforcing government agency to seek significant civil or criminal penalties, costs and attorneys' fees. Regardless of its merit, an allegation typically requires legal fee expenditures to defend against.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 material and adverse effect on our business, financial condition and results of operations.</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response to conditions in the U.S. financial markets and economy, as well as a heightened regulatory and Congressional focus on consumer lending,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collection, processing, storage, use and disclosure of personal information could give rise to liabilities as a result of governmental regulation, conflicting legal requirements or differing views of personal privacy rights.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processing of consumer transactions, our businesses receive, transmit and store a large volume of personally identifiable information and other user data. The collection, sharing, use, disclosure and protection of this information are governed by the privacy and data security policies maintained by us and our businesses. Moreover, there are federal, state and international laws regarding privacy and data security, and the storing, sharing, use, disclosure, protection of, and a natural person's rights relating to and in their personally identifiable information and user data. Specifically, personally identifiable information is increasingly subject to legislation and regulations in numerous jurisdictions around the world, the intent of which is to protect the privacy of personal information that is collected, processed and transmitted in or from the governing jurisdiction. In the United States, regulations and interpretations concerning personally identifiable and data security promulgated by state and federal regulators, including the CFPB and FTC, could conflict or give rise to differing views of personal privacy rights. We could be materially and adversely affected if legislation or regulations are expanded to require changes in business practices or privacy policies, procedures, and controls relating to the privacy and data security of personal information or if governing jurisdictions interpret or implement their legislation or regulations in ways that negatively affect our business, financial condition and results of operations.</w:t>
      </w:r>
    </w:p>
    <w:p>
      <w:pPr>
        <w:spacing w:after="0" w:line="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failure, and/or the failure by the various third-party vendors and service providers with whom we do business, or the perceived failure, to comply with applicable privacy and data security policies, procedures, or controls, or federal, state or similar international laws and regulations or any compromise of security that results in the theft, unauthorized access, acquisition, use, disclosure, or misappropriation of personally identifiable information or other user data could damage the reputation of these businesses, discourage potential users from our products and services and/or result in fines and/or proceedings or litigation by governmental agencies and/or consumers, one or all of which could materially and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regulation of the Internet could negatively affect our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hinder growth in or negatively impact the use of the Internet generally, including the viability of Internet e-commerce, which could reduce our revenue, increase our operating expenses and expose us to significant liabilities.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Network Partners fail to produce required documents for examination by, or other affiliated parties fail to make certain filings with, state regulators, we may be subject to fines, forfeitures and the revocation of required licenses.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of the states in which our businesses maintain licenses require them to collect various loan documents from Network Partners and produce these documents for examination by state regulators. While Network Partners are contractually obligated to provide these documents upon request, these measures may be insufficient. Failure to produce required documents for examination could result in fines, as well as the revocation of our licenses to operate in certain states, which could have a material and adverse effect on our business, financial condition and results of operations.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Regulations promulgated by some states may impose compliance obligations on directors, executive officers, large customers and any person who acquires a certain percentage (for example, 10% or more) of the equity in a licensed entity,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have a material and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quarter to quarter earnings and other factors may result in significant decreases in the price of our common stock.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 price for our common stock has been volatile since our spin-off. In addition, the trading volume in our common stock has fluctuated and may continue to fluctuate, causing significant price variations to occur. As of December 31, 2018, since our spin-off, the price per share of our common stock has fluctuated from an intra-day low of $1.42 per share to an intra-day high of $404.40 per share. The market price of our common stock may fluctuate or decline significantly in the future. Some of the factors that could negatively affect the price of our common stock or result in fluctuations in the price or trading volume of our common stock include:</w:t>
      </w:r>
    </w:p>
    <w:p>
      <w:pPr>
        <w:spacing w:after="0" w:line="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and financial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analysts' earnings estimates;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our Network Partners or our industry or the failure of securities analysts to cover our common shares or our industry;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preferred or common shares we may issue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stockholders, including "activist"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companies in our industry, including our customers and competitors;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 including short selling;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affecting our industry or enforcement of these laws and regulations, or announcements relating to these matters;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estimated fair value of contingent consideration related to acquisitions;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Recently, and in the past, the stock market has experienced extreme price and volume fluctuations. These market fluctuations could result in extreme volatility in the trading price of our common stock, which could cause a decline in the value of your investment in our common shares. In addition, the trading price of our common stock could decline for reasons unrelated to our business or financial results, including in reaction to events that affect other companies in our industry even if those events do not directly affect us. You should also be aware that price volatility may be greater if the public float and trading volume of our common stock are low. These factors may result in short-term or long-term negative pressure on the value of our common stock.</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internet marketplace operators and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Two holders of our common stock own a substantial portion of our outstanding common stock, which concentrates voting control and limits your ability to influence corporate matters.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February 20, 2019, Douglas Lebda, our Chairman and Chief Executive Officer, beneficially owned approximately 17% of our outstanding common stock. Additionally, Mr. Lebda holds restricted stock unit awards representing 9,896 shares and options to purchase a maximum of 797,082 shares that are not included in beneficial ownership because Mr. Lebda does not have the right to acquire them within 60 days. If these restricted stock units were to settle and these options were exercisable, they would represent additional beneficial ownership of approximately 5% of our outstanding common stock. As of February 20, 2019, GCI Liberty, Inc. beneficially owned approximately 27% of our outstanding common stock. GCI Liberty, Inc. also has the right to nominate 20% of the total number of directors serving on the board, rounded up. Two of our ten directors, Neal Dermer and Craig Troyer, were nominated by Liberty Interactive Corporation, the predecessor in interest of GCI Liberty, Inc.</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Therefore, for the foreseeable future, Mr. Lebda and GCI Liberty, Inc. will each have influence over our management and affairs and all matters requiring stockholder approval, including the election or removal (with or without cause) of directors and approval of any significant corporate transaction, such as a merger or other sale of us or our assets. The interests of Mr. Lebda or GCI Liberty, Inc. may not necessarily align with the interests of our other stockholders. Mr. Lebda or GCI Liberty, Inc. could elect to sell a significant interest in us and you may receive less than the then-current fair market value or the price you paid for your shares as a result of such transaction.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common stock by our existing stockholders may cause our stock price to fall.</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by our existing stockholders in the market, or the perception that these sales could occur. These sales might also make it more difficult for us to sell equity securities at a time and price that we deem appropriate.</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issue additional shares of our common stock in the future pursuant to current or future equity incentive plans, or in connection with current or future acquisitions or financings. If we were to raise capital in the future by selling shares of our common stock, or securities that are convertible into our common stock or issuing shares of our common stock in a business acquisition, their issuance would have a dilutive effect on the percentage ownership of our stockholders and, depending on the prices at which such shares or convertible securities are sold or issued, on their investment in our common stock and, therefore, could have a material adverse effect on the market prices of our common stock.</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a registration rights agreement with GCI Liberty, Inc., GCI Liberty, Inc. and its permitted transferees are entitled to three demand registrations rights (and unlimited piggyback registration rights) in respect of the shares of our common stock received by GCI Liberty, Inc. as a result of the spin-off and other shares of our common stock acquired by GCI Liberty, Inc. or its affiliates. These holders will also be permitted to exercise their registration rights in connection with certain hedging transactions that they may enter into in respect of the registrable shares. The presence of additional shares of our common stock trading in the public market, as a result of the exercise of such registration rights, may have an adverse effect on the market price of our securities.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stockholders to replace or remove our management and affect the market price of our common stock.</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as amended and restated, may have the effect of delaying or preventing a change of control or changes in our management. Our amended and restated certificate of incorporation and/or amended and restated bylaws include provisions that:</w:t>
      </w:r>
    </w:p>
    <w:p>
      <w:pPr>
        <w:spacing w:after="0" w:line="54"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our stockholders, up to five million shares of undesignated preferred stock, sometimes referred to as "blank check preferred";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the affirmative vote of a majority of directors then in office or by the sole remaining director;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our board of directors may change the size of our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taking action by written consent.</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These provisions may also have the effect of delaying or preventing a change of control of our company, even if stockholders support such a change of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any cash dividends on our common stock in the foreseeable future.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not declared or paid a cash dividend on our common stock during the six most recent fiscal years. We have no current intention to declare or pay cash dividends on our common stock in the foreseeable future. In addition, the Revolving Credit Facility contains certain restrictions on our ability to pay dividends.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13—Debt, in the notes to the consolidated financial statements included elsewhere in this report. The declaration, payment and amount of future cash dividends, if any, will be at the discretion of our board of directors. As a result, capital appreciation, if any, of our common stock will be the sole source of gain for the foreseeable future for holders of our common stock.</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fluctuate as a result of seasonality, which may make it difficult to predict our future performance and may adversely affect our common stock price.</w:t>
      </w:r>
    </w:p>
    <w:p>
      <w:pPr>
        <w:spacing w:after="0" w:line="105"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mortgage products business is historically subject to seasonal trends. These trends reflect the general patterns of the mortgage industry and housing sales, which typically peak in the spring and summer seasons. In recent periods, broader cyclical trends in interest rates, as well as the mortgage and real estate markets, have upset the customary seasonal trends. However, seasonal trends may resume and our quarterly operating results may fluctuate. Our non-mortgage products businesses have various seasonality trends which may create further uncertainty in our quarterly operating results.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1. Business— Seasonality included elsewhere in this report for more information. Any of these seasonal trends, or the combination of them, may negatively impact the price of our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Notes, if triggered, may adversely affect our financial condition and operating results.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the conditional conversion feature of the 0.625% Convertible Senior Notes due June 1, 2022 (the “Notes”) is triggered, holders of Notes will be entitled to convert the Notes at any time during specified periods at their option. Because of the trading price of our common stock during the measurement period applicable to the quarter ended December 31, 2018, holders of the Notes are not entitled to convert the Notes during the calendar quarter ending March 31, 2019. Convertibility for each quarter thereafter will be determined based on whether the last reported sales price of our common stock, for at least 20 trading days (whether or not consecutive) during the period of 30 consecutive trading days ending on, and including, the last trading day of the immediately preceding calendar quarter, is greater than or equal to 130% of the conversion price under the Notes on each applicable trading day. If so, then the Notes will be convertible during that calendar quarter. The Notes will also be convertible at any time during the five business day period immediately following any five consecutive trading day period in which the trading price per $1,000 principal amount of Notes for each trading Day of such five trading day period is less than 98% of the product of the last reported sale price of our common stock on each such trading day and the conversion ratio under the Notes, as more fully described in the indenture governing the Notes, which is incorporated by reference as an exhibit to this annual report.</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the Notes will have the right to require us to repurchase all or a portion of their Notes upon the occurrence of a fundamental change at a repurchase price equal to 100% of the principal amount of the Notes to be repurchased, plus accrued and unpaid special interest, if any. We may not have enough available cash or be able to obtain financing at the time we are required to make repurchases of Notes surrendered therefore, or pay cash with respect to Notes being converted if we elect not to issue shares, which could harm our reputation and affect the trading price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hedge and warrant transactions may affect the value of the Notes and our common stock.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we entered into convertible note hedge transactions with certain counterparties. The hedge transactions are generally expected to reduce the potential dilution upon conversion of the Notes and/or offset any cash payments we are required to make in excess of the principal amount of converted Notes, as the case may be. We also entered into warrant transactions with such counterparties. However, the warrant transactions could separately have a dilutive effect to the extent that the market price per share of our common stock exceeds the applicable strike price of the warrants. The initial strike price of the warrants is $266.39.</w:t>
      </w:r>
    </w:p>
    <w:p>
      <w:pPr>
        <w:spacing w:after="0" w:line="1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establishing their initial hedge of the hedge and warrant transactions, the counterparties or their respective affiliates may have purchased shares of our common stock and/or entered into various derivative transactions with respect to our common stock concurrently with or shortly after the pricing of the Notes. In addition,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or following any repurchase of Notes by us on any fundamental repurchase date or otherwise). This activity could cause or avoid an increase or a decrease in the market price of our common stock or the Notes.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May 2008, the FASB issued FASB Staff Position No. APB 14-1, Accounting for Convertible Debt Instruments That May Be Settled in Cash Upon Conversion (Including Partial Cash Settlement), which has subsequently been codified as ASC 470-20, Debt with Conversion and Other Options, which we refer to as ASC 470-20. Under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is required to be included in the additional paid-in capital section of stockholders’ equity on our consolidated balance sheet, and the value of the equity component would be treated as debt discount for purposes of accounting for the debt component of the Notes. As a result, we will be required to record a greater amount of non-cash interest expense in current periods presented as a result of the amortization of the discounted carrying value of the Notes to their face amount over the term of the Notes. We will report lower net income in our financial results because ASC 470-20 will require interest to include the current period’s amortization of the debt discount, which could adversely affect our reported or future financial results, the trading price of our common stock and the trading price of the Notes.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still incur substantially more debt in the future or take other actions which would intensify the risks associated with our debt.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debt in the future, subject to the restrictions contained in our debt instruments, some of which may be secured debt. 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Our existing credit facility restricts our ability to incur additional indebtedness, including secured indebtedness, but if the facility matures or is repaid, we may not be subject to such restrictions under the terms of any subsequent indebtedness.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currently located in approximately 37,800 square feet of office space in Charlotte, North Carolina under a lease that expires in December 2020. We have determined that we will need to relocate our principal executive offices to accommodate our growth and we are in the process of selecting an alternative site. In addition, we have offices located in approximately 9,400 square feet of office space in Burlingame, California under a lease that expires in March 2020 and approximately 9,400 square feet, 13,100 square feet and 27,800 square feet of additional office space in Charlotte, North Carolina under leases that expire in April 2019, December 2020 and September 2021, respectively. As a result of our acquisitions during 2018, 2017 and 2016, we also operate offices in: Charleston, South Carolina; Denver, Colorado; Jacksonville, Florida; New York City, New York; Northbrook, Illinois; Sacramento, California; Seattle, Washington; and Makarba, India.</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2016, we completed the acquisition of two office buildings in Charlotte, North Carolina, with approximately 64,000 and 73,000 square feet of office space, respectively. In November 2018, the office buildings were classified as held for sale. In February 2019, we agreed to sell these buildings to an unrelated third party. For additional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9B. Other Information and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7—Assets Held for Sale in the notes to the consolidated financial statements included elsewhere in this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Contingencies in the notes to the consolidated financial statements included elsewhere in this report for a discussion of our current and recently settled litigation.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Market Information, Holders and 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"TREE". As of February 20, 2019, there were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660 holders of record of our common stock.</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 current intention to declare or pay cash dividends on our common stock in the foreseeable future. The declaration, payment and amount of future cash dividends, if any, will be at the discretion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performance graph shall not be deemed "filed" for purposes of Section 18 of the Exchange Act or incorporated by reference into any filings under the Securities Act or the Exchange Act, except as otherwise expressly set forth by specific reference in such filing.</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Set forth below is a line graph, for the period from December 31, 2013 through December 31, 2018, comparing the cumulative total stockholder return of $100 invested (assuming that all dividends were reinvested) in (1) our common stock, (2) the cumulative return of all companies listed on the Nasdaq Composite Index and (3) the cumulative total return of the Research Development Group ("RDG") Internet index. Returns over the indicated periods should not be considered indicative of future stock prices or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91440</wp:posOffset>
            </wp:positionV>
            <wp:extent cx="5848985" cy="4391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we did not issue or sell any shares of our common stock or other equity securities in transactions that were not registered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each of May 2014, January 2016, February 2016, February 2018 and February 2019, the board of directors authorized and we announced a stock repurchase program which allowed for the repurchase of up to $10.0 million, $50.0 million, $40.0 million,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December 31, 2018, 174,139 shares of common stock were repurchased under the stock repurchase program. As of February 28, 2019, approximately $181.2 million is authorized for future share repurchases.</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the LendingTree Fifth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December 31, 2018, 8,586 shares were purchased related to these obligations under the LendingTree Fifth Amended and Restated 2008 Stock and Award Incentive Plan and no shares have yet been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quarter ended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3"/>
                <w:szCs w:val="13"/>
                <w:color w:val="auto"/>
              </w:rPr>
            </w:pPr>
          </w:p>
        </w:tc>
        <w:tc>
          <w:tcPr>
            <w:tcW w:w="17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Number/Approximate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2"/>
                <w:szCs w:val="12"/>
                <w:color w:val="auto"/>
              </w:rPr>
            </w:pPr>
          </w:p>
        </w:tc>
        <w:tc>
          <w:tcPr>
            <w:tcW w:w="17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3340" w:type="dxa"/>
            <w:vAlign w:val="bottom"/>
            <w:gridSpan w:val="2"/>
            <w:vMerge w:val="continue"/>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8"/>
                <w:szCs w:val="8"/>
                <w:b w:val="1"/>
                <w:bCs w:val="1"/>
                <w:color w:val="auto"/>
              </w:rPr>
              <w:t>(1)</w:t>
            </w:r>
          </w:p>
        </w:tc>
        <w:tc>
          <w:tcPr>
            <w:tcW w:w="300" w:type="dxa"/>
            <w:vAlign w:val="bottom"/>
          </w:tcPr>
          <w:p>
            <w:pPr>
              <w:spacing w:after="0"/>
              <w:rPr>
                <w:sz w:val="16"/>
                <w:szCs w:val="16"/>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91"/>
        </w:trPr>
        <w:tc>
          <w:tcPr>
            <w:tcW w:w="3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78"/>
        </w:trPr>
        <w:tc>
          <w:tcPr>
            <w:tcW w:w="3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10/1/18 - 10/31/18</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177,185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203.46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174,039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35,163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11/1/18 - 11/30/18</w:t>
            </w:r>
          </w:p>
        </w:tc>
        <w:tc>
          <w:tcPr>
            <w:tcW w:w="140" w:type="dxa"/>
            <w:vAlign w:val="bottom"/>
          </w:tcPr>
          <w:p>
            <w:pPr>
              <w:spacing w:after="0"/>
              <w:rPr>
                <w:sz w:val="21"/>
                <w:szCs w:val="21"/>
                <w:color w:val="auto"/>
              </w:rPr>
            </w:pPr>
          </w:p>
        </w:tc>
        <w:tc>
          <w:tcPr>
            <w:tcW w:w="1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4,915</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231.70</w:t>
            </w:r>
          </w:p>
        </w:tc>
        <w:tc>
          <w:tcPr>
            <w:tcW w:w="100" w:type="dxa"/>
            <w:vAlign w:val="bottom"/>
          </w:tcPr>
          <w:p>
            <w:pPr>
              <w:spacing w:after="0"/>
              <w:rPr>
                <w:sz w:val="21"/>
                <w:szCs w:val="21"/>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35,163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12/1/18 - 12/31/18</w:t>
            </w:r>
          </w:p>
        </w:tc>
        <w:tc>
          <w:tcPr>
            <w:tcW w:w="1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233.24</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35,143</w:t>
            </w:r>
          </w:p>
        </w:tc>
        <w:tc>
          <w:tcPr>
            <w:tcW w:w="0" w:type="dxa"/>
            <w:vAlign w:val="bottom"/>
          </w:tcPr>
          <w:p>
            <w:pPr>
              <w:spacing w:after="0"/>
              <w:rPr>
                <w:sz w:val="1"/>
                <w:szCs w:val="1"/>
                <w:color w:val="auto"/>
              </w:rPr>
            </w:pPr>
          </w:p>
        </w:tc>
      </w:tr>
      <w:tr>
        <w:trPr>
          <w:trHeight w:val="237"/>
        </w:trPr>
        <w:tc>
          <w:tcPr>
            <w:tcW w:w="33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182,725</w:t>
            </w: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204.32</w:t>
            </w:r>
          </w:p>
        </w:tc>
        <w:tc>
          <w:tcPr>
            <w:tcW w:w="1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174,139</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35,143</w:t>
            </w:r>
          </w:p>
        </w:tc>
        <w:tc>
          <w:tcPr>
            <w:tcW w:w="0" w:type="dxa"/>
            <w:vAlign w:val="bottom"/>
          </w:tcPr>
          <w:p>
            <w:pPr>
              <w:spacing w:after="0"/>
              <w:rPr>
                <w:sz w:val="1"/>
                <w:szCs w:val="1"/>
                <w:color w:val="auto"/>
              </w:rPr>
            </w:pPr>
          </w:p>
        </w:tc>
      </w:tr>
      <w:tr>
        <w:trPr>
          <w:trHeight w:val="34"/>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October 2018, November 2018 and December 2018, 3,146 shares, 4,915 shares and 525 shares, respectively (totaling 8,586 shares), were purchased to satisfy federal and state withholding obligations of our employees upon the settlement of restricted stock unit awards, all in accordance with our Fifth Amended and Restated 2008 Stock and Award Incentive Plan, as described above.</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narrative disclosure above the table for further description of our publicly announced stock repurchase program.</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summary financial data presented below represents portions of our consolidated financial statements and are not complete. The following financial information should be read in conjunction with Item 7. Management's Discussion and Analysis of Financial Condition and Results of Operations and our consolidated financial statements and notes thereto contained in Item 8. Financial Statements and Supplementary Data included elsewhere in this annual report. Historical results are not necessarily indicative of future performance or results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gridSpan w:val="4"/>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2018</w:t>
            </w:r>
          </w:p>
        </w:tc>
        <w:tc>
          <w:tcPr>
            <w:tcW w:w="340" w:type="dxa"/>
            <w:vAlign w:val="bottom"/>
          </w:tcPr>
          <w:p>
            <w:pPr>
              <w:spacing w:after="0"/>
              <w:rPr>
                <w:sz w:val="20"/>
                <w:szCs w:val="20"/>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2017</w:t>
            </w:r>
          </w:p>
        </w:tc>
        <w:tc>
          <w:tcPr>
            <w:tcW w:w="320" w:type="dxa"/>
            <w:vAlign w:val="bottom"/>
          </w:tcPr>
          <w:p>
            <w:pPr>
              <w:spacing w:after="0"/>
              <w:rPr>
                <w:sz w:val="20"/>
                <w:szCs w:val="20"/>
                <w:color w:val="auto"/>
              </w:rPr>
            </w:pPr>
          </w:p>
        </w:tc>
        <w:tc>
          <w:tcPr>
            <w:tcW w:w="920" w:type="dxa"/>
            <w:vAlign w:val="bottom"/>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2015</w:t>
            </w:r>
          </w:p>
        </w:tc>
        <w:tc>
          <w:tcPr>
            <w:tcW w:w="3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gridSpan w:val="5"/>
          </w:tcPr>
          <w:p>
            <w:pPr>
              <w:jc w:val="center"/>
              <w:ind w:right="250"/>
              <w:spacing w:after="0"/>
              <w:rPr>
                <w:sz w:val="20"/>
                <w:szCs w:val="20"/>
                <w:color w:val="auto"/>
              </w:rPr>
            </w:pPr>
            <w:r>
              <w:rPr>
                <w:rFonts w:ascii="Times New Roman" w:cs="Times New Roman" w:eastAsia="Times New Roman" w:hAnsi="Times New Roman"/>
                <w:sz w:val="14"/>
                <w:szCs w:val="14"/>
                <w:b w:val="1"/>
                <w:bCs w:val="1"/>
                <w:i w:val="1"/>
                <w:iCs w:val="1"/>
                <w:color w:val="auto"/>
                <w:w w:val="96"/>
              </w:rPr>
              <w:t>(in thousands, except per share amounts)</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70"/>
        </w:trPr>
        <w:tc>
          <w:tcPr>
            <w:tcW w:w="52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5"/>
                <w:szCs w:val="25"/>
                <w:color w:val="auto"/>
                <w:vertAlign w:val="superscript"/>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764,865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617,736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384,402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254,216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167,350</w:t>
            </w:r>
          </w:p>
        </w:tc>
      </w:tr>
      <w:tr>
        <w:trPr>
          <w:trHeight w:val="270"/>
        </w:trPr>
        <w:tc>
          <w:tcPr>
            <w:tcW w:w="52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Income (loss) from continuing operations </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109,319</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19,418</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31,208</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51,316</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70"/>
        </w:trPr>
        <w:tc>
          <w:tcPr>
            <w:tcW w:w="52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(Loss) income from discontinued operations </w:t>
            </w:r>
            <w:r>
              <w:rPr>
                <w:rFonts w:ascii="Times New Roman" w:cs="Times New Roman" w:eastAsia="Times New Roman" w:hAnsi="Times New Roman"/>
                <w:sz w:val="25"/>
                <w:szCs w:val="25"/>
                <w:color w:val="auto"/>
                <w:vertAlign w:val="superscript"/>
              </w:rPr>
              <w:t>(3)</w:t>
            </w:r>
          </w:p>
        </w:tc>
        <w:tc>
          <w:tcPr>
            <w:tcW w:w="2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(12,820)</w:t>
            </w:r>
          </w:p>
        </w:tc>
        <w:tc>
          <w:tcPr>
            <w:tcW w:w="3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(3,840)</w:t>
            </w:r>
          </w:p>
        </w:tc>
        <w:tc>
          <w:tcPr>
            <w:tcW w:w="3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(3,714)</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(3,269)</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9,849</w:t>
            </w: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96,499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15,578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27,494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48,047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9,362</w:t>
            </w:r>
          </w:p>
        </w:tc>
      </w:tr>
      <w:tr>
        <w:trPr>
          <w:trHeight w:val="324"/>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12,504</w:t>
            </w:r>
          </w:p>
        </w:tc>
        <w:tc>
          <w:tcPr>
            <w:tcW w:w="34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11,945</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11,812</w:t>
            </w:r>
          </w:p>
        </w:tc>
        <w:tc>
          <w:tcPr>
            <w:tcW w:w="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11,516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11,188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14,097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13,682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12,773</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12,541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11,188</w:t>
            </w: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per share from continuing operations: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income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0.88</w:t>
            </w: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0.84</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0.84</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70"/>
        </w:trPr>
        <w:tc>
          <w:tcPr>
            <w:tcW w:w="52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5"/>
                <w:szCs w:val="25"/>
                <w:color w:val="auto"/>
                <w:vertAlign w:val="superscript"/>
              </w:rPr>
              <w:t>(4) (5) (6) (7) (8) (9)</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105,102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368,550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91,131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206,975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86,212</w:t>
            </w:r>
          </w:p>
        </w:tc>
      </w:tr>
      <w:tr>
        <w:trPr>
          <w:trHeight w:val="270"/>
        </w:trPr>
        <w:tc>
          <w:tcPr>
            <w:tcW w:w="52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25"/>
                <w:szCs w:val="25"/>
                <w:color w:val="auto"/>
                <w:vertAlign w:val="superscript"/>
              </w:rPr>
              <w:t>(4) (7)</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896,115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693,459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323,427</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295,781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139,891</w:t>
            </w:r>
          </w:p>
        </w:tc>
      </w:tr>
      <w:tr>
        <w:trPr>
          <w:trHeight w:val="270"/>
        </w:trPr>
        <w:tc>
          <w:tcPr>
            <w:tcW w:w="52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Total long-term liabilities </w:t>
            </w:r>
            <w:r>
              <w:rPr>
                <w:rFonts w:ascii="Times New Roman" w:cs="Times New Roman" w:eastAsia="Times New Roman" w:hAnsi="Times New Roman"/>
                <w:sz w:val="25"/>
                <w:szCs w:val="25"/>
                <w:color w:val="auto"/>
                <w:vertAlign w:val="superscript"/>
              </w:rPr>
              <w:t>(5) (7) (8) (9)</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287,954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251,069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25,285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612</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4,889</w:t>
            </w:r>
          </w:p>
        </w:tc>
      </w:tr>
      <w:tr>
        <w:trPr>
          <w:trHeight w:val="270"/>
        </w:trPr>
        <w:tc>
          <w:tcPr>
            <w:tcW w:w="526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Total shareholders' equity </w:t>
            </w:r>
            <w:r>
              <w:rPr>
                <w:rFonts w:ascii="Times New Roman" w:cs="Times New Roman" w:eastAsia="Times New Roman" w:hAnsi="Times New Roman"/>
                <w:sz w:val="25"/>
                <w:szCs w:val="25"/>
                <w:color w:val="auto"/>
                <w:vertAlign w:val="superscript"/>
              </w:rPr>
              <w:t>(4) (7)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346,208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294,874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231,435</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241,142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96,366</w:t>
            </w:r>
          </w:p>
        </w:tc>
      </w:tr>
    </w:tbl>
    <w:p>
      <w:pPr>
        <w:spacing w:after="0" w:line="142" w:lineRule="exact"/>
        <w:rPr>
          <w:sz w:val="20"/>
          <w:szCs w:val="20"/>
          <w:color w:val="auto"/>
        </w:rPr>
      </w:pPr>
    </w:p>
    <w:p>
      <w:pPr>
        <w:ind w:left="500" w:hanging="330"/>
        <w:spacing w:after="0" w:line="284"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Item 7. Management's Discussion and Analysis of Financial Condition and Results of Operations—Results of Operations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2017 and 2016—Revenue for a discussion of revenue.</w:t>
      </w:r>
    </w:p>
    <w:p>
      <w:pPr>
        <w:spacing w:after="0" w:line="106"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we released the majority of the valuation allowance, which, along with federal and state income taxes, resulted in a total tax benefit of $23.0 million.</w:t>
      </w:r>
    </w:p>
    <w:p>
      <w:pPr>
        <w:spacing w:after="0" w:line="105" w:lineRule="exact"/>
        <w:rPr>
          <w:rFonts w:ascii="Times New Roman" w:cs="Times New Roman" w:eastAsia="Times New Roman" w:hAnsi="Times New Roman"/>
          <w:sz w:val="18"/>
          <w:szCs w:val="18"/>
          <w:color w:val="auto"/>
        </w:rPr>
      </w:pPr>
    </w:p>
    <w:p>
      <w:pPr>
        <w:ind w:left="500" w:hanging="330"/>
        <w:spacing w:after="0" w:line="284"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Item 7. Management's Discussion and Analysis of Financial Condition and Results of Operations—Results of Operations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2017 and 2016—Discontinued Operations for a discussion of discontinued operations.</w:t>
      </w:r>
    </w:p>
    <w:p>
      <w:pPr>
        <w:spacing w:after="0" w:line="10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2015, we completed an equity offering of 852,500 shares of our common stock, receiving net proceeds of $91.5 million.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2016, we acquired CompareCards for $80.7 million in cash at closing and contingent consideration payments of up to $22.5 million for each of 2017 and 2018. Total long-term liabilities at the end of 2016 included the fair value of the contingent consideration of $23.1 million. The full potential contingent consideration of $45.0 million was paid in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left="5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December 2016, we acquired two office buildings in Charlotte, North Carolina for $23.5 million in cash. In November 2018, the office buildings were classified as held for sale. For additional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7—Assets Held for Sale and Note 22—Subsequent Events in the notes to the consolidated financial statements included elsewhere in this report.</w:t>
      </w:r>
    </w:p>
    <w:p>
      <w:pPr>
        <w:spacing w:after="0" w:line="122"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May 2017, we issued $300.0 million aggregate principal amount of our 0.625% Convertible Senior Notes due June 1, 2022 and, in connection therewith, entered into Convertible Note Hedge and Warrant transactions with respect to our common stock. For more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13—Debt, in the notes to the consolidated financial statements included elsewhere in this report.</w:t>
      </w:r>
    </w:p>
    <w:p>
      <w:pPr>
        <w:spacing w:after="0" w:line="122" w:lineRule="exact"/>
        <w:rPr>
          <w:rFonts w:ascii="Times New Roman" w:cs="Times New Roman" w:eastAsia="Times New Roman" w:hAnsi="Times New Roman"/>
          <w:sz w:val="18"/>
          <w:szCs w:val="18"/>
          <w:color w:val="auto"/>
        </w:rPr>
      </w:pPr>
    </w:p>
    <w:p>
      <w:pPr>
        <w:jc w:val="both"/>
        <w:ind w:left="500" w:hanging="330"/>
        <w:spacing w:after="0" w:line="258"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2017, we acquired DepositAccounts for $24.0 million in cash at closing and contingent consideration payments of up to $9.0 million, and acquired MagnifyMoney for $29.6 million in cash at closing. In September 2017, we acquired SnapCap for $11.9 million in cash at closing and up to three additional contingent consideration payments, each ranging from zero to $3.0 million. Total long-term liabilities at the end of 2017 included the fair value of DepositAccounts non-current contingent consideration of $4.3 million and the fair value of SnapCap contingent consideration of $7.0 million. Total long-term liabilities at the end of 2018 included the fair value of SnapCap non-current contingent consideration of $3.7 million.</w:t>
      </w:r>
    </w:p>
    <w:p>
      <w:pPr>
        <w:spacing w:after="0" w:line="129" w:lineRule="exact"/>
        <w:rPr>
          <w:rFonts w:ascii="Times New Roman" w:cs="Times New Roman" w:eastAsia="Times New Roman" w:hAnsi="Times New Roman"/>
          <w:sz w:val="18"/>
          <w:szCs w:val="18"/>
          <w:color w:val="auto"/>
        </w:rPr>
      </w:pPr>
    </w:p>
    <w:p>
      <w:pPr>
        <w:jc w:val="both"/>
        <w:ind w:left="500" w:hanging="330"/>
        <w:spacing w:after="0" w:line="25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2018, we acquired Ovation for $12.2 million in cash at closing and up to two contingent consideration payments, each ranging from zero to $4.375 million. In July 2018, we acquired Student Loan Hero for $60.7 million in cash at closing. In October 2018, we acquired QuoteWizard for $299.9 million in cash at closing, which was funded through $174.9 million of cash on hand and by $125.0 million drawn on our amended and restated revolving credit facility, and up to three contingent consideration payments, each ranging from zero to $23.4 million. In December 2018, we exercised our option to acquire an affiliate of Magnify Money in India for $0.5 million in cash. Total long-term liabilities at the end of 2018 included the fair value of Ovation non-current contingent consideration of $3.3 million and the fair value of QuoteWizard contingent consideration of $20.7 million.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should be read in conjunction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LendingTree operates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partners.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Acquisitions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10, 2019, we acquired ValuePenguin, a personal finance website that offers consumers objective analysis on a variety of financial topics from insurance to credit cards, for $105.0 million in cash at the closing of the transaction, subject to adjustments for working capital. We believe that combining ValuePenguin’s high-quality content and search engine optimization capability with recently acquired proprietary technology and insurance carrier network from QuoteWizard enables us to provide immense value to carriers and agents. This strategic acquisition positions us to achieve further scale in the insurance space as well as the broader financial services industry.</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31, 2018, we acquired QuoteWizard, one of the largest insurance comparison marketplaces in the growing online insurance advertising market, for $299.9 million in cash at the closing of the transaction, subject to post-closing adjustments to working capital and potential contingent consideration payments of up to $70.2 million through October 2021, subject to achieving specific targets. QuoteWizard services clients by driving consumers to insurance companies’ websites, providing leads to agents and carriers, as well as phone transfers of consumers into carrier call centers. We believe this acquisition will establish LendingTree as a leading player in the online insurance advertising industry, while continuing our ongoing diversification within the financial services category.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23, 2018, we acquired Student Loan Hero for $62.7 million in cash, of which $2.3 million was recognized as severance expense in our consolidated statements of operations and comprehensive income. Student Loan Hero, a personal finance website dedicated to helping student loan borrowers manage their student debt, offers current and former students in-depth financial comparison tools, educational resources, and unbiased, personalized advice. This strategic transaction allows us to scale our student loan business and provide consumers with the tools and resources to better understand their personal finances and make smarter financial decisions.</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11, 2018, we acquired Ovation, a leading provider of credit services with a strong customer service reputation for $12.1 million in cash and potential contingent consideration payments of up to $8.75 million through June 2020, subject to achieving specified targets.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 Ovation's experienced management team, strong credit bureau relationships and customized software platform enable us to help more consumers achieve their original financial goals through the LendingTree platform.</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19, 2017, we acquired certain assets of SnapCap for $11.9 million in cash at closing and contingent consideration payments of up to $9.0 million through March 31, 2020, subject to achieving specific targets. SnapCap is a tech-enabled online platform, which connects business owners with lenders offering small business loans, lines of credit and merchant cash advance products through a concierge-based sales approach. SnapCap's high-touch, high-conversion sales approach with our brand and performance marketing expertise has enabled growth in our small business offering.</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20, 2017, we acquired MagnifyMoney for $29.6 million cash consideration at the closing of the transaction. MagnifyMoney is a leading consumer-facing media property that offers editorial content, expert commentary, tools and resources to help consumers compare financial products and make informed financial decisions. The MagnifyMoney team brings the expertise and infrastructure to expand content creation and distribution across all of our consumer facing brands, improving our presence and efficacy in acquisition channels such as search engine optimization.</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14, 2017, we acquired substantially all of the assets of DepositAccounts for $24.0 million in cash at closing and contingent consideration payments of up to $9.0 million through June 30, 2020, subject to achieving specific targets.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 This acquisition represented our first offering to address the asset side of the consumer balance sheet.</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16, 2016, we acquired CompareCards for $80.7 million in cash at closing and contingent consideration payments of up to $22.5 million for each of 2017 and 2018, subject to achieving specific growth targets. CompareCards is a leading online source for side-by-side credit card comparison shopping. CompareCards provides consumers with one centralized location for pertinent credit card information needed to find the best card for their needs. CompareCards’ unique marketing platform and strong relationships with card issuers combined with LendingTree’s scale and organizational support have delivered substantial growth in our credit card business.</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earned per consumer can be adversely affected by the overall reduced demand for refinancing in a rising rate environment. These factors combined to cause lower revenue earned per consumer for mortgage products in 2018 compared to the prior year.</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dynamically adjust selling and marketing expenditures in all interest rate environments to optimize our results against these variables.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According to Freddie Mac, 30-year mortgage interest rates declined from a monthly average of 3.87% in January 2016 to an average of 3.44% in August 2016, the lowest monthly average since January 2013. By December 2016, 30-year mortgage interest rates increased to an average of 4.20%. During 2017, 30-year mortgage interest rates then declined to a monthly average of 3.81% in September 2017, before increasing to 3.95% at the end of 2017. During 2018, 30-year mortgage interest rates generally increased to a monthly average of 4.87% in November 2018, but declined to 4.64% at the end of 2018.</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 full-year basis, 30-year mortgage interest rates increased to an average 4.54% in 2018, as compared to 3.99% and 3.65% in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45720</wp:posOffset>
            </wp:positionV>
            <wp:extent cx="5694045" cy="3258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404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Typically, as mortgage interest rates rise, there are fewer consumers in the marketplace seeking refinancings and, accordingly, the mix of mortgage origination dollars will move towards purchase mortgages. According to Mortgage Bankers Association ("MBA") data, total purchase origination dollars increased from 52% of total 2016 mortgage origination dollars to 65% in 2017 and 72% in 2018, as a result of the general increase in average mortgage interest rates.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Looking forward, MBA is projecting 30-year mortgage interest rates to climb in 2019, to an average 4.8% on 30-year fixed rate mortgages. According to MBA projections, as interest rates climb, the mix of mortgage origination dollars will continue to move towards purchase mortgages with the refinance share representing just 24% for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Real Estate Market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 to the National Association of Realtors ("NAR"), nationwide existing home sales in 2016 increased approximately 3% over 2015. Growth in 2017 was approximately 2% over 2016 due to limited inventory of homes for sale in 2017. In addition to continued low inventory, rising interest rates contributed to declining home sales in 2018, resulting in nationwide existing home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in 2018 contracting approximately 3% from 2017. The NAR expects an increase in home sales in early 2019 as interest rates decrease from the high in late 2018, but expect an overall annual decrease of 2% compared to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 and Hedge and Warrant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May 31, 2017, we issued $300.0 million aggregate principal amount of our 0.625% Convertible Senior Notes due June 1, 2022 and, in connection therewith, entered into Convertible Note Hedge and Warrant transactions with respect to our common stock. For more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13—Debt, in the notes to the consolidated financial statements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Carolina Office Properties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2016, we completed the acquisition of two office buildings in Charlotte, North Carolina, for $23.5 million in cash. The buildings were acquired with the intent to use such buildings as our corporate headquarters and rent any unused space. In November 2018, the office buildings were classified as held for sale. In February 2019, we agreed to sell these buildings to an unrelated third party. For additional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7—Assets Held for Sale and Note 22—Subsequent Events in the notes to the consolidated financial statements included elsewhere in this report.</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With our expansion in North Carolina, in December 2016, we received a grant from the state that provides up to $4.9 million in reimbursements over 12 years beginning in 2017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up to $8.4 million in reimbursements over 12 years beginning in 2020 for increasing jobs in North Carolina at specific targeted levels through 2023, and maintaining the jobs thereafter.</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4" w:right="239"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2018, 2017 and 2016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700" w:type="dxa"/>
            <w:vAlign w:val="bottom"/>
            <w:gridSpan w:val="5"/>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60" w:type="dxa"/>
            <w:vAlign w:val="bottom"/>
            <w:gridSpan w:val="2"/>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2018 vs. 2017</w:t>
            </w:r>
          </w:p>
        </w:tc>
        <w:tc>
          <w:tcPr>
            <w:tcW w:w="2000" w:type="dxa"/>
            <w:vAlign w:val="bottom"/>
            <w:gridSpan w:val="2"/>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2017 vs. 2016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8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2"/>
                <w:szCs w:val="12"/>
                <w:color w:val="auto"/>
              </w:rPr>
            </w:pPr>
          </w:p>
        </w:tc>
        <w:tc>
          <w:tcPr>
            <w:tcW w:w="66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2"/>
                <w:szCs w:val="12"/>
                <w:color w:val="auto"/>
              </w:rPr>
            </w:pPr>
          </w:p>
        </w:tc>
        <w:tc>
          <w:tcPr>
            <w:tcW w:w="72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00" w:type="dxa"/>
            <w:vAlign w:val="bottom"/>
          </w:tcPr>
          <w:p>
            <w:pPr>
              <w:jc w:val="right"/>
              <w:ind w:right="445"/>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403"/>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403"/>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63"/>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0"/>
        </w:trPr>
        <w:tc>
          <w:tcPr>
            <w:tcW w:w="4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60" w:type="dxa"/>
            <w:vAlign w:val="bottom"/>
            <w:gridSpan w:val="2"/>
          </w:tcPr>
          <w:p>
            <w:pPr>
              <w:jc w:val="right"/>
              <w:ind w:right="703"/>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Mortgage products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242,175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219,991</w:t>
            </w:r>
          </w:p>
        </w:tc>
        <w:tc>
          <w:tcPr>
            <w:tcW w:w="110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  (33,735)</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(12)%</w:t>
            </w:r>
          </w:p>
        </w:tc>
        <w:tc>
          <w:tcPr>
            <w:tcW w:w="104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   55,919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37"/>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Non-mortgage products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522,690</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341,826</w:t>
            </w:r>
          </w:p>
        </w:tc>
        <w:tc>
          <w:tcPr>
            <w:tcW w:w="240" w:type="dxa"/>
            <w:vAlign w:val="bottom"/>
          </w:tcPr>
          <w:p>
            <w:pPr>
              <w:spacing w:after="0"/>
              <w:rPr>
                <w:sz w:val="20"/>
                <w:szCs w:val="20"/>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164,411</w:t>
            </w:r>
          </w:p>
        </w:tc>
        <w:tc>
          <w:tcPr>
            <w:tcW w:w="110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180,864</w:t>
            </w: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53 %</w:t>
            </w:r>
          </w:p>
        </w:tc>
        <w:tc>
          <w:tcPr>
            <w:tcW w:w="10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177,415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764,865</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617,736</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384,402</w:t>
            </w:r>
          </w:p>
        </w:tc>
        <w:tc>
          <w:tcPr>
            <w:tcW w:w="114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147,129</w:t>
            </w:r>
          </w:p>
        </w:tc>
        <w:tc>
          <w:tcPr>
            <w:tcW w:w="116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24 %</w:t>
            </w:r>
          </w:p>
        </w:tc>
        <w:tc>
          <w:tcPr>
            <w:tcW w:w="8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233,334</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61 %</w:t>
            </w:r>
          </w:p>
        </w:tc>
      </w:tr>
      <w:tr>
        <w:trPr>
          <w:trHeight w:val="237"/>
        </w:trPr>
        <w:tc>
          <w:tcPr>
            <w:tcW w:w="4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expenses: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4"/>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16"/>
                <w:szCs w:val="16"/>
                <w:i w:val="1"/>
                <w:iCs w:val="1"/>
                <w:color w:val="auto"/>
              </w:rPr>
              <w:t>(exclusive of depreciation and amortization shown</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5"/>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separately below)</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36,399</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17,223</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13,764</w:t>
            </w:r>
          </w:p>
        </w:tc>
        <w:tc>
          <w:tcPr>
            <w:tcW w:w="11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19,176</w:t>
            </w:r>
          </w:p>
        </w:tc>
        <w:tc>
          <w:tcPr>
            <w:tcW w:w="11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111 %</w:t>
            </w: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3,459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37"/>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500,291</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432,784</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261,100</w:t>
            </w: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67,507</w:t>
            </w: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16 %</w:t>
            </w: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171,684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101,219</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71,541</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37,227</w:t>
            </w:r>
          </w:p>
        </w:tc>
        <w:tc>
          <w:tcPr>
            <w:tcW w:w="11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29,678</w:t>
            </w:r>
          </w:p>
        </w:tc>
        <w:tc>
          <w:tcPr>
            <w:tcW w:w="11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41 %</w:t>
            </w: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34,314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37"/>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 development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26,958</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17,925</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13,761</w:t>
            </w: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9,033</w:t>
            </w: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50 %</w:t>
            </w: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4,164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7,385</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7,085</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4,944</w:t>
            </w:r>
          </w:p>
        </w:tc>
        <w:tc>
          <w:tcPr>
            <w:tcW w:w="11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300</w:t>
            </w:r>
          </w:p>
        </w:tc>
        <w:tc>
          <w:tcPr>
            <w:tcW w:w="11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4 %</w:t>
            </w: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2,141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37"/>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23,468</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12,992</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1,243</w:t>
            </w: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10,476</w:t>
            </w: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81 %</w:t>
            </w: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11,749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945 %</w:t>
            </w: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10,788</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23,931</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(13,143)</w:t>
            </w:r>
          </w:p>
        </w:tc>
        <w:tc>
          <w:tcPr>
            <w:tcW w:w="11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(55)%</w:t>
            </w: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23,931</w:t>
            </w:r>
          </w:p>
        </w:tc>
        <w:tc>
          <w:tcPr>
            <w:tcW w:w="88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n/a</w:t>
            </w:r>
          </w:p>
        </w:tc>
      </w:tr>
      <w:tr>
        <w:trPr>
          <w:trHeight w:val="237"/>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Severance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122</w:t>
            </w: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1,948</w:t>
            </w: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482 %</w:t>
            </w: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282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231 %</w:t>
            </w: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718</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129</w:t>
            </w:r>
          </w:p>
        </w:tc>
        <w:tc>
          <w:tcPr>
            <w:tcW w:w="11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(904)</w:t>
            </w:r>
          </w:p>
        </w:tc>
        <w:tc>
          <w:tcPr>
            <w:tcW w:w="11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(126)%</w:t>
            </w: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589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457 %</w:t>
            </w:r>
          </w:p>
        </w:tc>
      </w:tr>
      <w:tr>
        <w:trPr>
          <w:trHeight w:val="231"/>
        </w:trPr>
        <w:tc>
          <w:tcPr>
            <w:tcW w:w="4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708,674</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584,603</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332,290</w:t>
            </w:r>
          </w:p>
        </w:tc>
        <w:tc>
          <w:tcPr>
            <w:tcW w:w="11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124,071</w:t>
            </w:r>
          </w:p>
        </w:tc>
        <w:tc>
          <w:tcPr>
            <w:tcW w:w="11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21 %</w:t>
            </w:r>
          </w:p>
        </w:tc>
        <w:tc>
          <w:tcPr>
            <w:tcW w:w="8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252,313</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76 %</w:t>
            </w:r>
          </w:p>
        </w:tc>
      </w:tr>
      <w:tr>
        <w:trPr>
          <w:trHeight w:val="33"/>
        </w:trPr>
        <w:tc>
          <w:tcPr>
            <w:tcW w:w="4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56,191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33,133</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52,112</w:t>
            </w:r>
          </w:p>
        </w:tc>
        <w:tc>
          <w:tcPr>
            <w:tcW w:w="11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23,058</w:t>
            </w: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70 %</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(18,979)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r>
      <w:tr>
        <w:trPr>
          <w:trHeight w:val="237"/>
        </w:trPr>
        <w:tc>
          <w:tcPr>
            <w:tcW w:w="4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(561)</w:t>
            </w:r>
          </w:p>
        </w:tc>
        <w:tc>
          <w:tcPr>
            <w:tcW w:w="11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(5,409)</w:t>
            </w:r>
          </w:p>
        </w:tc>
        <w:tc>
          <w:tcPr>
            <w:tcW w:w="11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77 %</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(6,467)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1,153 %</w:t>
            </w:r>
          </w:p>
        </w:tc>
      </w:tr>
      <w:tr>
        <w:trPr>
          <w:trHeight w:val="237"/>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23</w:t>
            </w: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386</w:t>
            </w: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97 %</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r>
      <w:tr>
        <w:trPr>
          <w:trHeight w:val="33"/>
        </w:trPr>
        <w:tc>
          <w:tcPr>
            <w:tcW w:w="4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43,744</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25,709</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51,574</w:t>
            </w:r>
          </w:p>
        </w:tc>
        <w:tc>
          <w:tcPr>
            <w:tcW w:w="11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18,035</w:t>
            </w: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70 %</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(25,865)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37"/>
        </w:trPr>
        <w:tc>
          <w:tcPr>
            <w:tcW w:w="4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65,575</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(6,291)</w:t>
            </w:r>
          </w:p>
        </w:tc>
        <w:tc>
          <w:tcPr>
            <w:tcW w:w="20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(20,366)</w:t>
            </w: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71,866</w:t>
            </w: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1,142 %</w:t>
            </w: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14,075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33"/>
        </w:trPr>
        <w:tc>
          <w:tcPr>
            <w:tcW w:w="4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from continuing operations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109,319</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19,418</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31,208</w:t>
            </w:r>
          </w:p>
        </w:tc>
        <w:tc>
          <w:tcPr>
            <w:tcW w:w="11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89,901</w:t>
            </w: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463 %</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(11,790)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r>
      <w:tr>
        <w:trPr>
          <w:trHeight w:val="237"/>
        </w:trPr>
        <w:tc>
          <w:tcPr>
            <w:tcW w:w="46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Loss from discontinued operations,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(12,820)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(3,840)</w:t>
            </w:r>
          </w:p>
        </w:tc>
        <w:tc>
          <w:tcPr>
            <w:tcW w:w="20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(3,714)</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(8,980)</w:t>
            </w:r>
          </w:p>
        </w:tc>
        <w:tc>
          <w:tcPr>
            <w:tcW w:w="11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(234)%</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33"/>
        </w:trPr>
        <w:tc>
          <w:tcPr>
            <w:tcW w:w="4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and comprehensive income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96,499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15,578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27,494</w:t>
            </w:r>
          </w:p>
        </w:tc>
        <w:tc>
          <w:tcPr>
            <w:tcW w:w="11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80,921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519 %  $</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(11,916)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r>
      <w:tr>
        <w:trPr>
          <w:trHeight w:val="27"/>
        </w:trPr>
        <w:tc>
          <w:tcPr>
            <w:tcW w:w="46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increased in 2018 compared to 2017 due to increases in our non-mortgage products of $180.9 million, partially offset by a decrease in our mortgage products of $33.7 million.</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non-mortgage products include the following non-mortgage lending products: credit cards, personal loans, home equity loans and lines of credit, small business loans, student loans, reverse mortgage loans and auto loans. Our non-mortgage products also include insurance quotes, deposit accounts, home improvement referrals and other credit products such as credit repair and debt settlement. Revenue earned through resale of online advertising space to third parties is also included in non-mortgage products. Many of our non-mortgage products are not individually significant to revenue. The increase in revenue from our non-mortgage products in 2018 compared to 2017 is primarily due to an increase in our products for personal loans, insurance, credit cards, home equity, small business loans and student loans.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our personal loan product increased $46.0 million to $134.2 million in 2018 from $88.2 million in 2017, or 52%. Revenue from our personal loan product increased in 2018 due to increased revenue earned per consumer. Additionally, the number of consumers completing request forms increased as a result of increased lender demand and corresponding increases in selling and marketing efforts.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from our credit card product increased $18.8 million to $165.8 million in 2018 from $147.0 million in 2017, or 13%. Revenue from our credit card product increased in 2018 primarily due to increases in click traffic sent to issuers, and increased revenue earned per approval.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4" w:right="239"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2018 and 2017, no other non-mortgage product represented more than 10% of revenue, however certain other non-mortgage products experienced notable increases. Revenue from our insurance product increased $31.2 million in 2018 compared to 2017, due to the QuoteWizard acquisition, completed on October 31, 2018. Revenue from our home equity product increased $16.3 million in 2018 compared to 2017, due to increases in the number of consumers completing request forms as a result of increases in lender coverage and lender demand, and corresponding increases in selling and marketing efforts, and increased revenue earned per consumer. Revenue from our small business loans product increased $16.2 million in 2018 compared to 2017, due to increases in the number of consumers seeking business loans, increases in selling and marketing efforts, and increased revenue earned per consumer, primarily due to the acquisition of SnapCap. Revenue from our student loans product increased $14.8 million in 2018 compared to 2017, due to increased consumers and increased revenue earned per consumer, partially due to the acquisition of Student Loan Hero.</w:t>
      </w:r>
    </w:p>
    <w:p>
      <w:pPr>
        <w:spacing w:after="0" w:line="1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market for our non-mortgage products remains under-penetrated and we believe long-term growth prospects are strong for non-mortgage products. A significant industry-wide contraction in the availability of capital for non-mortgage products would likely adversely affect our non-mortgage product revenues. We expect increases in revenue for non-mortgage products in future periods due to expected increases in many products, most notably insurance product revenue from our acquisitions of QuoteWizard and ValuePenguin.</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decrease in revenue from our mortgage products in 2018 compared to 2017 is due to a decrease in revenue from our refinance product, partially offset by an increase in revenue from our purchase product. The revenue from our refinance product decreased $39.3 million in 2018 from 2017, while the revenue from our purchase product increased $5.6 million. The decrease in revenue from our refinance product is primarily due to a decrease in the number of consumers completing request forms as a result of fewer consumers seeking refinancing in a period of rising interest rates. The increase in revenue from our purchase product is primarily due to an increase in revenue earned per consumer. In 2019, we expect a more moderate year-over-year decline in mortgage revenue.</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increased in 2017 compared to 2016 due to increases in our non-mortgage products of $177.4 million and in our mortgage products of $55.9 million.</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 in revenue from our non-mortgage products in 2017 compared to 2016 is primarily due to an increase in our credit cards, home equity, and personal loans products.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from our credit card product increased $107.6 million to $147.0 million in 2017 from $39.4 million in 2016, or 273%. Revenue from our credit card product increased in 2017 primarily due to the CompareCards acquisition, completed on November 16, 2016.</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our personal loan product increased $21.7 million to $88.2 million in 2017 from $66.5 million in 2016, or 33%. Revenue from our personal loan product increased in 2017 due to the number of consumers completing request forms as a result of increases in lender demand and corresponding increases in selling and marketing efforts, partially offset by decreases in revenue earned per consumer. Certain of our online personal loan lenders experienced well-publicized challenges in 2016, in particular, general unavailability of capital and increased pricing demanded by investors of personal loans, which in some cases led to reductions in marketing spend, and tightening in underwriting standards.</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2017 and 2016, no other non-mortgage product represented more than 10% of revenue, however certain other non-mortgage products experienced notable increases. Revenue from our home equity product increased $28.3 million in 2017 compared to 2016, due to increases in the number of consumers completing request forms as a result of increases in lender coverage and lender demand, corresponding increases in selling and marketing efforts, and increased revenue earned per consumer.</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revenue from our mortgage products in 2017 compared to 2016 is due to an increase in revenue from both our purchase and refinance products. The revenue from our purchase product increased $33.6 million in 2017 from 2016, while the revenue from our refinance product increased $22.4 million. The increase in revenue from our mortgage products is primarily due to an increase in revenue earned per consumer. Additionally, the number of consumers completing request forms for mortgage products increased in 2017 from 2016, due to an increase in lender demand and a corresponding increase in selling and marketing efforts.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increased in 2018 from 2017, primarily due to increases of $8.8 million for the cost of resold advertising space, $6.3 million in compensation and benefits as a result of increases in headcount, $2.1 million in credit scoring fees and $1.2 million in website network hosting and server fees.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 as a percentage of revenue increased to 5% in 2018 compared to 3% in 2017 due to the items above.</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increased in 2017 from 2016, primarily due to increases of $2.1 million in compensation and benefits as a result of increases in headcount, $0.9 million in website network hosting and server fees and $0.8 million in third-party customer call center fees, partially offset by a $0.7 million decrease in credit scoring fees.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 as a percentage of revenue decreased slightly to 3% in 2017 compared to 4% in 2016 due to the items above.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increases in cost of revenue in future periods due to our acquisition of QuoteWizard.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Selling and marketing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increases in selling and marketing expense in 2018 compared to 2017 and in 2017 compared to 2016 were primarily due to increases in advertising and promotional expense of $59.2 million and $167.6 million, respectively, as discussed below. In addition, selling and marketing expense increased in 2018 compared to 2017 and in 2017 compared to 2016 due to an increase in compensation and benefits of $8.3 million and $4.1 million, respectively, as a result of increases in headcount.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and promotional expense is the largest component of selling and marketing expense, and is comprised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2018 vs. 2017</w:t>
            </w:r>
          </w:p>
        </w:tc>
        <w:tc>
          <w:tcPr>
            <w:tcW w:w="200" w:type="dxa"/>
            <w:vAlign w:val="bottom"/>
          </w:tcPr>
          <w:p>
            <w:pPr>
              <w:spacing w:after="0"/>
              <w:rPr>
                <w:sz w:val="18"/>
                <w:szCs w:val="18"/>
                <w:color w:val="auto"/>
              </w:rPr>
            </w:pPr>
          </w:p>
        </w:tc>
        <w:tc>
          <w:tcPr>
            <w:tcW w:w="2020" w:type="dxa"/>
            <w:vAlign w:val="bottom"/>
            <w:gridSpan w:val="2"/>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2017 vs. 2016</w:t>
            </w:r>
          </w:p>
        </w:tc>
      </w:tr>
      <w:tr>
        <w:trPr>
          <w:trHeight w:val="33"/>
        </w:trPr>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7"/>
        </w:trPr>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36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44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1"/>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4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5"/>
        </w:trPr>
        <w:tc>
          <w:tcPr>
            <w:tcW w:w="2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453,066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368,004</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210,635</w:t>
            </w:r>
          </w:p>
        </w:tc>
        <w:tc>
          <w:tcPr>
            <w:tcW w:w="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85,062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157,369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Broadcast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5,974</w:t>
            </w:r>
          </w:p>
        </w:tc>
        <w:tc>
          <w:tcPr>
            <w:tcW w:w="3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35,681</w:t>
            </w: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(29,707)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7,226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10,908</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7,098</w:t>
            </w: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3,810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2,967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7"/>
        </w:trPr>
        <w:tc>
          <w:tcPr>
            <w:tcW w:w="2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advertising expense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469,948</w:t>
            </w:r>
          </w:p>
        </w:tc>
        <w:tc>
          <w:tcPr>
            <w:tcW w:w="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410,783</w:t>
            </w:r>
          </w:p>
        </w:tc>
        <w:tc>
          <w:tcPr>
            <w:tcW w:w="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243,221</w:t>
            </w:r>
          </w:p>
        </w:tc>
        <w:tc>
          <w:tcPr>
            <w:tcW w:w="5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59,165</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167,562</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4"/>
        </w:trPr>
        <w:tc>
          <w:tcPr>
            <w:tcW w:w="2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both mortgage and non-mortgage products.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increased our advertising expenditures in 2018 compared to 2017 and in 2017 compared to 2016, in order to generate additional consumer inquiries to meet the increased demand of Network Partners on our marketplace. We will continue to adjust selling and marketing expenditures dynamically in relation to anticipated revenue opportunities.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increases in selling and marketing expense in future periods due to our acquisition of QuoteWizard.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General and administrative expense increased in 2018 compared to 2017, primarily due to increases in compensation and benefits of $26.3 million as a result of increases in headcount and long-term equity awards granted to our Chairman and Chief Executive Officer in the third quarter of 2017 and in the first quarter of 2018, which awards have both time and significant performance-based vesting conditions. We also granted long-term equity awards to certain members of our leadership team in the fourth quarter of 2017 and in the first quarter of 2018. For additional information regarding the awards granted to our Chairman and Chief Executive Officer,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11—Stock-Based Compensation in the notes to the consolidated financial statements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4" w:right="239"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elsewhere in this report. Non-cash compensation expense is excluded from Adjusted Earnings Before Interest, Taxes, Depreciation and Amortization ("Adjusted EBITDA"), as discussed below. In addition, the results of operations for 2018 includes a charge of $1.6 million due to the write-off of certain fixed assets.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 as a percentage of revenue increased to 13% in 2018 compared to 12% in 2017 due to the items above.</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in 2017 compared to 2016, primarily due to increases in compensation and benefits of $19.4 million as a result of increases in headcount, the long-term equity awards granted to our Chairman and Chief Executive Officer in the third quarter of 2017, and the long-term equity awards granted to certain members of our leadership team in the fourth quarter of 2017.</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Included in general and administrative expense in 2017 was a $10.0 million charitable contribution to fund the newly formed LendingTree Foundation in the fourth quarter of 2017. This one-time item is excluded from Adjusted EBITDA, as discussed below.</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 as a percentage of revenue increased to 12% in 2017 compared to 10% in 2016 due to the items above.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increases in general and administrative expense in future periods due to our acquisitions of QuoteWizard and ValuePenguin.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development expense increased in 2018 compared to 2017 and in 2017 compared to 2016, as we continued to invest in internal development of new and enhanced features, functionality and business opportunities that we believe will enable us to better and more fully serve consumers and lenders.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increases in product development expense in future periods due to our acquisition of QuoteWizard.</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increases in depreciation expense in 2018 compared to 2017 and in 2017 compared to 2016 were primarily the result of higher investment in internally developed software in recent years, to support the growth of our business.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Amortization of intangibles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increases in amortization of intangibles in 2018 compared to 2017 and in 2017 compared to 2016 were primarily due to intangible assets associated with our business acquisitions in 2018, 2017 and 2016.</w:t>
      </w:r>
    </w:p>
    <w:p>
      <w:pPr>
        <w:spacing w:after="0" w:line="108" w:lineRule="exact"/>
        <w:rPr>
          <w:sz w:val="20"/>
          <w:szCs w:val="20"/>
          <w:color w:val="auto"/>
        </w:rPr>
      </w:pPr>
    </w:p>
    <w:p>
      <w:pPr>
        <w:ind w:left="340" w:right="1960"/>
        <w:spacing w:after="0" w:line="438" w:lineRule="auto"/>
        <w:rPr>
          <w:sz w:val="20"/>
          <w:szCs w:val="20"/>
          <w:color w:val="auto"/>
        </w:rPr>
      </w:pPr>
      <w:r>
        <w:rPr>
          <w:rFonts w:ascii="Times New Roman" w:cs="Times New Roman" w:eastAsia="Times New Roman" w:hAnsi="Times New Roman"/>
          <w:sz w:val="18"/>
          <w:szCs w:val="18"/>
          <w:color w:val="auto"/>
        </w:rPr>
        <w:t xml:space="preserve">We expect increases in amortization of intangibles in future periods due to our acquisitions of QuoteWizard and ValuePenguin. </w:t>
      </w:r>
      <w:r>
        <w:rPr>
          <w:rFonts w:ascii="Times New Roman" w:cs="Times New Roman" w:eastAsia="Times New Roman" w:hAnsi="Times New Roman"/>
          <w:sz w:val="18"/>
          <w:szCs w:val="18"/>
          <w:b w:val="1"/>
          <w:bCs w:val="1"/>
          <w:color w:val="auto"/>
        </w:rPr>
        <w:t>Contingent consideration</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2018, we recorded an aggregate of $10.8 million of contingent consideration expense due to adjustments in the estimated fair value of the earnout payments related to our recent acquisitions. For 2018, the contingent consideration expense for the CompareCards acquisition, the DepositAccounts acquisition, the Ovation acquisition and the QuoteWizard acquisition was $0.7 million, $2.0 million, $1.6 million and $6.8 million, respectively. This was partially offset by a contingent consideration gain for the SnapCap acquisition of $0.3 million.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2017, we recorded an aggregate of $23.9 million of contingent consideration expense due to adjustments in the estimated fair value of the earnout payments related to our recent acquisitions. For 2017, the contingent consideration expense for the CompareCards acquisition, the DepositAccounts acquisition and the SnapCap acquisition was $21.2 million, $2.0 million and $0.7 million,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4" w:right="239" w:bottom="1440" w:gutter="0" w:footer="0" w:header="0"/>
        </w:sectPr>
      </w:pPr>
    </w:p>
    <w:bookmarkStart w:id="40" w:name="page41"/>
    <w:bookmarkEnd w:id="4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20" w:type="dxa"/>
            <w:vAlign w:val="bottom"/>
            <w:gridSpan w:val="3"/>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0" w:type="dxa"/>
            <w:vAlign w:val="bottom"/>
          </w:tcPr>
          <w:p>
            <w:pPr>
              <w:spacing w:after="0"/>
              <w:rPr>
                <w:sz w:val="20"/>
                <w:szCs w:val="20"/>
                <w:color w:val="auto"/>
              </w:rPr>
            </w:pPr>
          </w:p>
        </w:tc>
        <w:tc>
          <w:tcPr>
            <w:tcW w:w="1140" w:type="dxa"/>
            <w:vAlign w:val="bottom"/>
          </w:tcPr>
          <w:p>
            <w:pPr>
              <w:jc w:val="center"/>
              <w:ind w:right="293"/>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480" w:type="dxa"/>
            <w:vAlign w:val="bottom"/>
          </w:tcPr>
          <w:p>
            <w:pPr>
              <w:spacing w:after="0"/>
              <w:rPr>
                <w:sz w:val="20"/>
                <w:szCs w:val="20"/>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0" w:type="dxa"/>
            <w:vAlign w:val="bottom"/>
            <w:gridSpan w:val="4"/>
          </w:tcPr>
          <w:p>
            <w:pPr>
              <w:jc w:val="center"/>
              <w:ind w:left="614"/>
              <w:spacing w:after="0"/>
              <w:rPr>
                <w:sz w:val="20"/>
                <w:szCs w:val="20"/>
                <w:color w:val="auto"/>
              </w:rPr>
            </w:pPr>
            <w:r>
              <w:rPr>
                <w:rFonts w:ascii="Times New Roman" w:cs="Times New Roman" w:eastAsia="Times New Roman" w:hAnsi="Times New Roman"/>
                <w:sz w:val="16"/>
                <w:szCs w:val="16"/>
                <w:i w:val="1"/>
                <w:iCs w:val="1"/>
                <w:color w:val="auto"/>
              </w:rPr>
              <w:t>(in thousands, except percentages)</w:t>
            </w:r>
          </w:p>
        </w:tc>
        <w:tc>
          <w:tcPr>
            <w:tcW w:w="102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65,575</w:t>
            </w:r>
          </w:p>
        </w:tc>
        <w:tc>
          <w:tcPr>
            <w:tcW w:w="6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(6,291)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(20,366)</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40" w:type="dxa"/>
            <w:vAlign w:val="bottom"/>
          </w:tcPr>
          <w:p>
            <w:pPr>
              <w:spacing w:after="0"/>
              <w:rPr>
                <w:sz w:val="21"/>
                <w:szCs w:val="21"/>
                <w:color w:val="auto"/>
              </w:rPr>
            </w:pPr>
          </w:p>
        </w:tc>
        <w:tc>
          <w:tcPr>
            <w:tcW w:w="1580" w:type="dxa"/>
            <w:vAlign w:val="bottom"/>
            <w:gridSpan w:val="2"/>
          </w:tcPr>
          <w:p>
            <w:pPr>
              <w:jc w:val="right"/>
              <w:ind w:right="394"/>
              <w:spacing w:after="0"/>
              <w:rPr>
                <w:sz w:val="20"/>
                <w:szCs w:val="20"/>
                <w:color w:val="auto"/>
              </w:rPr>
            </w:pPr>
            <w:r>
              <w:rPr>
                <w:rFonts w:ascii="Times New Roman" w:cs="Times New Roman" w:eastAsia="Times New Roman" w:hAnsi="Times New Roman"/>
                <w:sz w:val="18"/>
                <w:szCs w:val="18"/>
                <w:i w:val="1"/>
                <w:iCs w:val="1"/>
                <w:color w:val="auto"/>
              </w:rPr>
              <w:t>(149.9)%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24.5%</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39.5%</w:t>
            </w:r>
          </w:p>
        </w:tc>
      </w:tr>
      <w:tr>
        <w:trPr>
          <w:trHeight w:val="27"/>
        </w:trPr>
        <w:tc>
          <w:tcPr>
            <w:tcW w:w="6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2018, the effective tax rate varied from the federal statutory rate of 21% primarily due to the benefit derived from excess tax deductions from the vesting of restricted stock and exercise of stock options of $77.6 million, including state taxes.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2017, the effective tax rate varied from the federal statutory rate of 35% primarily due to the benefit derived from excess tax deductions from the vesting of restricted stock and exercise of stock options of $12.9 million, including state taxes, and the federal tax research credit. Additionally, during the fourth quarter of 2017, a net tax expense of $9.1 million was recorded related to the enactment of the Tax Cuts and Jobs Act ("TCJA"). The expense was primarily related to the remeasurement of deferred tax assets and liabilities considering the TCJA’s newly enacted tax rates and certain other impacts.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2016, the effective tax rate varied from the federal statutory rate of 35% primarily due to the benefit derived from the federal research tax credit, partially offset by state taxes, including the impact of a reduction in the North Carolina state income tax rate which reduced the value of our deferred tax assets. The federal research tax credit benefit is the result of a study completed during the second quarter for the open tax years of 2011 through 2015, plus an estimate of the benefit from current research activities.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June 6, 2012, we sold substantially all of the operating assets of our LendingTree Loans business for approximately $55.9 million in cash to a wholly-owned subsidiary of Discover Financial Services ("Discover").</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Discover generally did not assume liabilities of the LendingTree Loans business that arose before the closing date, except for certain liabilities directly related to assets Discover acquired. Of the purchase price received, a portion was deposited in escrow in accordance with the agreement with Discover for certain loan loss obligations that remain with us following the sale. During the second quarter of 2018, the remaining funds in escrow were released to us in accordance with the terms of the agreement with Discover.</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During 2018, 2017 and 2016, loss from discontinued operations of $12.8 million, $3.8 million and $3.7 million, respectively, was attributable to the LendingTree Loans business. In 2018, loss from discontinued operations was primarily due to legal fees and litigation contingencies incurred in the Residential Funding Company, LLC v Home Loan Center, Inc. matter. In 2017 and 2016, loss from discontinued operations was primarily due to litigation settlements and contingencies and legal fees associated with ongoing legal proceedings, primarily for the above matter. For more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15— Contingencies, in the notes to the consolidated financial statements included elsewhere in this report, and Item 1A. Risk Factors - Litigation and indemnification of secondary market purchasers, including a pending case brought by Residential Funding Company, LLC, could have a material and adverse effect on our business, financial condition, results of operations and liquidity.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Adjusted Earnings Before Interest, Taxes, Depreciation and Amortization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Definition of Adjusted EBITDA</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54" w:lineRule="auto"/>
        <w:tabs>
          <w:tab w:leader="none" w:pos="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severance expenses, (5) litigation settlements and contingencies and legal fees for certain patent litigation,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4" w:right="239" w:bottom="1440" w:gutter="0" w:footer="0" w:header="0"/>
        </w:sectPr>
      </w:pPr>
    </w:p>
    <w:bookmarkStart w:id="41" w:name="page42"/>
    <w:bookmarkEnd w:id="4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One-Time Items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a $10.0 million contribution to fund the LendingTree Foundation in 2017.</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Non-Cash Expenses that are Excluded from Adjusted EBITDA</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reconciliation of net income from continuing operations to Adjusted EBITDA.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380" w:type="dxa"/>
            <w:vAlign w:val="bottom"/>
          </w:tcPr>
          <w:p>
            <w:pPr>
              <w:spacing w:after="0"/>
              <w:rPr>
                <w:sz w:val="20"/>
                <w:szCs w:val="20"/>
                <w:color w:val="auto"/>
              </w:rPr>
            </w:pPr>
          </w:p>
        </w:tc>
        <w:tc>
          <w:tcPr>
            <w:tcW w:w="128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4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4"/>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109,319</w:t>
            </w: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19,418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31,208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23,468</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12,992</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1,243</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3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7,085</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4,944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404</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impairments and disposal of fixed assets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3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839</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44,365</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23,361</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9,647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to LendingTree Foundation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23,931</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expense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3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1,595</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718</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3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7,028</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Rental amortization of intangibles and 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(65,575)</w:t>
            </w:r>
          </w:p>
        </w:tc>
        <w:tc>
          <w:tcPr>
            <w:tcW w:w="3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6,291</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20,366</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153,496</w:t>
            </w: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115,137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69,819</w:t>
            </w:r>
          </w:p>
        </w:tc>
      </w:tr>
      <w:tr>
        <w:trPr>
          <w:trHeight w:val="27"/>
        </w:trPr>
        <w:tc>
          <w:tcPr>
            <w:tcW w:w="6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we had $105.1 million of cash and cash equivalents and $0.1 million of restricted cash and cash equivalents, compared to $368.6 million of cash and cash equivalents and $4.1 million of restricted cash and cash equivalents as of December 31, 2017.</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Notable transactions affecting cash and cash equivalents during the reported periods are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4" w:right="239" w:bottom="1440" w:gutter="0" w:footer="0" w:header="0"/>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January 2019, we acquired ValuePenguin for $105.0 million in cash at closing of the transaction, subject to adjustments for working capital. The acquisition was funded through $90.0 million drawn on our Revolving Credit Facility (defined below) and the balance using cash on hand.</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2018</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2018, we purchased an aggregate of 379,449 shares of our common stock pursuant to a stock repurchase program for $92.6 million. Additionally, we paid $1.1 million in the first quarter of 2018 related to common stock repurchases in the fourth quarter of 2017.</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2018, we acquired QuoteWizard for $299.9 million in cash at closing of the transaction, subject to post-closing adjustments to working capital, and potential future contingent consideration payments up to $70.2 million through October 2021, subject to achieving specific targets. The acquisition was funded through $174.9 million of cash on hand and by $125.0 million drawn on our Revolving Credit Facility.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July 2018, we acquired Student Loan Hero for $62.7 million in cash.</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June 2018, we acquired Ovation for $12.1 million in cash at closing and could make potential future contingent consideration payments of up to $8.75 million through June 2020, subject to achieving specified targets.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2017</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May 2017, we issued $300.0 million of our 0.625% Convertible Senior Notes for net proceeds of $290.7 million. We used approximately $18.1 million of the net proceeds to enter into Convertible Note Hedge and Warrant transactions.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2017, we purchased an aggregate of 75,393 shares of our common stock pursuant to a stock repurchase program for $21.0 million, of which we paid $19.9 million prior to year-end.</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2017, we acquired certain assets of SnapCap for $11.9 million in cash at closing and potential future contingent consideration payments of up to $9.0 million through March 31, 2020, subject to achieving specific targets. We made a contingent consideration payment of $3.0 million in January 2019.</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June 2017, we acquired the membership interests of MagnifyMoney for $29.6 million cash consideration at the closing of the transaction.</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2017, we acquired substantially all of the assets of DepositAccounts for $24.0 million in cash at closing and potential future contingent consideration payments of up to $9.0 million through June 30, 2020, subject to achieving specified targets. We made contingent consideration payments of $4.0 million and $1.0 million in 2018 and 2017, respectively. In January 2019, we made a payment of $1.0 million, which will be included within cash flows from operating activities on the consolidated statement of cash flows for the first quarter of 2019.</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2016</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2016, we purchased an aggregate of 690,218 shares of our common stock pursuant to a stock repurchase program for $48.5 million.</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December 2016, we acquired two office buildings in Charlotte, North Carolina for $23.5 million in cash. In November 2018 the office buildings were classified as held for sale.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2. Properties and Item 9B. Other Information for further information.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2016, we acquired CompareCards for $80.7 million in cash at closing and potential future contingent consideration payments of up to $22.5 million for each of 2017 and 2018, subject to achieving specified targets. We made the initial $22.5 million earnout payment in the first quarter of 2018 and paid the remaining $22.5 million earnout in the second quarter of 2018, of which $21.9 million is included within cash flows from operating activities on the consolidated statement of cash flows for 2018.</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26, 2018, we amended our five-year senior secured revolving credit facility which matures on November 21, 2022 (the “Revolving Credit Facility”) to increase its borrowing capacity by $100.0 million to $350.0 million. Borrowings under the Revolving Credit Facility can be used to finance working capital needs, capital expenditures and general corporate purposes,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4" w:right="239" w:bottom="1440" w:gutter="0" w:footer="0" w:header="0"/>
        </w:sectPr>
      </w:pPr>
    </w:p>
    <w:bookmarkStart w:id="43" w:name="page44"/>
    <w:bookmarkEnd w:id="4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to finance permitted acquisitions. As of February 28, 2019, we have $195.0 million of borrowings under the Revolving Credit Facility.</w:t>
      </w:r>
    </w:p>
    <w:p>
      <w:pPr>
        <w:spacing w:after="0" w:line="16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the Revolving Credit Facility,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13—Debt in the notes to the consolidated financial statements included elsewhere in this report.</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flows attributable to continuing operations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123,948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103,538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64,214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(383,038)</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(74,435)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4,843</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253,125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(52,640)</w:t>
            </w:r>
          </w:p>
        </w:tc>
      </w:tr>
      <w:tr>
        <w:trPr>
          <w:trHeight w:val="20"/>
        </w:trPr>
        <w:tc>
          <w:tcPr>
            <w:tcW w:w="7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largest source of cash provided by our operating activities is revenues generated by our mortgage and non-mortgage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attributable to continuing operations increased in 2018 from 2017 primarily due to an increase in revenue, partially offset by an increase in selling and marketing expense, and the $21.9 million portion of the CompareCards earnout payment made in the second quarter of 2018 in excess of the contingent consideration liability recognized at the acquisition date. Additionally, there was a net decrease in cash from changes in working capital primarily driven by changes in accounts payable, accrued expenses and other current liabilities and accounts receivable, partially offset by changes in income taxes receivable and prepaids and other current assets.</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attributable to continuing operations increased in 2017 from 2016 primarily due to an increase in revenue, partially offset by an increase in selling and marketing expense. Additionally, there was a net increase in cash from changes in working capital primarily driven by changes in accounts payable, accrued expenses and other liabilities, partially offset by changes in prepaids and income taxes receivable.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attributable to continuing operations in 2018 of $383.0 million consisted primarily of the acquisition of QuoteWizard for $297.1 million, the acquisition of Student Loan Hero for $59.5 million, the acquisition of Ovation for $11.6 million, and capital expenditures of $14.9 million.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attributable to continuing operations in 2017 of $74.4 million consisted primarily of the acquisition of SnapCap for $11.9 million, the acquisition of DepositAccounts for $25.0 million, the acquisition of MagnifyMoney for $29.5 million and capital expenditures of $8.0 million.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attributable to continuing operations in 2016 of $119.7 million consisted primarily of the acquisition of CompareCards for $81.2 million, the acquisition of SimpleTuition for $4.5 million, the acquisition of two office buildings in Charlotte, North Carolina for $23.4 million and $10.6 million related to internally developed software and the acquisition of an aircraft.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attributable to continuing operations in 2018 of $4.8 million consisted primarily of $125.0 million of net proceeds from our Revolving Credit Facility, partially offset by $27.6 million of contingent consideration payments for CompareCards, DepositAccounts and SimpleTuition, and $93.7 million for the repurchase of our stock.</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attributable to continuing operations in 2017 of $253.1 million consisted primarily of $300.0 million of gross proceeds from the issuance of our 0.625% Convertible Senior Notes and $43.4 million of proceeds from the sale of Warrants in connection with our 0.625% Convertible Senior Notes, partially offset by $61.5 million for the payment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4" w:right="239" w:bottom="1440" w:gutter="0" w:footer="0" w:header="0"/>
        </w:sectPr>
      </w:pPr>
    </w:p>
    <w:bookmarkStart w:id="44" w:name="page45"/>
    <w:bookmarkEnd w:id="4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Convertible Note Hedge transactions, $10.5 million for the payment of debt issuance costs and Revolving Credit Facility issuance costs and $19.9 million for the repurchase of our stock.</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attributable to continuing operations in 2016 of $52.6 million consisted primarily of the repurchase of our stock of $48.5 million and $4.1 million in withholding taxes paid by us upon surrender of shares to satisfy obligations on equity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no off-balance sheet arrangements other than our operating lease obligations and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14—Commitments to the consolidated financial statements included elsewhere in the report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Contractual Obligations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and commercial commitments as of December 31,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5"/>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Payments Due By Period as of December 31, 2018</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Contractual Obligations </w:t>
            </w:r>
            <w:r>
              <w:rPr>
                <w:rFonts w:ascii="Times New Roman" w:cs="Times New Roman" w:eastAsia="Times New Roman" w:hAnsi="Times New Roman"/>
                <w:sz w:val="25"/>
                <w:szCs w:val="25"/>
                <w:b w:val="1"/>
                <w:bCs w:val="1"/>
                <w:color w:val="auto"/>
                <w:vertAlign w:val="superscript"/>
              </w:rPr>
              <w:t>(a)</w:t>
            </w:r>
          </w:p>
        </w:tc>
        <w:tc>
          <w:tcPr>
            <w:tcW w:w="340" w:type="dxa"/>
            <w:vAlign w:val="bottom"/>
          </w:tcPr>
          <w:p>
            <w:pPr>
              <w:spacing w:after="0"/>
              <w:rPr>
                <w:sz w:val="12"/>
                <w:szCs w:val="12"/>
                <w:color w:val="auto"/>
              </w:rPr>
            </w:pPr>
          </w:p>
        </w:tc>
        <w:tc>
          <w:tcPr>
            <w:tcW w:w="10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080" w:type="dxa"/>
            <w:vAlign w:val="bottom"/>
          </w:tcPr>
          <w:p>
            <w:pPr>
              <w:jc w:val="right"/>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12"/>
                <w:szCs w:val="12"/>
                <w:color w:val="auto"/>
              </w:rPr>
            </w:pPr>
          </w:p>
        </w:tc>
        <w:tc>
          <w:tcPr>
            <w:tcW w:w="10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80" w:type="dxa"/>
            <w:vAlign w:val="bottom"/>
          </w:tcPr>
          <w:p>
            <w:pPr>
              <w:spacing w:after="0"/>
              <w:rPr>
                <w:sz w:val="12"/>
                <w:szCs w:val="12"/>
                <w:color w:val="auto"/>
              </w:rPr>
            </w:pPr>
          </w:p>
        </w:tc>
        <w:tc>
          <w:tcPr>
            <w:tcW w:w="10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60" w:type="dxa"/>
            <w:vAlign w:val="bottom"/>
          </w:tcPr>
          <w:p>
            <w:pPr>
              <w:spacing w:after="0"/>
              <w:rPr>
                <w:sz w:val="12"/>
                <w:szCs w:val="12"/>
                <w:color w:val="auto"/>
              </w:rPr>
            </w:pPr>
          </w:p>
        </w:tc>
        <w:tc>
          <w:tcPr>
            <w:tcW w:w="1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200"/>
        </w:trPr>
        <w:tc>
          <w:tcPr>
            <w:tcW w:w="45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5"/>
                <w:szCs w:val="25"/>
                <w:color w:val="auto"/>
                <w:vertAlign w:val="superscript"/>
              </w:rPr>
              <w:t>(b)</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5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Long-term contractual obligations </w:t>
            </w:r>
            <w:r>
              <w:rPr>
                <w:rFonts w:ascii="Times New Roman" w:cs="Times New Roman" w:eastAsia="Times New Roman" w:hAnsi="Times New Roman"/>
                <w:sz w:val="25"/>
                <w:szCs w:val="25"/>
                <w:color w:val="auto"/>
                <w:vertAlign w:val="superscript"/>
              </w:rPr>
              <w:t>(c)</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56,563</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60" w:type="dxa"/>
            <w:vAlign w:val="bottom"/>
          </w:tcPr>
          <w:p>
            <w:pPr>
              <w:spacing w:after="0"/>
              <w:rPr>
                <w:sz w:val="23"/>
                <w:szCs w:val="23"/>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debt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366,215</w:t>
            </w:r>
          </w:p>
        </w:tc>
        <w:tc>
          <w:tcPr>
            <w:tcW w:w="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30,314</w:t>
            </w:r>
          </w:p>
        </w:tc>
        <w:tc>
          <w:tcPr>
            <w:tcW w:w="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31,407</w:t>
            </w:r>
          </w:p>
        </w:tc>
        <w:tc>
          <w:tcPr>
            <w:tcW w:w="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304,494</w:t>
            </w:r>
          </w:p>
        </w:tc>
        <w:tc>
          <w:tcPr>
            <w:tcW w:w="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4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potential obligations under surety bonds and the indemnification obligations, repurchase obligations and premium repayment obligations for which our HLC subsidiary continues to be liable following the sale of substantially all of the operating assets of our LendingTree Loans business in the second quarter of 2012. Excludes a $1.2 million accrual related to uncertain tax position, as we are unable to determine when, or if, payments for these taxes will ultimately be made.</w:t>
      </w:r>
    </w:p>
    <w:p>
      <w:pPr>
        <w:spacing w:after="0" w:line="1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lease obligations are associated with office space.</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liability of $38.8 million for the estimated fair value of contingent consideration obligations reflected on the balance sheet for the acquisition of DepositAccounts, SnapCap, Ovation and QuoteWizard. Actual contingent consideration payments could range from $3.0 million to $4.0 million for DepositAccounts, $3.0 million to $9.0 million for SnapCap, zero to $8.75 million for Ovation and zero to $70.2 million for QuoteWizard. Also includes $17.7 million of certain other commitments.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disclosure is provided to supplement the description of our accounting policies contained in Note 2—Significant Accounting Policies to the consolidated financial statements included elsewhere in this report in regard to significant areas of judgment. This disclosure includes accounting policies related to both continuing operations and discontinued operations.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Loan Loss Obligations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make estimates as to our exposure related to our obligation to repurchase loans previously sold to investors or to repay premiums paid by investors in purchasing loans, and reserve for such contingencies accordingly. Such payments to investors may be required in cases where underwriting deficiencies, borrower fraud and documentation defects occurred.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4" w:right="239" w:bottom="1440" w:gutter="0" w:footer="0" w:header="0"/>
        </w:sectPr>
      </w:pPr>
    </w:p>
    <w:bookmarkStart w:id="45" w:name="page46"/>
    <w:bookmarkEnd w:id="4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HLC subsidiary continues to be liable for certain indemnification obligations, repurchase obligations and premium repayment obligations following the sale of substantially all of the operating assets of our LendingTree Loans business on June 6, 2012. We have been negotiating with certain secondary market purchasers to settle any existing and future contingent liabilities, but we may not be able to complete such negotiations on acceptable terms, or at all. Because we do not service the loans LendingTree Loans sold, we do not maintain nor have access to the current balances and loan performance data with respect to the individual loans previously sold to investors. Accordingly, we are unable to determine, with precision, our maximum exposure for breaches of the representations and warranties LendingTree Loans made to the investors that purchased such loans.</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estimate the liability for loan losses using a settlement discount framework. This approach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We then apply a settlement discount factor to the result of the foregoing to reflect publicly- announced bulk settlements for similar loan types and vintages, our own settlement experience, as well as LendingTree Loans' non-operating status, in order to estimate a range of the potential obligation. Changes to any one of these factors could significantly impact the estimate of the liability and could have a material and adverse impact on our results of operations for any particular period.</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considered both objective and subjective factors in our estimation process, but given current general industry trends in mortgage loans as well as housing prices, market expectations and actual losses related to LendingTree Loans' obligations could vary significantly from the obligation recorded as of December 31, 2018 of $7.6 million or the range of remaining loan losses of $4.3 million to $7.9 million.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19—Discontinued Operations— LendingTree Loans—Loan Loss Obligations to the consolidated financial statements included elsewhere in this report for additional information on the loan loss reserve.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Estimates of deferred income taxes and the significant items giving rise to the deferred assets and liabilities are shown in Note 12—Income Taxes to the consolidated financial statements included elsewhere in this report,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as well as actual operating results that may vary significantly from anticipated results.</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A valuation allowance is provided on deferred tax assets if it is determined that it is </w:t>
      </w:r>
      <w:r>
        <w:rPr>
          <w:rFonts w:ascii="Times New Roman" w:cs="Times New Roman" w:eastAsia="Times New Roman" w:hAnsi="Times New Roman"/>
          <w:sz w:val="18"/>
          <w:szCs w:val="18"/>
          <w:i w:val="1"/>
          <w:iCs w:val="1"/>
          <w:color w:val="auto"/>
        </w:rPr>
        <w:t>"more likely than not"</w:t>
      </w:r>
      <w:r>
        <w:rPr>
          <w:rFonts w:ascii="Times New Roman" w:cs="Times New Roman" w:eastAsia="Times New Roman" w:hAnsi="Times New Roman"/>
          <w:sz w:val="18"/>
          <w:szCs w:val="18"/>
          <w:color w:val="auto"/>
        </w:rPr>
        <w:t xml:space="preserve"> that the deferred tax asset will not be realized. At December 31, 2018, 2017 and 2016, we recorded a partial valuation allowance of $2.2 million, $2.7 million and $2.1 million, respectively, primarily related to state net operating losses, which we do not expect to be able to utilize prior to expiration.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forms of stock-based awards granted to our employees are principally restricted stock units ("RSUs"), RSUs with performance conditions, restricted stock, stock options and stock options with performance conditions. Further, performance-based stock options with market conditions and time-vested restricted stock with a performance condition have been granted to our Chairman and Chief Executive Officer. The value of RSU and restricted stock awards is measured at their grant dates as the fair value of common stock and amortized ratably as non-cash compensation expense over the vesting term. The value of stock options issued is estimated using a Black-Scholes option pricing model. The value of performance-based awards is measured at their grant dates and recognized as non-cash compensation expense, considering the probability of the targets being achieved. Performance-based awards with a market condition are valued using a Monte Carlo simulation model. If an award is modified, we determine if the modification requires a new calculation of fair value or change in the vesting term of the award.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11—Stock-Based Compensation to the consolidated financial statements included elsewhere in this report for additional information on assumptions and inputs to the fair value determination of stock-based awards.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4" w:right="239" w:bottom="1440" w:gutter="0" w:footer="0" w:header="0"/>
        </w:sectPr>
      </w:pPr>
    </w:p>
    <w:bookmarkStart w:id="46" w:name="page47"/>
    <w:bookmarkEnd w:id="4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Goodwill and Indefinite-Lived Intangible Assets Impairment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test goodwill and indefinite-lived intangible assets, consisting of certain trade names and trademarks, annually for impairment as of October 1, or more frequently upon the occurrence of certain events or substantive changes in circumstances. As part of our annual impairment testing of goodwill and indefinite-lived intangible assets, in each instance, we may elect to assess qualitative factors as a basis for determining whether it is necessary to perform the traditional quantitative impairment testing. If our assessment of these qualitative factors indicates that it is not more likely than not that the fair value of the reporting unit or indefinite-lived intangible asset is less than its carrying value, then no further testing is required. Otherwise, the goodwill reporting unit or long-lived intangible assets, as applicable, must be quantitatively tested for impairment.</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quantitative test for goodwill impairment is determined using a two-step process. Performing the first step to compare reporting unit fair value with its carrying value using a discounted cash flow ("DCF") analysis requires the exercise of significant judgments, including judgments about appropriate discount rates, perpetual growth rates and the amount and timing of expected future cash flows.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 goodwill (determined in the same manner as the amount of goodwill recognized in a business combination) with the carrying amount of that goodwill. If the carrying amount of the reporting unit's goodwill exceeds the implied fair value of that goodwill, an impairment loss is recognized in an amount equal to that excess.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quantitative impairment test for indefinite-lived intangible assets involves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 If the carrying value of the indefinite-lived intangible asset exceeds its estimated fair value, an impairment loss is recognized in an amount equal to that excess.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value of goodwill and indefinite-lived intangible assets subject to assessment for impairment at December 31, 2018 is $348.3 million and $10.1 million,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Recoverability of Long-Lived Assets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review the carrying value of all long-lived assets, primarily property and equipment, and definite-lived intangible assets for impairment whenever events or changes in circumstances indicate that the carrying value of an asset may be impaired. Impairment is considered to have occurred whenever the carrying value of a long-lived asset cannot be recovered from cash flows that are expected to result from the use and eventual disposition of the asset. This recoverability test requires us to make assumptions and judgments related to factors used in a calculation of undiscounted cash flows, including, but not limited to, management’s expectations for future operations and projected cash flows. The key assumptions used in this calculation include Adjusted EBITDA, the remaining useful lives of the primary cash flow generating asset in the asset group and, to a lesser extent, the deduction of capital expenditures and taxes paid in cash to arrive at net cash flows.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value of long-lived assets subject to assessment for impairment is $218.7 million at December 31, 2018.</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using Level 3 unobservable inputs. Our estimates of fair value are based upon assumptions believed to be reasonable but which are uncertain and involve significant judgments by management.</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reassess the fair value of contingent consideration quarterly until the contingency is resolved, and changes in the fair value are recorded in operating income in the consolidated statements of operations and comprehensive income.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2—Significant Accounting Policies to the consolidated financial statements included elsewhere in this report for a description of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pronouncements.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than our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4" w:right="239" w:bottom="1440" w:gutter="0" w:footer="0" w:header="0"/>
        </w:sectPr>
      </w:pPr>
    </w:p>
    <w:bookmarkStart w:id="47" w:name="page48"/>
    <w:bookmarkEnd w:id="4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under the Revolving Credit Facility, if any. As of February 28, 2019, there was $195.0 million borrowed under the Revolving Credit Facility. Increases in the Federal Funds interest rates may also affect contingent consideration payable to DepositAccounts.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8 - Business Acquisition - 2017 Acquisitions - DepositAccounts.</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4" w:right="239" w:bottom="1440" w:gutter="0" w:footer="0" w:header="0"/>
        </w:sectPr>
      </w:pPr>
    </w:p>
    <w:bookmarkStart w:id="48" w:name="page49"/>
    <w:bookmarkEnd w:id="4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6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6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30"/>
        </w:trPr>
        <w:tc>
          <w:tcPr>
            <w:tcW w:w="5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LENDINGTREE, INC. AND SUBSIDIARIES:</w:t>
            </w:r>
          </w:p>
        </w:tc>
        <w:tc>
          <w:tcPr>
            <w:tcW w:w="43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4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Report of Independent Registered Public Accounting Firm</w:t>
            </w:r>
          </w:p>
        </w:tc>
        <w:tc>
          <w:tcPr>
            <w:tcW w:w="5900" w:type="dxa"/>
            <w:vAlign w:val="bottom"/>
            <w:gridSpan w:val="2"/>
          </w:tcPr>
          <w:p>
            <w:pPr>
              <w:jc w:val="right"/>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50</w:t>
              </w:r>
            </w:hyperlink>
          </w:p>
        </w:tc>
      </w:tr>
      <w:tr>
        <w:trPr>
          <w:trHeight w:val="574"/>
        </w:trPr>
        <w:tc>
          <w:tcPr>
            <w:tcW w:w="43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140" w:type="dxa"/>
            <w:vAlign w:val="bottom"/>
            <w:gridSpan w:val="2"/>
          </w:tcPr>
          <w:p>
            <w:pPr>
              <w:spacing w:after="0"/>
              <w:rPr>
                <w:sz w:val="24"/>
                <w:szCs w:val="24"/>
                <w:color w:val="auto"/>
              </w:rPr>
            </w:pPr>
          </w:p>
        </w:tc>
        <w:tc>
          <w:tcPr>
            <w:tcW w:w="4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5020" w:type="dxa"/>
            <w:vAlign w:val="bottom"/>
            <w:tcBorders>
              <w:bottom w:val="single" w:sz="8" w:color="0000FF"/>
            </w:tcBorders>
            <w:gridSpan w:val="6"/>
          </w:tcPr>
          <w:p>
            <w:pPr>
              <w:spacing w:after="0"/>
              <w:rPr>
                <w:rFonts w:ascii="Times New Roman" w:cs="Times New Roman" w:eastAsia="Times New Roman" w:hAnsi="Times New Roman"/>
                <w:sz w:val="18"/>
                <w:szCs w:val="18"/>
                <w:b w:val="1"/>
                <w:bCs w:val="1"/>
                <w:i w:val="1"/>
                <w:iCs w:val="1"/>
                <w:color w:val="0000FF"/>
                <w:w w:val="99"/>
              </w:rPr>
            </w:pPr>
            <w:hyperlink w:anchor="page52">
              <w:r>
                <w:rPr>
                  <w:rFonts w:ascii="Times New Roman" w:cs="Times New Roman" w:eastAsia="Times New Roman" w:hAnsi="Times New Roman"/>
                  <w:sz w:val="18"/>
                  <w:szCs w:val="18"/>
                  <w:b w:val="1"/>
                  <w:bCs w:val="1"/>
                  <w:i w:val="1"/>
                  <w:iCs w:val="1"/>
                  <w:color w:val="0000FF"/>
                  <w:w w:val="99"/>
                </w:rPr>
                <w:t xml:space="preserve">Consolidated Statements of Operations </w:t>
              </w:r>
            </w:hyperlink>
            <w:r>
              <w:rPr>
                <w:rFonts w:ascii="Times New Roman" w:cs="Times New Roman" w:eastAsia="Times New Roman" w:hAnsi="Times New Roman"/>
                <w:sz w:val="18"/>
                <w:szCs w:val="18"/>
                <w:b w:val="1"/>
                <w:bCs w:val="1"/>
                <w:i w:val="1"/>
                <w:iCs w:val="1"/>
                <w:color w:val="0000FF"/>
                <w:w w:val="99"/>
              </w:rPr>
              <w:t>and Comprehensive Income</w:t>
            </w:r>
          </w:p>
        </w:tc>
        <w:tc>
          <w:tcPr>
            <w:tcW w:w="120" w:type="dxa"/>
            <w:vAlign w:val="bottom"/>
          </w:tcPr>
          <w:p>
            <w:pPr>
              <w:spacing w:after="0"/>
              <w:rPr>
                <w:sz w:val="19"/>
                <w:szCs w:val="19"/>
                <w:color w:val="auto"/>
              </w:rPr>
            </w:pPr>
          </w:p>
        </w:tc>
        <w:tc>
          <w:tcPr>
            <w:tcW w:w="5900" w:type="dxa"/>
            <w:vAlign w:val="bottom"/>
            <w:gridSpan w:val="2"/>
          </w:tcPr>
          <w:p>
            <w:pPr>
              <w:jc w:val="right"/>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52</w:t>
              </w:r>
            </w:hyperlink>
          </w:p>
        </w:tc>
      </w:tr>
      <w:tr>
        <w:trPr>
          <w:trHeight w:val="250"/>
        </w:trPr>
        <w:tc>
          <w:tcPr>
            <w:tcW w:w="340" w:type="dxa"/>
            <w:vAlign w:val="bottom"/>
          </w:tcPr>
          <w:p>
            <w:pPr>
              <w:spacing w:after="0"/>
              <w:rPr>
                <w:sz w:val="21"/>
                <w:szCs w:val="21"/>
                <w:color w:val="auto"/>
              </w:rPr>
            </w:pPr>
          </w:p>
        </w:tc>
        <w:tc>
          <w:tcPr>
            <w:tcW w:w="2160" w:type="dxa"/>
            <w:vAlign w:val="bottom"/>
            <w:tcBorders>
              <w:bottom w:val="single" w:sz="8" w:color="0000EE"/>
            </w:tcBorders>
          </w:tcPr>
          <w:p>
            <w:pPr>
              <w:spacing w:after="0"/>
              <w:rPr>
                <w:rFonts w:ascii="Times New Roman" w:cs="Times New Roman" w:eastAsia="Times New Roman" w:hAnsi="Times New Roman"/>
                <w:sz w:val="18"/>
                <w:szCs w:val="18"/>
                <w:b w:val="1"/>
                <w:bCs w:val="1"/>
                <w:i w:val="1"/>
                <w:iCs w:val="1"/>
                <w:color w:val="0000EE"/>
                <w:w w:val="99"/>
              </w:rPr>
            </w:pPr>
            <w:hyperlink w:anchor="page53">
              <w:r>
                <w:rPr>
                  <w:rFonts w:ascii="Times New Roman" w:cs="Times New Roman" w:eastAsia="Times New Roman" w:hAnsi="Times New Roman"/>
                  <w:sz w:val="18"/>
                  <w:szCs w:val="18"/>
                  <w:b w:val="1"/>
                  <w:bCs w:val="1"/>
                  <w:i w:val="1"/>
                  <w:iCs w:val="1"/>
                  <w:color w:val="0000EE"/>
                  <w:w w:val="99"/>
                </w:rPr>
                <w:t>Consolidated Balance Sheets</w:t>
              </w:r>
            </w:hyperlink>
          </w:p>
        </w:tc>
        <w:tc>
          <w:tcPr>
            <w:tcW w:w="2980" w:type="dxa"/>
            <w:vAlign w:val="bottom"/>
            <w:gridSpan w:val="6"/>
          </w:tcPr>
          <w:p>
            <w:pPr>
              <w:spacing w:after="0"/>
              <w:rPr>
                <w:sz w:val="21"/>
                <w:szCs w:val="21"/>
                <w:color w:val="auto"/>
              </w:rPr>
            </w:pPr>
          </w:p>
        </w:tc>
        <w:tc>
          <w:tcPr>
            <w:tcW w:w="5900" w:type="dxa"/>
            <w:vAlign w:val="bottom"/>
            <w:gridSpan w:val="2"/>
          </w:tcPr>
          <w:p>
            <w:pPr>
              <w:jc w:val="right"/>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53</w:t>
              </w:r>
            </w:hyperlink>
          </w:p>
        </w:tc>
      </w:tr>
      <w:tr>
        <w:trPr>
          <w:trHeight w:val="250"/>
        </w:trPr>
        <w:tc>
          <w:tcPr>
            <w:tcW w:w="340" w:type="dxa"/>
            <w:vAlign w:val="bottom"/>
          </w:tcPr>
          <w:p>
            <w:pPr>
              <w:spacing w:after="0"/>
              <w:rPr>
                <w:sz w:val="21"/>
                <w:szCs w:val="21"/>
                <w:color w:val="auto"/>
              </w:rPr>
            </w:pPr>
          </w:p>
        </w:tc>
        <w:tc>
          <w:tcPr>
            <w:tcW w:w="5140" w:type="dxa"/>
            <w:vAlign w:val="bottom"/>
            <w:gridSpan w:val="7"/>
          </w:tcPr>
          <w:p>
            <w:pPr>
              <w:spacing w:after="0"/>
              <w:rPr>
                <w:rFonts w:ascii="Times New Roman" w:cs="Times New Roman" w:eastAsia="Times New Roman" w:hAnsi="Times New Roman"/>
                <w:sz w:val="18"/>
                <w:szCs w:val="18"/>
                <w:b w:val="1"/>
                <w:bCs w:val="1"/>
                <w:i w:val="1"/>
                <w:iCs w:val="1"/>
                <w:color w:val="0000EE"/>
              </w:rPr>
            </w:pPr>
            <w:hyperlink w:anchor="page54">
              <w:r>
                <w:rPr>
                  <w:rFonts w:ascii="Times New Roman" w:cs="Times New Roman" w:eastAsia="Times New Roman" w:hAnsi="Times New Roman"/>
                  <w:sz w:val="18"/>
                  <w:szCs w:val="18"/>
                  <w:b w:val="1"/>
                  <w:bCs w:val="1"/>
                  <w:i w:val="1"/>
                  <w:iCs w:val="1"/>
                  <w:color w:val="0000EE"/>
                </w:rPr>
                <w:t>Consolidated Statements of Shareholders' Equity</w:t>
              </w:r>
            </w:hyperlink>
          </w:p>
        </w:tc>
        <w:tc>
          <w:tcPr>
            <w:tcW w:w="5900" w:type="dxa"/>
            <w:vAlign w:val="bottom"/>
            <w:gridSpan w:val="2"/>
          </w:tcPr>
          <w:p>
            <w:pPr>
              <w:jc w:val="right"/>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54</w:t>
              </w:r>
            </w:hyperlink>
          </w:p>
        </w:tc>
      </w:tr>
      <w:tr>
        <w:trPr>
          <w:trHeight w:val="250"/>
        </w:trPr>
        <w:tc>
          <w:tcPr>
            <w:tcW w:w="340" w:type="dxa"/>
            <w:vAlign w:val="bottom"/>
          </w:tcPr>
          <w:p>
            <w:pPr>
              <w:spacing w:after="0"/>
              <w:rPr>
                <w:sz w:val="21"/>
                <w:szCs w:val="21"/>
                <w:color w:val="auto"/>
              </w:rPr>
            </w:pPr>
          </w:p>
        </w:tc>
        <w:tc>
          <w:tcPr>
            <w:tcW w:w="3640" w:type="dxa"/>
            <w:vAlign w:val="bottom"/>
            <w:tcBorders>
              <w:top w:val="single" w:sz="8" w:color="0000EE"/>
            </w:tcBorders>
            <w:gridSpan w:val="4"/>
          </w:tcPr>
          <w:p>
            <w:pPr>
              <w:spacing w:after="0"/>
              <w:rPr>
                <w:rFonts w:ascii="Times New Roman" w:cs="Times New Roman" w:eastAsia="Times New Roman" w:hAnsi="Times New Roman"/>
                <w:sz w:val="18"/>
                <w:szCs w:val="18"/>
                <w:b w:val="1"/>
                <w:bCs w:val="1"/>
                <w:i w:val="1"/>
                <w:iCs w:val="1"/>
                <w:color w:val="0000EE"/>
              </w:rPr>
            </w:pPr>
            <w:hyperlink w:anchor="page55">
              <w:r>
                <w:rPr>
                  <w:rFonts w:ascii="Times New Roman" w:cs="Times New Roman" w:eastAsia="Times New Roman" w:hAnsi="Times New Roman"/>
                  <w:sz w:val="18"/>
                  <w:szCs w:val="18"/>
                  <w:b w:val="1"/>
                  <w:bCs w:val="1"/>
                  <w:i w:val="1"/>
                  <w:iCs w:val="1"/>
                  <w:color w:val="0000EE"/>
                </w:rPr>
                <w:t>Consolidated Statements of Cash Flows</w:t>
              </w:r>
            </w:hyperlink>
          </w:p>
        </w:tc>
        <w:tc>
          <w:tcPr>
            <w:tcW w:w="1500" w:type="dxa"/>
            <w:vAlign w:val="bottom"/>
            <w:gridSpan w:val="3"/>
          </w:tcPr>
          <w:p>
            <w:pPr>
              <w:spacing w:after="0"/>
              <w:rPr>
                <w:sz w:val="21"/>
                <w:szCs w:val="21"/>
                <w:color w:val="auto"/>
              </w:rPr>
            </w:pPr>
          </w:p>
        </w:tc>
        <w:tc>
          <w:tcPr>
            <w:tcW w:w="5900" w:type="dxa"/>
            <w:vAlign w:val="bottom"/>
            <w:gridSpan w:val="2"/>
          </w:tcPr>
          <w:p>
            <w:pPr>
              <w:jc w:val="right"/>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55</w:t>
              </w:r>
            </w:hyperlink>
          </w:p>
        </w:tc>
      </w:tr>
      <w:tr>
        <w:trPr>
          <w:trHeight w:val="20"/>
        </w:trPr>
        <w:tc>
          <w:tcPr>
            <w:tcW w:w="34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140" w:type="dxa"/>
            <w:vAlign w:val="bottom"/>
            <w:gridSpan w:val="7"/>
          </w:tcPr>
          <w:p>
            <w:pPr>
              <w:spacing w:after="0"/>
              <w:rPr>
                <w:rFonts w:ascii="Times New Roman" w:cs="Times New Roman" w:eastAsia="Times New Roman" w:hAnsi="Times New Roman"/>
                <w:sz w:val="18"/>
                <w:szCs w:val="18"/>
                <w:b w:val="1"/>
                <w:bCs w:val="1"/>
                <w:i w:val="1"/>
                <w:iCs w:val="1"/>
                <w:color w:val="0000EE"/>
              </w:rPr>
            </w:pPr>
            <w:hyperlink w:anchor="page56">
              <w:r>
                <w:rPr>
                  <w:rFonts w:ascii="Times New Roman" w:cs="Times New Roman" w:eastAsia="Times New Roman" w:hAnsi="Times New Roman"/>
                  <w:sz w:val="18"/>
                  <w:szCs w:val="18"/>
                  <w:b w:val="1"/>
                  <w:bCs w:val="1"/>
                  <w:i w:val="1"/>
                  <w:iCs w:val="1"/>
                  <w:color w:val="0000EE"/>
                </w:rPr>
                <w:t>Notes to Consolidated Financial Statements</w:t>
              </w:r>
            </w:hyperlink>
          </w:p>
        </w:tc>
        <w:tc>
          <w:tcPr>
            <w:tcW w:w="5900" w:type="dxa"/>
            <w:vAlign w:val="bottom"/>
            <w:gridSpan w:val="2"/>
          </w:tcPr>
          <w:p>
            <w:pPr>
              <w:jc w:val="right"/>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56</w:t>
              </w:r>
            </w:hyperlink>
          </w:p>
        </w:tc>
      </w:tr>
      <w:tr>
        <w:trPr>
          <w:trHeight w:val="723"/>
        </w:trPr>
        <w:tc>
          <w:tcPr>
            <w:tcW w:w="340" w:type="dxa"/>
            <w:vAlign w:val="bottom"/>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tcPr>
          <w:p>
            <w:pPr>
              <w:jc w:val="right"/>
              <w:ind w:right="3930"/>
              <w:spacing w:after="0"/>
              <w:rPr>
                <w:sz w:val="20"/>
                <w:szCs w:val="20"/>
                <w:color w:val="auto"/>
              </w:rPr>
            </w:pPr>
            <w:r>
              <w:rPr>
                <w:rFonts w:ascii="Times New Roman" w:cs="Times New Roman" w:eastAsia="Times New Roman" w:hAnsi="Times New Roman"/>
                <w:sz w:val="18"/>
                <w:szCs w:val="18"/>
                <w:color w:val="auto"/>
              </w:rPr>
              <w:t>49</w:t>
            </w: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49" w:name="page50"/>
    <w:bookmarkEnd w:id="4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LendingTree,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LendingTree, Inc. and its subsidiaries (the "Company") as of December 31, 2018 and 2017, and the related consolidated statements of operations and comprehensive income, of shareholders’ equity and of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has excluded certain elements of the internal control over financial reporting of QuoteWizard.com, LLC from its assessment of internal control over financial reporting as of December 31, 2018 because it was acquired by the Company in a purchase business combination during 2018. Subsequent to the acquisition, certain elements of QuoteWizard.com, LLC’s internal control over financial reporting and related processes were integrated into the Company’s existing systems and internal control over financial reporting. Those controls that were not integrated have been excluded from management’s assessment of the effectiveness of internal control over financial reporting as of December 31, 2018. We have also excluded these elements of the internal control over financial reporting of QuoteWizard.com, LLC from our audit of the Company’s internal control over financial reporting. The excluded elements represent controls over approximately 3% of consolidated assets and 4% of the consolidated revenues.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4" w:right="239" w:bottom="1440" w:gutter="0" w:footer="0" w:header="0"/>
        </w:sectPr>
      </w:pPr>
    </w:p>
    <w:bookmarkStart w:id="50" w:name="page51"/>
    <w:bookmarkEnd w:id="5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4" w:right="239" w:bottom="1440" w:gutter="0" w:footer="0" w:header="0"/>
        </w:sectPr>
      </w:pPr>
    </w:p>
    <w:bookmarkStart w:id="51" w:name="page52"/>
    <w:bookmarkEnd w:id="5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4"/>
          </w:tcPr>
          <w:p>
            <w:pPr>
              <w:jc w:val="center"/>
              <w:ind w:left="491"/>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32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5"/>
          </w:tcPr>
          <w:p>
            <w:pPr>
              <w:spacing w:after="0"/>
              <w:rPr>
                <w:sz w:val="2"/>
                <w:szCs w:val="2"/>
                <w:color w:val="auto"/>
              </w:rPr>
            </w:pPr>
          </w:p>
        </w:tc>
      </w:tr>
      <w:tr>
        <w:trPr>
          <w:trHeight w:val="189"/>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5"/>
          </w:tcPr>
          <w:p>
            <w:pPr>
              <w:jc w:val="center"/>
              <w:ind w:right="150"/>
              <w:spacing w:after="0"/>
              <w:rPr>
                <w:sz w:val="20"/>
                <w:szCs w:val="20"/>
                <w:color w:val="auto"/>
              </w:rPr>
            </w:pPr>
            <w:r>
              <w:rPr>
                <w:rFonts w:ascii="Times New Roman" w:cs="Times New Roman" w:eastAsia="Times New Roman" w:hAnsi="Times New Roman"/>
                <w:sz w:val="14"/>
                <w:szCs w:val="14"/>
                <w:b w:val="1"/>
                <w:bCs w:val="1"/>
                <w:i w:val="1"/>
                <w:iCs w:val="1"/>
                <w:color w:val="auto"/>
                <w:w w:val="96"/>
              </w:rPr>
              <w:t>(in thousands, except per share amounts)</w:t>
            </w: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764,865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617,736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384,402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 separately below)</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36,399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17,223</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13,764</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500,291</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432,784</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261,100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101,219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71,541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37,227</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26,958</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17,925</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13,761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7,385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7,085</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4,944</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23,468</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12,992</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10,788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23,931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2,352</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404</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718</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237"/>
        </w:trPr>
        <w:tc>
          <w:tcPr>
            <w:tcW w:w="7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708,674</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584,603</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332,290</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56,191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33,133</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52,112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(12,437)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(7,028)</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43,744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25,709</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51,574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65,575</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(6,291)</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(20,366)</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109,319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19,418</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31,208</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 from discontinued operations, net of tax</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(12,820)</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(3,840)</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(3,714)</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6"/>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and 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96,499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15,578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27,494</w:t>
            </w:r>
          </w:p>
        </w:tc>
      </w:tr>
      <w:tr>
        <w:trPr>
          <w:trHeight w:val="270"/>
        </w:trPr>
        <w:tc>
          <w:tcPr>
            <w:tcW w:w="77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12,504</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11,945</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14,097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13,682</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12,773</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per share from continuing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8.74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7.75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per share from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43"/>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7.72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6.85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7780" w:type="dxa"/>
            <w:vAlign w:val="bottom"/>
            <w:tcBorders>
              <w:bottom w:val="single" w:sz="8" w:color="999999"/>
            </w:tcBorders>
          </w:tcPr>
          <w:p>
            <w:pPr>
              <w:spacing w:after="0"/>
              <w:rPr>
                <w:sz w:val="2"/>
                <w:szCs w:val="2"/>
                <w:color w:val="auto"/>
              </w:rPr>
            </w:pPr>
          </w:p>
        </w:tc>
        <w:tc>
          <w:tcPr>
            <w:tcW w:w="260" w:type="dxa"/>
            <w:vAlign w:val="bottom"/>
            <w:tcBorders>
              <w:bottom w:val="single" w:sz="8" w:color="999999"/>
            </w:tcBorders>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920" w:type="dxa"/>
            <w:vAlign w:val="bottom"/>
            <w:tcBorders>
              <w:bottom w:val="single" w:sz="8" w:color="999999"/>
            </w:tcBorders>
          </w:tcPr>
          <w:p>
            <w:pPr>
              <w:spacing w:after="0"/>
              <w:rPr>
                <w:sz w:val="2"/>
                <w:szCs w:val="2"/>
                <w:color w:val="auto"/>
              </w:rPr>
            </w:pPr>
          </w:p>
        </w:tc>
        <w:tc>
          <w:tcPr>
            <w:tcW w:w="380" w:type="dxa"/>
            <w:vAlign w:val="bottom"/>
            <w:tcBorders>
              <w:bottom w:val="single" w:sz="8" w:color="999999"/>
            </w:tcBorders>
          </w:tcPr>
          <w:p>
            <w:pPr>
              <w:spacing w:after="0"/>
              <w:rPr>
                <w:sz w:val="2"/>
                <w:szCs w:val="2"/>
                <w:color w:val="auto"/>
              </w:rPr>
            </w:pPr>
          </w:p>
        </w:tc>
        <w:tc>
          <w:tcPr>
            <w:tcW w:w="820" w:type="dxa"/>
            <w:vAlign w:val="bottom"/>
            <w:tcBorders>
              <w:bottom w:val="single" w:sz="8" w:color="999999"/>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4" w:right="239" w:bottom="1440" w:gutter="0" w:footer="0" w:header="0"/>
        </w:sectPr>
      </w:pPr>
    </w:p>
    <w:bookmarkStart w:id="52" w:name="page53"/>
    <w:bookmarkEnd w:id="5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3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147"/>
        </w:trPr>
        <w:tc>
          <w:tcPr>
            <w:tcW w:w="8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gridSpan w:val="3"/>
          </w:tcPr>
          <w:p>
            <w:pPr>
              <w:jc w:val="right"/>
              <w:ind w:right="33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par value</w:t>
            </w:r>
          </w:p>
        </w:tc>
      </w:tr>
      <w:tr>
        <w:trPr>
          <w:trHeight w:val="197"/>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3"/>
          </w:tcPr>
          <w:p>
            <w:pPr>
              <w:jc w:val="right"/>
              <w:ind w:right="670"/>
              <w:spacing w:after="0"/>
              <w:rPr>
                <w:sz w:val="20"/>
                <w:szCs w:val="20"/>
                <w:color w:val="auto"/>
              </w:rPr>
            </w:pPr>
            <w:r>
              <w:rPr>
                <w:rFonts w:ascii="Times New Roman" w:cs="Times New Roman" w:eastAsia="Times New Roman" w:hAnsi="Times New Roman"/>
                <w:sz w:val="14"/>
                <w:szCs w:val="14"/>
                <w:b w:val="1"/>
                <w:bCs w:val="1"/>
                <w:i w:val="1"/>
                <w:iCs w:val="1"/>
                <w:color w:val="auto"/>
              </w:rPr>
              <w:t>and share amounts)</w:t>
            </w:r>
          </w:p>
        </w:tc>
      </w:tr>
      <w:tr>
        <w:trPr>
          <w:trHeight w:val="255"/>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105,102</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368,550</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4,091</w:t>
            </w:r>
          </w:p>
        </w:tc>
      </w:tr>
      <w:tr>
        <w:trPr>
          <w:trHeight w:val="243"/>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$1,143 and $675, respectively)</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91,072</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53,444</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16,428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11,881</w:t>
            </w:r>
          </w:p>
        </w:tc>
      </w:tr>
      <w:tr>
        <w:trPr>
          <w:trHeight w:val="243"/>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21,328</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37"/>
        </w:trPr>
        <w:tc>
          <w:tcPr>
            <w:tcW w:w="8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234,171</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438,041</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$13,887 and $13,043,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23,175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36,431</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348,347</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113,368</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205,699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81,125</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79,289</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20,156</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2,168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1,910</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3,266</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2,428</w:t>
            </w:r>
          </w:p>
        </w:tc>
      </w:tr>
      <w:tr>
        <w:trPr>
          <w:trHeight w:val="27"/>
        </w:trPr>
        <w:tc>
          <w:tcPr>
            <w:tcW w:w="8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6"/>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896,115</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693,459</w:t>
            </w:r>
          </w:p>
        </w:tc>
      </w:tr>
      <w:tr>
        <w:trPr>
          <w:trHeight w:val="270"/>
        </w:trPr>
        <w:tc>
          <w:tcPr>
            <w:tcW w:w="87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15,074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9,250</w:t>
            </w:r>
          </w:p>
        </w:tc>
      </w:tr>
      <w:tr>
        <w:trPr>
          <w:trHeight w:val="243"/>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93,190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77,183</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11,080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46,576</w:t>
            </w:r>
          </w:p>
        </w:tc>
      </w:tr>
      <w:tr>
        <w:trPr>
          <w:trHeight w:val="243"/>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 of discontinued operations (Note 19)</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17,609</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14,507</w:t>
            </w:r>
          </w:p>
        </w:tc>
      </w:tr>
      <w:tr>
        <w:trPr>
          <w:trHeight w:val="27"/>
        </w:trPr>
        <w:tc>
          <w:tcPr>
            <w:tcW w:w="8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261,953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147,516</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250,943</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238,199</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27,757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11,273</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8,360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1,597</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894</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549,907</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398,585</w:t>
            </w:r>
          </w:p>
        </w:tc>
      </w:tr>
      <w:tr>
        <w:trPr>
          <w:trHeight w:val="27"/>
        </w:trPr>
        <w:tc>
          <w:tcPr>
            <w:tcW w:w="8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(Notes 14 and 15)</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$.01 par value; 50,000,000 shares authorized; 15,428,351 and 14,218,572 shares issued, respectively,</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12,809,764 and 11,979,434 shares outstanding, respectively</w:t>
            </w:r>
          </w:p>
        </w:tc>
        <w:tc>
          <w:tcPr>
            <w:tcW w:w="280" w:type="dxa"/>
            <w:vAlign w:val="bottom"/>
          </w:tcPr>
          <w:p>
            <w:pPr>
              <w:spacing w:after="0"/>
              <w:rPr>
                <w:sz w:val="20"/>
                <w:szCs w:val="20"/>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1,134,227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1,087,582</w:t>
            </w:r>
          </w:p>
        </w:tc>
      </w:tr>
      <w:tr>
        <w:trPr>
          <w:trHeight w:val="243"/>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(610,482)</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(708,354)</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2,618,587 and 2,239,138 shares,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(177,691)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(85,085)</w:t>
            </w:r>
          </w:p>
        </w:tc>
      </w:tr>
      <w:tr>
        <w:trPr>
          <w:trHeight w:val="243"/>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 (Note 8)</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r>
      <w:tr>
        <w:trPr>
          <w:trHeight w:val="27"/>
        </w:trPr>
        <w:tc>
          <w:tcPr>
            <w:tcW w:w="8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346,208</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294,874</w:t>
            </w:r>
          </w:p>
        </w:tc>
      </w:tr>
      <w:tr>
        <w:trPr>
          <w:trHeight w:val="237"/>
        </w:trPr>
        <w:tc>
          <w:tcPr>
            <w:tcW w:w="8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896,115</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693,459</w:t>
            </w:r>
          </w:p>
        </w:tc>
      </w:tr>
      <w:tr>
        <w:trPr>
          <w:trHeight w:val="34"/>
        </w:trPr>
        <w:tc>
          <w:tcPr>
            <w:tcW w:w="8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ectPr>
          <w:pgSz w:w="11900" w:h="16838" w:orient="portrait"/>
          <w:cols w:equalWidth="0" w:num="1">
            <w:col w:w="11420"/>
          </w:cols>
          <w:pgMar w:left="240" w:top="114"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4" w:right="239" w:bottom="1440" w:gutter="0" w:footer="0" w:header="0"/>
          <w:type w:val="continuous"/>
        </w:sectPr>
      </w:pPr>
    </w:p>
    <w:bookmarkStart w:id="53" w:name="page54"/>
    <w:bookmarkEnd w:id="5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1"/>
                <w:szCs w:val="11"/>
                <w:color w:val="auto"/>
              </w:rPr>
            </w:pPr>
          </w:p>
        </w:tc>
        <w:tc>
          <w:tcPr>
            <w:tcW w:w="11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92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 31, 2015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241,142</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13,866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1,006,688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(750,124)</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(15,561)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5"/>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and comprehensive income</w:t>
            </w:r>
          </w:p>
        </w:tc>
        <w:tc>
          <w:tcPr>
            <w:tcW w:w="160" w:type="dxa"/>
            <w:vAlign w:val="bottom"/>
          </w:tcPr>
          <w:p>
            <w:pPr>
              <w:spacing w:after="0"/>
              <w:rPr>
                <w:sz w:val="23"/>
                <w:szCs w:val="23"/>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27,494</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27,494</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compensation</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9,647</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9,647</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60" w:type="dxa"/>
            <w:vAlign w:val="bottom"/>
          </w:tcPr>
          <w:p>
            <w:pPr>
              <w:spacing w:after="0"/>
              <w:rPr>
                <w:sz w:val="23"/>
                <w:szCs w:val="23"/>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(48,524)</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690</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(48,524)</w:t>
            </w:r>
          </w:p>
        </w:tc>
        <w:tc>
          <w:tcPr>
            <w:tcW w:w="2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1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Issuance of common stock for stock options,</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stock awards and restricted stock units,</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(4,084)</w:t>
            </w: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(4,085)</w:t>
            </w: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withholding taxes</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Tax benefit from stock-based award activity</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5,760</w:t>
            </w: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5,760</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9"/>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 31, 2016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231,435</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13,955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1,018,010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(722,630)</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(64,085)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5"/>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and comprehensive income</w:t>
            </w:r>
          </w:p>
        </w:tc>
        <w:tc>
          <w:tcPr>
            <w:tcW w:w="160" w:type="dxa"/>
            <w:vAlign w:val="bottom"/>
          </w:tcPr>
          <w:p>
            <w:pPr>
              <w:spacing w:after="0"/>
              <w:rPr>
                <w:sz w:val="23"/>
                <w:szCs w:val="23"/>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15,578</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15,578</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compensation</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23,361</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23,361</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60" w:type="dxa"/>
            <w:vAlign w:val="bottom"/>
          </w:tcPr>
          <w:p>
            <w:pPr>
              <w:spacing w:after="0"/>
              <w:rPr>
                <w:sz w:val="23"/>
                <w:szCs w:val="23"/>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(21,000)</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2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1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Issuance of common stock for stock options,</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stock awards and restricted stock units,</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1,601</w:t>
            </w: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263</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1,599</w:t>
            </w: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withholding taxes</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1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Cumulative effect adjustment due to ASU 2016-</w:t>
            </w:r>
          </w:p>
        </w:tc>
        <w:tc>
          <w:tcPr>
            <w:tcW w:w="160" w:type="dxa"/>
            <w:vAlign w:val="bottom"/>
          </w:tcPr>
          <w:p>
            <w:pPr>
              <w:spacing w:after="0"/>
              <w:rPr>
                <w:sz w:val="13"/>
                <w:szCs w:val="13"/>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985</w:t>
            </w: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2,287</w:t>
            </w:r>
          </w:p>
        </w:tc>
        <w:tc>
          <w:tcPr>
            <w:tcW w:w="200" w:type="dxa"/>
            <w:vAlign w:val="bottom"/>
          </w:tcPr>
          <w:p>
            <w:pPr>
              <w:spacing w:after="0"/>
              <w:rPr>
                <w:sz w:val="13"/>
                <w:szCs w:val="13"/>
                <w:color w:val="auto"/>
              </w:rPr>
            </w:pPr>
          </w:p>
        </w:tc>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(1,302)</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09</w:t>
            </w: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0.625% Convertible Senior Notes, net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60,415</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60,415</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Convertible note hedge</w:t>
            </w:r>
          </w:p>
        </w:tc>
        <w:tc>
          <w:tcPr>
            <w:tcW w:w="160" w:type="dxa"/>
            <w:vAlign w:val="bottom"/>
          </w:tcPr>
          <w:p>
            <w:pPr>
              <w:spacing w:after="0"/>
              <w:rPr>
                <w:sz w:val="23"/>
                <w:szCs w:val="23"/>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(61,500)</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(61,500)</w:t>
            </w:r>
          </w:p>
        </w:tc>
        <w:tc>
          <w:tcPr>
            <w:tcW w:w="200" w:type="dxa"/>
            <w:vAlign w:val="bottom"/>
          </w:tcPr>
          <w:p>
            <w:pPr>
              <w:spacing w:after="0"/>
              <w:rPr>
                <w:sz w:val="23"/>
                <w:szCs w:val="23"/>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 of warrants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43,410</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43,410</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Noncontrolling interest (Note 8)</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589</w:t>
            </w: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269"/>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 31, 2017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294,874</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14,218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1,087,582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(708,354)</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(85,085)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589</w:t>
            </w:r>
          </w:p>
        </w:tc>
        <w:tc>
          <w:tcPr>
            <w:tcW w:w="0" w:type="dxa"/>
            <w:vAlign w:val="bottom"/>
          </w:tcPr>
          <w:p>
            <w:pPr>
              <w:spacing w:after="0"/>
              <w:rPr>
                <w:sz w:val="1"/>
                <w:szCs w:val="1"/>
                <w:color w:val="auto"/>
              </w:rPr>
            </w:pPr>
          </w:p>
        </w:tc>
      </w:tr>
      <w:tr>
        <w:trPr>
          <w:trHeight w:val="265"/>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and comprehensive income</w:t>
            </w:r>
          </w:p>
        </w:tc>
        <w:tc>
          <w:tcPr>
            <w:tcW w:w="160" w:type="dxa"/>
            <w:vAlign w:val="bottom"/>
          </w:tcPr>
          <w:p>
            <w:pPr>
              <w:spacing w:after="0"/>
              <w:rPr>
                <w:sz w:val="23"/>
                <w:szCs w:val="23"/>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96,499</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96,499</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compensation</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44,365</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44,365</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60" w:type="dxa"/>
            <w:vAlign w:val="bottom"/>
          </w:tcPr>
          <w:p>
            <w:pPr>
              <w:spacing w:after="0"/>
              <w:rPr>
                <w:sz w:val="23"/>
                <w:szCs w:val="23"/>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(92,606)</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379</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(92,606)</w:t>
            </w:r>
          </w:p>
        </w:tc>
        <w:tc>
          <w:tcPr>
            <w:tcW w:w="2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1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Issuance of common stock for stock options,</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stock awards and restricted stock units,</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2,217</w:t>
            </w: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1,210</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2,205</w:t>
            </w: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withholding taxes</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1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Cumulative effect adjustment due to ASU 2014-</w:t>
            </w:r>
          </w:p>
        </w:tc>
        <w:tc>
          <w:tcPr>
            <w:tcW w:w="160" w:type="dxa"/>
            <w:vAlign w:val="bottom"/>
          </w:tcPr>
          <w:p>
            <w:pPr>
              <w:spacing w:after="0"/>
              <w:rPr>
                <w:sz w:val="13"/>
                <w:szCs w:val="13"/>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1,373</w:t>
            </w: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1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1,373</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09</w:t>
            </w: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0.625% Convertible Senior Notes, net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Acquisition of noncontrolling interest (Note 8)</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(510)</w:t>
            </w: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79</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276"/>
        </w:trPr>
        <w:tc>
          <w:tcPr>
            <w:tcW w:w="31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346,208</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15,428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1,134,227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(610,482)</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2,618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(177,691)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4" w:right="239" w:bottom="1440" w:gutter="0" w:footer="0" w:header="0"/>
        </w:sectPr>
      </w:pPr>
    </w:p>
    <w:bookmarkStart w:id="54" w:name="page55"/>
    <w:bookmarkEnd w:id="5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196"/>
        </w:trPr>
        <w:tc>
          <w:tcPr>
            <w:tcW w:w="7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 attributable to continuing operations: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1"/>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Net income and comprehensive income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96,499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15,578</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27,494</w:t>
            </w:r>
          </w:p>
        </w:tc>
      </w:tr>
      <w:tr>
        <w:trPr>
          <w:trHeight w:val="216"/>
        </w:trPr>
        <w:tc>
          <w:tcPr>
            <w:tcW w:w="79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Less: Loss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12,820</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3,840</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3,714</w:t>
            </w:r>
          </w:p>
        </w:tc>
      </w:tr>
      <w:tr>
        <w:trPr>
          <w:trHeight w:val="210"/>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109,319</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19,418</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31,208</w:t>
            </w:r>
          </w:p>
        </w:tc>
      </w:tr>
      <w:tr>
        <w:trPr>
          <w:trHeight w:val="158"/>
        </w:trPr>
        <w:tc>
          <w:tcPr>
            <w:tcW w:w="798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Adjustments to reconcile income from continuing operations to net cash provided by operating activities attributable to continuing</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98"/>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operations: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1"/>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impairments and disposal of fixed assets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2,210</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640</w:t>
            </w:r>
          </w:p>
        </w:tc>
      </w:tr>
      <w:tr>
        <w:trPr>
          <w:trHeight w:val="221"/>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23,468</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12,992</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1,243</w:t>
            </w:r>
          </w:p>
        </w:tc>
      </w:tr>
      <w:tr>
        <w:trPr>
          <w:trHeight w:val="211"/>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7,385</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7,085</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4,944</w:t>
            </w:r>
          </w:p>
        </w:tc>
      </w:tr>
      <w:tr>
        <w:trPr>
          <w:trHeight w:val="221"/>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Rental amortization of intangibles and depreciation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1,474</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44,365</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23,361</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9,647</w:t>
            </w:r>
          </w:p>
        </w:tc>
      </w:tr>
      <w:tr>
        <w:trPr>
          <w:trHeight w:val="221"/>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6,367</w:t>
            </w:r>
          </w:p>
        </w:tc>
      </w:tr>
      <w:tr>
        <w:trPr>
          <w:trHeight w:val="211"/>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10,788</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23,931</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515</w:t>
            </w:r>
          </w:p>
        </w:tc>
      </w:tr>
      <w:tr>
        <w:trPr>
          <w:trHeight w:val="211"/>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1,776</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1,032</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w:t>
            </w:r>
          </w:p>
        </w:tc>
      </w:tr>
      <w:tr>
        <w:trPr>
          <w:trHeight w:val="221"/>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Write-off of previously-capitalized debt issuance costs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convertible debt discount</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11,397</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6,385</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8"/>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(16,820)</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(11,381)</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(8,361)</w:t>
            </w:r>
          </w:p>
        </w:tc>
      </w:tr>
      <w:tr>
        <w:trPr>
          <w:trHeight w:val="208"/>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r>
      <w:tr>
        <w:trPr>
          <w:trHeight w:val="211"/>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14,270</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31,108</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4,769</w:t>
            </w:r>
          </w:p>
        </w:tc>
      </w:tr>
      <w:tr>
        <w:trPr>
          <w:trHeight w:val="221"/>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Current contingent consideration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3,669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13,385</w:t>
            </w:r>
          </w:p>
        </w:tc>
      </w:tr>
      <w:tr>
        <w:trPr>
          <w:trHeight w:val="216"/>
        </w:trPr>
        <w:tc>
          <w:tcPr>
            <w:tcW w:w="79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1,170</w:t>
            </w:r>
          </w:p>
        </w:tc>
      </w:tr>
      <w:tr>
        <w:trPr>
          <w:trHeight w:val="210"/>
        </w:trPr>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123,948</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103,538</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64,214</w:t>
            </w:r>
          </w:p>
        </w:tc>
      </w:tr>
      <w:tr>
        <w:trPr>
          <w:trHeight w:val="20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 attributable to continuing operations: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(14,907)</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(8,040)</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(31,955)</w:t>
            </w:r>
          </w:p>
        </w:tc>
      </w:tr>
      <w:tr>
        <w:trPr>
          <w:trHeight w:val="221"/>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intangible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r>
      <w:tr>
        <w:trPr>
          <w:trHeight w:val="211"/>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 of QuoteWizard, net of cash acquired</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(297,072)</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Student Loan Hero, net of cash acquired</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(59,483)</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 of Ovation, net of cash acquired</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(11,566)</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SnapCap</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 of DepositAccounts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MagnifyMoney, net of cash acquired</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(29,504)</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 of CompareCards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(81,182)</w:t>
            </w:r>
          </w:p>
        </w:tc>
      </w:tr>
      <w:tr>
        <w:trPr>
          <w:trHeight w:val="216"/>
        </w:trPr>
        <w:tc>
          <w:tcPr>
            <w:tcW w:w="79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other businesses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r>
      <w:tr>
        <w:trPr>
          <w:trHeight w:val="196"/>
        </w:trPr>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 attributable to continuing operations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(383,038)</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(74,435)</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(119,667)</w:t>
            </w:r>
          </w:p>
        </w:tc>
      </w:tr>
      <w:tr>
        <w:trPr>
          <w:trHeight w:val="20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 attributable to continuing operations: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1"/>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exercise of stock options, net of payments related to net-share settlement of stock-based compensation</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2,217</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1,602</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w:t>
            </w:r>
          </w:p>
        </w:tc>
      </w:tr>
      <w:tr>
        <w:trPr>
          <w:trHeight w:val="221"/>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Contingent consideration payments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(27,588)</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125,000</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noncontrolling interest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the issuance of 0.625% Convertible Senior Notes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300,000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Payment of convertible note hedge transactions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the sale of warrants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43,410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equity offering, net of offering costs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8"/>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(10,486)</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3"/>
        </w:trPr>
        <w:tc>
          <w:tcPr>
            <w:tcW w:w="79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(93,704)</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(19,901)</w:t>
            </w: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(48,524)</w:t>
            </w:r>
          </w:p>
        </w:tc>
      </w:tr>
      <w:tr>
        <w:trPr>
          <w:trHeight w:val="210"/>
        </w:trPr>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4,843</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253,125</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(52,640)</w:t>
            </w:r>
          </w:p>
        </w:tc>
      </w:tr>
      <w:tr>
        <w:trPr>
          <w:trHeight w:val="210"/>
        </w:trPr>
        <w:tc>
          <w:tcPr>
            <w:tcW w:w="7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(used in) provided by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(254,247)</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282,228</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(108,093)</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79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used in operating activities attributable to discontinued operations</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(13,236)</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w:t>
            </w: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(10,203)</w:t>
            </w:r>
          </w:p>
        </w:tc>
      </w:tr>
      <w:tr>
        <w:trPr>
          <w:trHeight w:val="196"/>
        </w:trPr>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used in discontinued operations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(13,236)</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(4,807)</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(10,203)</w:t>
            </w:r>
          </w:p>
        </w:tc>
      </w:tr>
      <w:tr>
        <w:trPr>
          <w:trHeight w:val="21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restricted cash, and restricted cash equivalents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(267,483)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277,421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(118,296)</w:t>
            </w:r>
          </w:p>
        </w:tc>
      </w:tr>
      <w:tr>
        <w:trPr>
          <w:trHeight w:val="211"/>
        </w:trPr>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at beginning of period</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372,641</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95,220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213,516</w:t>
            </w:r>
          </w:p>
        </w:tc>
      </w:tr>
      <w:tr>
        <w:trPr>
          <w:trHeight w:val="222"/>
        </w:trPr>
        <w:tc>
          <w:tcPr>
            <w:tcW w:w="7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restricted cash, and restricted cash equivalents at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105,158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372,641</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95,220</w:t>
            </w:r>
          </w:p>
        </w:tc>
      </w:tr>
      <w:tr>
        <w:trPr>
          <w:trHeight w:val="21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1"/>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paid</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1,327</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w:t>
            </w:r>
          </w:p>
        </w:tc>
      </w:tr>
      <w:tr>
        <w:trPr>
          <w:trHeight w:val="211"/>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payments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541</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20,359</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3,095</w:t>
            </w:r>
          </w:p>
        </w:tc>
      </w:tr>
      <w:tr>
        <w:trPr>
          <w:trHeight w:val="221"/>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tax refunds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5,678</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ectPr>
          <w:pgSz w:w="11900" w:h="16838" w:orient="portrait"/>
          <w:cols w:equalWidth="0" w:num="1">
            <w:col w:w="11400"/>
          </w:cols>
          <w:pgMar w:left="240" w:top="114" w:right="259" w:bottom="549"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114" w:right="259" w:bottom="549"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LendingTree, Inc. ("LendingTree" or the "Company"), is the parent of LendingTree, LLC and several companies owned by LendingTree, LLC.</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LendingTree and all its wholly-owned entities. Intercompany transactions and accounts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Discontinued Operations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pursuant to the rules and regulations of the U.S. Securities and Exchange Commission ("SEC").</w:t>
      </w:r>
    </w:p>
    <w:p>
      <w:pPr>
        <w:spacing w:after="0" w:line="10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Certain prior year amounts have been reclassified to conform to current year presentation.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discussion in Note 2—Significant Accounting Policies for the impact of adopting Accounting Standards Update ("ASU") 2016-18 on the presentation of changes in restricted cash, and ASU 2016-09 on the presentation of excess tax benefits and deficiencies, within the statement of cash flows.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In identifying performance obligations, judgment is required around contracts where there was a possibility of bundled services and multiple parties. In applying judgment, the Company considers customer expectations of performance, materiality and the core principles of Accounting Standards Codification ("ASC") Topic 606, Revenue from Contracts with Customers. The Company's services are generally transferred to the customer at a point in time.</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Variable consideration is included in revenue if it is probable that a significant future reversal of cumulative revenue under the contract will not occur.</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within the mortgage product category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Revenue recognition on match fees was not impacted by the adoption of ASC Topic 606 in the first quarter of 2018, as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7"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contractual right to the match fee consideration is contemporaneous with the satisfaction of the performance obligation to deliver a loan request to the customer.</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match and other upfront fees, revenue within the non-mortgage product category is also generated from closing fees and approval fees.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Closing fees are derived from lenders on certain auto loans, business loans, personal loans and student loans when the lender funds a loan with the consumer. Prior to the adoption of ASC Topic 606, closed loan fees were recognized at the time the lender reported the closed loan to the Company, which could be several months after the original request was transmitted.</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Approval fees are derived from credit card issuers when the credit card consumer receives card approval from the credit card issuer. Prior to the adoption of ASC Topic 606, approval fees were recognized at the time the credit card issuer reported the card approval for the consumer to the Company, which is generally within two weeks after the consumer's request was transmitted.</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ASC Topic 606, the timing of recognizing revenue for closing fees and approval fees is accelerated to the point when a loan request or a credit card consumer is delivered to the customer, as opposed to when the consumer loan is closed by the lender or credit card approval is made by the issuer.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 The time between satisfaction of the Company's performance obligation and when the Company's right to consideration becomes unconditional is generally less than 90 days.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Upfront fees and subscription fees are derived from consumers in the Company's credit services business, which was acquired on June 11, 2018. Upfront fees paid by consumers are recognized as revenue over the estimated time the consumer will remain a customer and receive services. Subscription fees are recognized over the period a consumer is receiving services.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the Company's insurance business, which was acquired on October 31, 2018, is primarily generated from match fees,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Both the mortgage and non-mortgage product categories are included in the Company's single reportable segment.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payment terms vary by customer and services offered. The term between invoicing and when payment is due is generally 30 days or less.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commissions are incremental costs of obtaining contracts with customers. The Company expenses sales commissions when incurred as the duration of contracts with customers is less than one year, based on the right for either party to terminate the contract with less than one year's notice without compensation to either party. These costs are recorded within selling and marketing expense on the consolidated statements of operations and comprehensive income.</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adoption of ASC Topic 606, please see the discussion over ASU 2014-09 in the section titled "Recent Accounting Pronouncements" within this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include cash and short-term, highly liquid money market investments with original maturities of three months or less.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7"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escrowed or contractually restricted for a specific purpose is designated as restricted cash.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its allowance for doubtful accounts by considering a number of factors, including the length of time accounts receivable are past due, previous loss history and the specific customer's current ability to pay its obligation. Accounts receivable are considered past due when they are outstanding longer than the contractual payment terms. Accounts receivable are written off when management deems them uncollectible.</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balances of the allowance for doubtful accounts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1,059</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606</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Charges to earnings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480" w:type="dxa"/>
            <w:vAlign w:val="bottom"/>
          </w:tcPr>
          <w:p>
            <w:pPr>
              <w:spacing w:after="0"/>
              <w:rPr>
                <w:sz w:val="21"/>
                <w:szCs w:val="21"/>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 of uncollectible accounts receivable</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4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(579)</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7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86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1,143</w:t>
            </w:r>
          </w:p>
        </w:tc>
        <w:tc>
          <w:tcPr>
            <w:tcW w:w="4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675</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1,059</w:t>
            </w:r>
          </w:p>
        </w:tc>
      </w:tr>
      <w:tr>
        <w:trPr>
          <w:trHeight w:val="34"/>
        </w:trPr>
        <w:tc>
          <w:tcPr>
            <w:tcW w:w="7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Loss Obligations (Discontinued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Home Loan Center, Inc. ("HLC") subsidiary, which during its period of active operation primarily conducted business as LendingTree Loans, sold loans it originated to investors on a servicing-released basis and the risk of loss or default by the borrower was generally transferred to the investor. However, LendingTree Loans was required by these investors to make certain representations relating to credit information, loan documentation and collateral. To the extent LendingTree Loans did not comply with such representations, LendingTree Loans may be required to repurchase loans or indemnify the investors for any losses from borrower defaults. LendingTree Loans maintains a liability for the estimated exposure relating to such contingent obligations and changes to the estimate are recorded in income from discontinued operations in the periods they occur.</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estimates the liability for loan losses using a settlement discount framework. This approach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The Company then applies a settlement discount factor to the result of the foregoing to reflect publicly-announced bulk settlements for similar loan types and vintages, the Company's own settlement experience, as well as LendingTree Loans' non-operating status, in order to estimate a range of potential liability. Changes to any one of these factors could significantly impact the estimate of the liability and could have a material impact on the Company's results of operations for any particular period.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19—Discontinued Operations— LendingTree Loans—Loan Loss Obligations for additional information on the loan loss reserve.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one reportable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including internally-developed software and significant improvements, are recorded at cost less accumulated depreciation. Acquisition and construction costs for land and building is capitalized and depreciated over the applicable useful lives. Due to the rapid advancements in technology and evolution of company products, all internally-developed software is written-off at the end of its useful life. Repairs and maintenance and any gains or losses on dispositions are recognized as incurred in current operations.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7"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is recorded on a straight-line basis to allocate the cost of depreciable assets to operations over their estimated service lives. The following table presents the estimated useful lives for each asset category: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5600" w:type="dxa"/>
            <w:vAlign w:val="bottom"/>
            <w:tcBorders>
              <w:bottom w:val="single" w:sz="8" w:color="auto"/>
            </w:tcBorders>
          </w:tcPr>
          <w:p>
            <w:pPr>
              <w:jc w:val="center"/>
              <w:ind w:left="1632"/>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5600" w:type="dxa"/>
            <w:vAlign w:val="bottom"/>
            <w:tcBorders>
              <w:bottom w:val="single" w:sz="8" w:color="CCEEFF"/>
            </w:tcBorders>
            <w:shd w:val="clear" w:color="auto" w:fill="CCEEFF"/>
          </w:tcPr>
          <w:p>
            <w:pPr>
              <w:jc w:val="center"/>
              <w:ind w:left="1632"/>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w:t>
            </w:r>
          </w:p>
        </w:tc>
        <w:tc>
          <w:tcPr>
            <w:tcW w:w="560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9"/>
              </w:rPr>
              <w:t>34 years</w:t>
            </w:r>
          </w:p>
        </w:tc>
      </w:tr>
      <w:tr>
        <w:trPr>
          <w:trHeight w:val="27"/>
        </w:trPr>
        <w:tc>
          <w:tcPr>
            <w:tcW w:w="58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Site Improvements</w:t>
            </w:r>
          </w:p>
        </w:tc>
        <w:tc>
          <w:tcPr>
            <w:tcW w:w="5600" w:type="dxa"/>
            <w:vAlign w:val="bottom"/>
            <w:tcBorders>
              <w:bottom w:val="single" w:sz="8" w:color="CCEEFF"/>
            </w:tcBorders>
            <w:shd w:val="clear" w:color="auto" w:fill="CCEEFF"/>
          </w:tcPr>
          <w:p>
            <w:pPr>
              <w:jc w:val="center"/>
              <w:ind w:left="1632"/>
              <w:spacing w:after="0"/>
              <w:rPr>
                <w:sz w:val="20"/>
                <w:szCs w:val="20"/>
                <w:color w:val="auto"/>
              </w:rPr>
            </w:pPr>
            <w:r>
              <w:rPr>
                <w:rFonts w:ascii="Times New Roman" w:cs="Times New Roman" w:eastAsia="Times New Roman" w:hAnsi="Times New Roman"/>
                <w:sz w:val="18"/>
                <w:szCs w:val="18"/>
                <w:color w:val="auto"/>
                <w:w w:val="99"/>
              </w:rPr>
              <w:t>1 to 15 years</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capitalized software</w:t>
            </w:r>
          </w:p>
        </w:tc>
        <w:tc>
          <w:tcPr>
            <w:tcW w:w="560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rPr>
              <w:t>1 to 5 years</w:t>
            </w:r>
          </w:p>
        </w:tc>
      </w:tr>
      <w:tr>
        <w:trPr>
          <w:trHeight w:val="27"/>
        </w:trPr>
        <w:tc>
          <w:tcPr>
            <w:tcW w:w="58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5600" w:type="dxa"/>
            <w:vAlign w:val="bottom"/>
            <w:tcBorders>
              <w:bottom w:val="single" w:sz="8" w:color="CCEEFF"/>
            </w:tcBorders>
            <w:shd w:val="clear" w:color="auto" w:fill="CCEEFF"/>
          </w:tcPr>
          <w:p>
            <w:pPr>
              <w:jc w:val="center"/>
              <w:ind w:left="1652"/>
              <w:spacing w:after="0"/>
              <w:rPr>
                <w:sz w:val="20"/>
                <w:szCs w:val="20"/>
                <w:color w:val="auto"/>
              </w:rPr>
            </w:pPr>
            <w:r>
              <w:rPr>
                <w:rFonts w:ascii="Times New Roman" w:cs="Times New Roman" w:eastAsia="Times New Roman" w:hAnsi="Times New Roman"/>
                <w:sz w:val="18"/>
                <w:szCs w:val="18"/>
                <w:color w:val="auto"/>
                <w:w w:val="99"/>
              </w:rPr>
              <w:t>Lesser of asset life or life of lease</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560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rPr>
              <w:t>3 to 7 years</w:t>
            </w:r>
          </w:p>
        </w:tc>
      </w:tr>
      <w:tr>
        <w:trPr>
          <w:trHeight w:val="27"/>
        </w:trPr>
        <w:tc>
          <w:tcPr>
            <w:tcW w:w="58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Aircraft and automobile</w:t>
            </w:r>
          </w:p>
        </w:tc>
        <w:tc>
          <w:tcPr>
            <w:tcW w:w="5600" w:type="dxa"/>
            <w:vAlign w:val="bottom"/>
            <w:tcBorders>
              <w:bottom w:val="single" w:sz="8" w:color="CCEEFF"/>
            </w:tcBorders>
            <w:shd w:val="clear" w:color="auto" w:fill="CCEEFF"/>
          </w:tcPr>
          <w:p>
            <w:pPr>
              <w:jc w:val="center"/>
              <w:ind w:left="1632"/>
              <w:spacing w:after="0"/>
              <w:rPr>
                <w:sz w:val="20"/>
                <w:szCs w:val="20"/>
                <w:color w:val="auto"/>
              </w:rPr>
            </w:pPr>
            <w:r>
              <w:rPr>
                <w:rFonts w:ascii="Times New Roman" w:cs="Times New Roman" w:eastAsia="Times New Roman" w:hAnsi="Times New Roman"/>
                <w:sz w:val="18"/>
                <w:szCs w:val="18"/>
                <w:color w:val="auto"/>
                <w:w w:val="99"/>
              </w:rPr>
              <w:t>5 to 10 years</w:t>
            </w:r>
          </w:p>
        </w:tc>
      </w:tr>
      <w:tr>
        <w:trPr>
          <w:trHeight w:val="20"/>
        </w:trPr>
        <w:tc>
          <w:tcPr>
            <w:tcW w:w="5820" w:type="dxa"/>
            <w:vAlign w:val="bottom"/>
            <w:shd w:val="clear" w:color="auto" w:fill="000000"/>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Software development costs primarily include internal and external labor expenses incurred to develop the software that powers the Company's websites. Certain costs incurred during the application development stage are capitalized based on specific activities tracked, while costs incurred during the preliminary project stage and post-implementation/operation stage are expensed as incurred. Capitalized software development costs are amortized over an estimated useful life of one to five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acquired in business combinations is assigned to the reporting units that are expected to benefit from the combination as of the acquisition date. Goodwill and indefinite-lived intangible assets, consisting of certain trade names and trademarks, are not amortized. Rather, these assets are tested annually for impairment as of October 1, or more frequently upon the occurrence of certain events or substantive changes in circumstances.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part of its annual impairment testing of goodwill and indefinite-lived intangible assets, in each instance, the Company may elect to assess qualitative factors as a basis for determining whether it is necessary to perform the traditional quantitative impairment testing. If the Company’s assessment of these qualitative factors indicates that it is not more likely than not that the fair value of the reporting unit or indefinite-lived intangible asset is less than its carrying value, then no further testing is required. Otherwise, the goodwill reporting unit or long-lived intangible assets, as applicable, must be quantitatively tested for impairment.</w:t>
      </w:r>
    </w:p>
    <w:p>
      <w:pPr>
        <w:spacing w:after="0" w:line="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quantitative test for goodwill impairment is determined using a two-step process. The first step is to compare the fair value of a reporting unit with its carrying amount, including goodwill. In performing the first step, the Company determines the fair value of its reporting units by using a market approach and a discounted cash flow ("DCF") analysis.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and the second step of the impairment test is not required.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2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quantitative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October 1, 2018 and 2017 annual impairment tests of goodwill and indefinite-lived intangible assets, the Company elected to perform qualitative assessments as a precursor to the traditional quantitative tests. Results of the October 1, 2018 and 2017 annual impairment tests indicated that it is not more likely than not that the fair value of the goodwill and the indefinite-lived intangible assets were each less than their respective carrying values. Accordingly, no further testing was required.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7"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 and Intangible Assets with Definite Lives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Long-lived assets include property and equipment and intangible assets with definite lives. Amortization of definite-lived intangible assets is recorded on a straight-line basis over their estimated lives.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Long-lived assets are tested for recoverability whenever events or changes in circumstances indicate that their carrying amounts may not be recoverable. The carrying amount of a long-lived asset is not recoverable if it exceeds the sum of the undiscounted cash flows expected to result from the use and eventual disposition of the asset. If the carrying amount is deemed to not be recoverable, an impairment loss is recorded as the amount by which the carrying amount of the long-lived asset exceeds its fair value.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2018 and 2017, the Company performed its review of impairment triggering events for long-lived assets and determined that a triggering event had not occurred.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Held for Sale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assets or disposal groups to be sold as held for sale in the period in which all of the following criteria are met:</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having the authority to approve the action, commits to a plan to sell the asset or disposal group;</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or disposal group is available for immediate sale in its present condition subject only to terms that are usual and customary for sales of such assets or disposal groups;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program to locate a buyer and other actions required to complete the plan to sell the asset or disposal group have been initiated;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or disposal group is being actively marketed for sale at a price that is reasonable in relation to its current fair value;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required to complete the plan indicate that it is unlikely that significant changes to the plan will be made or that the plan will be withdrawn.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long-lived asset or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or disposal group until the date of sale. The fair value of a long-lived asset or disposal group, less any costs to sell, is assessed each reporting period it remains classified as held for sale and any subsequent changes are reported as an adjustment to the carrying value of the asset or disposal group, as long as the new carrying value does not exceed the carrying value of the asset at the time it was initially classified as held for sale.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categorizes its assets and liabilities measured at fair value into a fair value hierarchy that prioritizes the assumptions used in pricing the asset or liability into the following three levels:</w:t>
      </w:r>
    </w:p>
    <w:p>
      <w:pPr>
        <w:spacing w:after="0" w:line="10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Level 1</w:t>
      </w:r>
      <w:r>
        <w:rPr>
          <w:rFonts w:ascii="Times New Roman" w:cs="Times New Roman" w:eastAsia="Times New Roman" w:hAnsi="Times New Roman"/>
          <w:sz w:val="18"/>
          <w:szCs w:val="18"/>
          <w:color w:val="auto"/>
        </w:rPr>
        <w:t>: Observable inputs, such as quoted prices for identical assets and liabilities in active markets obtained from independent sources.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Level 2</w:t>
      </w:r>
      <w:r>
        <w:rPr>
          <w:rFonts w:ascii="Times New Roman" w:cs="Times New Roman" w:eastAsia="Times New Roman" w:hAnsi="Times New Roman"/>
          <w:sz w:val="18"/>
          <w:szCs w:val="18"/>
          <w:color w:val="auto"/>
        </w:rPr>
        <w:t>: Other inputs that are observable directly or indirectly, such as quoted prices for similar assets or liabilities in active markets, quoted prices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identical or similar assets or liabilities in markets that are not active and inputs that are derived principally from or corroborated by observable market data.</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Level 3</w:t>
      </w:r>
      <w:r>
        <w:rPr>
          <w:rFonts w:ascii="Times New Roman" w:cs="Times New Roman" w:eastAsia="Times New Roman" w:hAnsi="Times New Roman"/>
          <w:sz w:val="18"/>
          <w:szCs w:val="18"/>
          <w:color w:val="auto"/>
        </w:rPr>
        <w:t>: Unobservable inputs for which there is little or no market data and which require the Company to develop its own assumptions,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best information available under the circumstances, about the assumptions market participants would use in pricing the asset or liability.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7" w:right="2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property and equipment are recorded at fair value upon acquisition. These assets are remeasured at fair value when there is an indicator of impairment and recorded at fair value only when an impairment charge is recognized. Such fair value measurements are based predominantly on Level 3 inputs.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Contingent consideration payments related to acquisitions are measured at fair value each reporting period using Level 3 unobservable inputs. The Company's estimates of fair value are based upon assumptions believed to be reasonable but which are uncertain and involve significant judgments by management. Any changes in the fair value of these contingent consideration payments are included in operating income in the consolidated statements of operations and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compensation and other employee-related costs (including stock-based compensation) related to internally-operated customer call centers, third-party customer call center fees, costs for online advertising resold to third parties, credit scoring fees, credit card fees, website network hosting and server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Advertising costs are expensed in the period incurred (except for production costs which are initially capitalized and then recognized as expense when the advertisement first runs) and principally represent offline costs, including television, print and radio advertising, and online advertising costs, including fees paid to search engines and distribution partners. Advertising expense was $469.9 million, $410.8 million and $243.2 million for the years ended December 31, 2018, 2017 and 2016, respectively, and is included in selling and marketing expense on the consolidated statements of operations and comprehensive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Interest is recorded on potential tax contingencies as a component of income tax expense and recorded net of any applicable related income tax benefit. For the years ended December 31, 2018, 2017 and 2016, the Company followed the incremental or "with" and "without" approach to intraperiod tax allocation for determination of the amount of tax benefit to allocate to continuing operations as prescribed in Accounting Standards Codification ("ASC") 740-20-45-7.</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accounting standard for uncertainty in income taxes, liabilities for uncertain tax positions are recognized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Effective January 1, 2018, the Company changed the method used to estimate the deduction for prepaid marketing and advertising costs. This change in methodology impacts the timing of the tax deductibility of these related costs. The Company historically estimated these expenses to be deductible as long as the services were provided within 12 months of payment. Under the proposed method of accounting, the Company will take into account only prepaid marketing and advertising as the Company makes payment for the services to the extent that the payment is due and the services are reasonably expected by the Company to be provided to the applicant within 3 ½-months after the date of payment as authorized by Treas. Reg. §1.461-4(d)(6)(ii). The Company has accounted for this change as a change in accounting method and recorded a cumulative impact of $1.0 million as a deferred tax liability to be recognized over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7"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Effective January 1, 2017, the Company changed the method used to estimate the deduction for internally developed software. This change in methodology impacts the timing of the tax deductibility of these related costs. The Company historically capitalized these expenses and amortized them over three years. Under the proposed method of accounting, the Company will treat costs attributable to internally developed software as current expenses and take them into account in full in accordance with Section 5.01(1) of Rev. Proc. 2000-50 and rules similar to those applicable under Section 174(a). The Section 481(a) adjustment is the cumulative difference between the present method and the proposed method of accounting computed as of the first day of the year of change, January 1, 2017 and was reflected in the timely filed income tax return during 2018 related to the period of change.</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22, 2017, the SEC staff issued Staff Accounting Bulletin No. 118 ("SAB 118"), which provides guidance on accounting for the tax effect of the Tax Cuts and Jobs Act ("TCJA"). SAB 118 provides a measurement period that should not extend beyond one year from the TCJA enactment date for companies to complete the accounting under ASC 740. In accordance with SAB 118, a company must reflect the income tax effects of those aspects of the TCJA for which the accounting under ASC 740 is complete. To the extent that a company's accounting for certain income tax effects of the TCJA is incomplete but it is able to determine a reasonable estimate, it must record a provisional estimate in the financial statements. In accordance with SAB 118, the Company determined that the $9.1 million of the deferred tax expense recorded in connection with the remeasurement of certain deferred tax assets and liabilities was a provisional amount and a reasonable estimate at December 31, 2017.</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fourth quarter of the year ended December 31, 2018, the Company finalized the computations of the income tax effects of the Act. As such, in accordance with SAB 118, the Company's accounting for the effects of the Act is complete. The Company did not significantly adjust provisional amounts recorded in the prior year and the SAB 118 measurement period subsequently ended on December 22, 2018. Although the Company no longer considers these amounts to be provisional, the determination of the Act's income tax effects may change following future legislation or further interpretation of the Act based on future guidance from the Internal Revenue Service and state tax authorities.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forms of stock-based awards granted to LendingTree employees are principally restricted stock units ("RSUs"), RSUs with performance conditions, restricted stock, stock options and stock options with performance conditions. Further, performance-based stock options with market conditions and time-vested restricted stock with a performance condition have been granted to the Company's Chairman and Chief Executive Officer. RSUs are awards in the form of units, denominated in a hypothetical equivalent number of shares of LendingTree common stock and with the value of each award equal to the fair value of LendingTree common stock at the date of grant. RSUs may be settled in cash, stock or both, as determined by the Company's Compensation Committee at the time of grant. The Company does not have a history of settling these awards in cash. Each stock-based award is subject to service-based vesting, where a specific period of continued employment must pass before an award vests. The Compensation Committee can modify the vesting provisions of an award. Certain awards also include performance-based vesting, where certain performance targets set at the time of grant must be achieved before an award vests.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LendingTree recognizes as expense non-cash compensation for all stock-based awards for which vesting is considered probable. Prior to the adoption of ASU 2016-09, the amount of non-cash compensation was reduced by estimated forfeitures, using a rate estimated at the grant date based on historical experience and revised, if necessary, in subsequent periods if the actual forfeiture rate differed from the estimated rate. Subsequent to the adoption of ASU 2016-09 in the first quarter of 2017, forfeitures are recognized when they occur.</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service-based awards, non-cash compensation is measured at fair value on the grant date and expensed ratably over the vesting term. The fair value of each stock option award without a market condition is estimated using the Black-Scholes option pricing model, while the fair value of an RSU or restricted stock award is measured as the closing common stock price at the time of grant. For performance-based awards, the fair value is measured on the grant date and recognized as non-cash compensation expense, considering the probability of the targets being achieved. Performance-based awards with a market condition are valued using a Monte Carlo simulation model.</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Subsequent to the Company's adoption of ASU 2016-09 in the first quarter of 2017, excess tax benefits and deficiencies that arise due to the difference in the measure of stock compensation and the amount deductible for tax purposes are prospectively recorded in income tax expense within the consolidated statement of operations and comprehensive income, and are retrospectively classified as a component of operating cash flows within the consolidated statements of cash flows. Prior to the adoption of ASU 2016-09, these excess tax benefits were recognized in the consolidated statement of shareholders' equity and reported as a component of financing cash flows. For additional information on the adoption of ASU 2016-09, please see the section titled "Recent Accounting Pronouncements" within this Note.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7"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involved in legal proceedings on an ongoing basis. If the Company believes that a loss arising from such matters is probable and can be reasonably estimated, the estimated liability is accrued in the consolidated financial statements. If only a range of estimated losses can be determined, an amount within the range is accrued that, in the Company's judgment, reflects the most likely outcome; if none of the estimates within that range is a better estimate than any other amount, the low end of the range is accrued. For those proceedings in which an unfavorable outcome is reasonably possible but not probable, an estimate of the reasonably possible loss or range of losses or a conclusion that an estimate of the reasonably possible loss or range of losses arising directly from the proceeding (i.e., monetary damages or amounts paid in judgment or settlement) are not material is disclosed. Legal expenses associated with these matters are recognized as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contract assets; various other allowances, reserves and accruals; and assumptions related to the determination of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at December 31, 2018,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partners to maintain security deposits with the Company, which in the event of non-payment, would be applied against any accounts receivable outstanding.</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to the nature of the mortgage lending industry, interest rate fluctuations may negatively impact future revenue from the Company's marketplace.</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there were no network partners accounting for more than 10% of total revenue. For the years ended December 31, 2017 and 2016, one network partner accounted for 11% and 15% of total revenue, respectively. For the year ended December 31, 2016, another network partner accounted for 13% of total revenue.</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 without using its service.</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a support services office in India, the Company's operations are geographically limited to and dependent upon the economic condition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ASU 2018-15 which aligns the requirements for capitalizing implementation costs incurred in a hosting arrangement that is a service contract with the requirements for capitalizing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7"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implementation costs incurred to develop or obtain internal-use software (and hosting arrangements that include an internal-use software license). This ASU is effective for annual and interim reporting periods beginning after December 15, 2019. Early adoption is permitted, including adoption in any interim period. The amendments should be applied either retrospectively or prospectively to all implementation costs incurred after the date of adoption. The Company is evaluating the impact this ASU will have on its consolidated financial statements and whether to early adopt.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which removes, modifies and adds certain disclosure requirements in ASC Topic 820, Fair Value Measurement. This ASU is effective for annual and interim reporting periods beginning after December 15, 2019, with early adoption permitted. Entities are permitted to adopt any removed or modified disclosures and delay adoption of the additional disclosures until the effective date of the ASU. Certain amendments must be applied prospectively while others are to be applied on a retrospective basis to all periods presented. The Company is evaluating the impact this ASU will have on its consolidated financial statements and whether to early adopt.</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2018, the FASB issued ASU 2018-07 which simplifies the accounting for nonemployee share-based payments by expanding the scope of ASC Topic 718, Compensation—Stock Compensation, to include share-based payment transactions for acquiring goods and services from nonemployees. Under the new guidance, most of the initial and subsequent measurement for such payments to nonemployees is aligned with the requirements for share-based payments to employees. This ASU is effective for annual and interim reporting periods beginning after December 15, 2018, with early adoption permitted. Entities must transition to the new guidance through a cumulative-effect adjustment to retained earnings as of the beginning of the fiscal year of adoption. The Company early-adopted this ASU during the second quarter of 2018, with no impact to its consolidated financial statements.</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2017, the FASB issued ASU 2017-09 which clarifies when to account for a change to the terms or conditions of a share-based payment award as a modification. Under the new guidance, modification accounting is required only if the fair value, the vesting conditions or the classification of the award changes as a result of the change in terms or conditions. This ASU is effective prospectively for annual periods beginning on or after December 15, 2017, and early adoption was permitted. The Company adopted this ASU during the first quarter of 2018.</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Early adoption is permitted for annual and interim goodwill impairment testing dates after January 1, 2017. The Company is evaluating the impact this ASU will have on its consolidated financial statements and whether to early adopt.</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which is intended to reduce the diversity in the classification and presentation of changes in restricted cash in the statement of cash flows, by requiring entities to combine the changes in cash and cash equivalents and restricted cash in one line. As a result, entities will no longer present transfers between cash and cash equivalents and restricted cash in the statement of cash flows. In addition, if more than one line item is recorded on the balance sheet for cash and cash equivalents and restricted cash, a reconciliation between the statement of cash flows and balance sheet is required. This ASU is effective for annual and interim reporting periods beginning after December 15, 2017, and early adoption was permitted. The retrospective transition method, requiring adjustment to all comparative periods presented, is required. The Company adopted this ASU during the first quarter of 2018. The adoption resulted in an immaterial reclassification of cash outflows from investing activities to operating activities for 2017, and a reclassification of $2.5 million of cash inflows from investing activities to operating activities for 2016.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4—Cash and Restricted Cash for the reconciliation of cash and cash equivalents and restricted cash reported on the balance sheet to the total of such amounts shown on the statement of cash flows.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which addresses eight cash flow classification issues, eliminating the diversity in practice. This ASU is effective for annual and interim reporting periods beginning after December 15, 2017, and early adoption was permitted. The retrospective transition method, requiring adjustment to all comparative periods presented, is required unless it is impracticable for some of the amendments, in which case those amendments would be prospectively applied as of the earliest date practicable. The Company adopted this ASU during the first quarter of 2018, and there was no adjustment to prior periods. Pursuant to adoption of this ASU, contingent consideration payments made are classified as cash outflows from financing activities up to the amount of the contingent consideration liability recognized at the acquisition date, and the portion of payments in excess of that initial liability are classified as cash outflows from operating activities.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8—Business Acquisitions for additional information.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7"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2016-09 which simplifies various aspects related to how share-based payments are accounted for and presented in the financial statements, including the income tax consequences, classification of awards as either equity or liabilities, forfeitures and classification of excess tax benefits on the statement of cash flows. This ASU was effective for annual and interim reporting periods beginning after December 15, 2016, and early adoption was permitted. Upon adoption, any adjustments were to be reflected as of the beginning of the fiscal year of adoption. The Company adopted this ASU during the first quarter of 2017.</w:t>
      </w:r>
    </w:p>
    <w:p>
      <w:pPr>
        <w:spacing w:after="0" w:line="13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new standard required excess tax benefits and deficiencies, which arise due to the difference in the measure of stock compensation and the amount deductible for tax purposes, to be recorded in earnings in income tax expense. These excess tax benefits and deficiencies were generally previously recorded in additional paid-in capital and had no impact on net income. The standard required prospective adoption for this portion of the new guidance. Additionally, the new standard required the excess tax benefits and deficiencies to be classified as an operating activity in the accompanying consolidated statements of cash flows. These excess tax benefits and deficiencies were previously recorded as a financing activity in the statement of cash flows. The standard allowed for either prospective or retrospective adoption for the change in presentation in the statement of cash flows. The Company elected to retrospectively adopt the classification change in the statement of cash flows. Accordingly, prior periods have been adjusted to increase the cash provided by operating activities and decrease the cash provided by financing activities by $5.8 million in 2016 within the accompanying consolidated statements of cash flows. The standard also allows for an election by the Company to either estimate forfeitures, as required under previous guidance, or recognize forfeitures when they occur. The Company elected to recognize forfeitures of stock awards as they occur, with the modified retrospective transition method required. Accordingly, the Company recognized a $1.4 million cumulative-effect adjustment to retained earnings as of January 1, 2017.</w:t>
      </w:r>
    </w:p>
    <w:p>
      <w:pPr>
        <w:spacing w:after="0" w:line="19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2016-02 related to leases. This ASU introduces ASC Topic 842, Leases, which will supersede the existing lease accounting guidance in ASC Topic 840, Leases. This ASU is effective for annual and interim reporting periods beginning after December 15, 2018, with early adoption permitted. In July 2018, the FASB issued ASU 2018-10 which clarifies certain narrow aspects of implementing ASU 2016-02, including clarifications related to the rate implicit in the lease, lessee reassessment of lease classification, lessor reassessment of lease term and purchase options, variable payments that depend on an index or rate, and impairment of the net investment in the lease. In the same month, the FASB issued ASU 2018-11 which provides an optional transition method that allows entities to initially apply the lease accounting transition requirements at the adoption date and recognize a cumulative effect adjustment to the opening balance of retained earnings in the period of adoption without restating comparative prior periods presented. ASU 2018-11 also includes a practical expedient for lessors to not separate the lease and nonlease components of a contract. In December 2018, the FASB issued ASU 2018-20 which provides certain narrow scope improvements for lessors, including an accounting policy election to not evaluate whether certain sales taxes and other similar taxes are lessor costs or lessee costs. ASU 2018-10, ASU 2018-11 and ASU 2018-20 must be adopted concurrently with the adoption of ASU 2016-02 (collectively, "ASC Topic 842"). The Company does not expect the adoption of ASC Topic 842, which includes the recognition of right-of-use assets and lease liabilities related to operating leases greater than one year in duration for which the Company is the lessee, to have a material effect on its consolidated financial statements. The Company will adopt ASC Topic 842 as of January 1, 2019 using the optional transition method to apply the new requirements at the adoption date without restating comparative prior periods presented, and does not expect a material cumulative effect adjustment, if any, to the opening balance of accumulated deficit in the period of adoption. The Company will elect the package of practical expedients which allows for an entity to not reassess whether expired or existing contracts contain leases, lease classification for expired or existing leases, and initial direct costs for existing leases. Additionally, the Company will elect as accounting policy to not record on the balance sheet leases with a term of twelve months or less.</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related to revenue recognition. This guidance introduces ASC Topic 606, Revenue from Contracts with Customers, and supersedes the revenue recognition requirements in ASC Topic 605, Revenue Recognition. In 2016, the FASB issued final amendments clarifying implementation guidance for principal versus agent considerations, identifying performance obligations, assessing collectability, presenting sales taxes, measuring noncash consideration and certain other transition matters. The clarification ASUs must be adopted concurrently with the adoption of ASU 2014-09 (collectively, "ASC Topic 606"). Under the new ASUs, the timing of recognizing revenue for closing fees and approval fees in the Company's non-mortgage product category has been accelerated to the point when a loan request or a credit card consumer is delivered to the customer as opposed to when the consumer loan is closed by the lender or credit card approval is made by the issuer and communicated to the Company.</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adopted ASC Topic 606 as of January 1, 2018 using the modified retrospective transition approach. The Company recognized the cumulative effect of initially applying ASC Topic 606 as an adjustment to the opening balance of accumulated deficit. Under this approach, revenue for 2017 and 2016 is reported in the consolidated statements of operations and comprehensive income on the historical basis, and revenue for 2018 is reported in the consolidated statements of operations 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7"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comprehensive income under ASC Topic 606. A comparison of revenue for 2018 periods to the historical basis is included below.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3—Revenue for additional information.</w:t>
      </w:r>
    </w:p>
    <w:p>
      <w:pPr>
        <w:spacing w:after="0" w:line="104"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cumulative effect of the changes made to the consolidated January 1, 2018 balance sheet for the adoption of ASC Topic 606 were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3"/>
                <w:szCs w:val="13"/>
                <w:color w:val="auto"/>
              </w:rPr>
            </w:pPr>
          </w:p>
        </w:tc>
        <w:tc>
          <w:tcPr>
            <w:tcW w:w="122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due to</w:t>
            </w:r>
          </w:p>
        </w:tc>
        <w:tc>
          <w:tcPr>
            <w:tcW w:w="3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ASC Topic 606</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11,881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1,903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13,784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tcPr>
          <w:p>
            <w:pPr>
              <w:spacing w:after="0"/>
              <w:rPr>
                <w:sz w:val="21"/>
                <w:szCs w:val="21"/>
                <w:color w:val="auto"/>
              </w:rPr>
            </w:pPr>
          </w:p>
        </w:tc>
        <w:tc>
          <w:tcPr>
            <w:tcW w:w="13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20,156</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19,626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(708,354)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1,373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(706,981)</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impact of adoption on the consolidated income statement and balance sheet for the period ended December 31, 2018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center"/>
              <w:ind w:left="996"/>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Balances without</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2"/>
                <w:szCs w:val="12"/>
                <w:color w:val="auto"/>
              </w:rPr>
            </w:pPr>
          </w:p>
        </w:tc>
        <w:tc>
          <w:tcPr>
            <w:tcW w:w="13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adoption of</w:t>
            </w:r>
          </w:p>
        </w:tc>
        <w:tc>
          <w:tcPr>
            <w:tcW w:w="240" w:type="dxa"/>
            <w:vAlign w:val="bottom"/>
          </w:tcPr>
          <w:p>
            <w:pPr>
              <w:spacing w:after="0"/>
              <w:rPr>
                <w:sz w:val="12"/>
                <w:szCs w:val="12"/>
                <w:color w:val="auto"/>
              </w:rPr>
            </w:pPr>
          </w:p>
        </w:tc>
        <w:tc>
          <w:tcPr>
            <w:tcW w:w="13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ASC Topic 606</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764,865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762,739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324"/>
        </w:trPr>
        <w:tc>
          <w:tcPr>
            <w:tcW w:w="4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65,575</w:t>
            </w:r>
          </w:p>
        </w:tc>
        <w:tc>
          <w:tcPr>
            <w:tcW w:w="200" w:type="dxa"/>
            <w:vAlign w:val="bottom"/>
          </w:tcPr>
          <w:p>
            <w:pPr>
              <w:spacing w:after="0"/>
              <w:rPr>
                <w:sz w:val="21"/>
                <w:szCs w:val="21"/>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66,182</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34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109,319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107,800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589"/>
        </w:trPr>
        <w:tc>
          <w:tcPr>
            <w:tcW w:w="4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Balances without</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2"/>
                <w:szCs w:val="12"/>
                <w:color w:val="auto"/>
              </w:rPr>
            </w:pPr>
          </w:p>
        </w:tc>
        <w:tc>
          <w:tcPr>
            <w:tcW w:w="13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adoption of</w:t>
            </w:r>
          </w:p>
        </w:tc>
        <w:tc>
          <w:tcPr>
            <w:tcW w:w="240" w:type="dxa"/>
            <w:vAlign w:val="bottom"/>
          </w:tcPr>
          <w:p>
            <w:pPr>
              <w:spacing w:after="0"/>
              <w:rPr>
                <w:sz w:val="12"/>
                <w:szCs w:val="12"/>
                <w:color w:val="auto"/>
              </w:rPr>
            </w:pPr>
          </w:p>
        </w:tc>
        <w:tc>
          <w:tcPr>
            <w:tcW w:w="13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0" w:type="dxa"/>
            <w:vAlign w:val="bottom"/>
          </w:tcPr>
          <w:p>
            <w:pPr>
              <w:spacing w:after="0"/>
              <w:rPr>
                <w:sz w:val="1"/>
                <w:szCs w:val="1"/>
                <w:color w:val="auto"/>
              </w:rPr>
            </w:pPr>
          </w:p>
        </w:tc>
      </w:tr>
      <w:tr>
        <w:trPr>
          <w:trHeight w:val="194"/>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ASC Topic 606</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340" w:type="dxa"/>
            <w:vAlign w:val="bottom"/>
          </w:tcPr>
          <w:p>
            <w:pPr>
              <w:spacing w:after="0"/>
              <w:rPr>
                <w:sz w:val="3"/>
                <w:szCs w:val="3"/>
                <w:color w:val="auto"/>
              </w:rPr>
            </w:pPr>
          </w:p>
        </w:tc>
        <w:tc>
          <w:tcPr>
            <w:tcW w:w="266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16,428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4,801</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79,289</w:t>
            </w:r>
          </w:p>
        </w:tc>
        <w:tc>
          <w:tcPr>
            <w:tcW w:w="200" w:type="dxa"/>
            <w:vAlign w:val="bottom"/>
          </w:tcPr>
          <w:p>
            <w:pPr>
              <w:spacing w:after="0"/>
              <w:rPr>
                <w:sz w:val="21"/>
                <w:szCs w:val="21"/>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79,819</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34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(610,482)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4"/>
                <w:szCs w:val="24"/>
                <w:color w:val="auto"/>
              </w:rPr>
            </w:pPr>
          </w:p>
        </w:tc>
        <w:tc>
          <w:tcPr>
            <w:tcW w:w="24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24765</wp:posOffset>
            </wp:positionV>
            <wp:extent cx="36106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57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 products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242,175</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275,910</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219,991</w:t>
            </w:r>
          </w:p>
        </w:tc>
      </w:tr>
      <w:tr>
        <w:trPr>
          <w:trHeight w:val="243"/>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Non-mortgage products</w:t>
            </w: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Credit cards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165,776</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147,028</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39,434</w:t>
            </w:r>
          </w:p>
        </w:tc>
      </w:tr>
      <w:tr>
        <w:trPr>
          <w:trHeight w:val="243"/>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Personal loans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134,199</w:t>
            </w:r>
          </w:p>
        </w:tc>
        <w:tc>
          <w:tcPr>
            <w:tcW w:w="5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88,244</w:t>
            </w:r>
          </w:p>
        </w:tc>
        <w:tc>
          <w:tcPr>
            <w:tcW w:w="5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66,457</w:t>
            </w:r>
          </w:p>
        </w:tc>
      </w:tr>
      <w:tr>
        <w:trPr>
          <w:trHeight w:val="27"/>
        </w:trPr>
        <w:tc>
          <w:tcPr>
            <w:tcW w:w="5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222,715</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106,554</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58,520</w:t>
            </w:r>
          </w:p>
        </w:tc>
      </w:tr>
      <w:tr>
        <w:trPr>
          <w:trHeight w:val="237"/>
        </w:trPr>
        <w:tc>
          <w:tcPr>
            <w:tcW w:w="5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non-mortgage products</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522,690</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341,826</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164,411</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764,865</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617,736</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384,402</w:t>
            </w:r>
          </w:p>
        </w:tc>
      </w:tr>
      <w:tr>
        <w:trPr>
          <w:trHeight w:val="27"/>
        </w:trPr>
        <w:tc>
          <w:tcPr>
            <w:tcW w:w="57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contract asset recorded within prepaid and other current assets on the consolidated balance sheets related to estimated variable consideration was $1.9 million and $4.8 million on January 1, 2018 and December 31, 2018, respectively. The increase in the contract asset from January 1, 2018 to December 31, 2018 is primarily due to recent business acquisitions. During 2018, the Company established a contract asset for business loans from a recent acquisition, for which the Company has determined it has established sufficient historical information to determine an estimate. Additionally, the Company increased the contract asset balance for the acquisition of Student Loan Hero, Inc. (“Student Loan Hero”), which was acquired on July 23, 2018.</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acquisition of Ovation Credit Services, Inc. ("Ovation") on June 11, 2018, a $0.4 million contract liability was recorded within accrued expenses and other current liabilities on the December 31, 2018 consolidated balance sheet related to the upfront fees paid by consumers.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an increase to such revenue from prior periods of $0.7 million in 2018.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4—CASH AND RESTRICTED CASH</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Total cash, cash equivalents, restricted cash and restricted cash equivalents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105,102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368,550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20" w:type="dxa"/>
            <w:vAlign w:val="bottom"/>
          </w:tcPr>
          <w:p>
            <w:pPr>
              <w:spacing w:after="0"/>
              <w:rPr>
                <w:sz w:val="21"/>
                <w:szCs w:val="21"/>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cash, cash equivalents, restricted cash and restricted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105,158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372,641</w:t>
            </w:r>
          </w:p>
        </w:tc>
        <w:tc>
          <w:tcPr>
            <w:tcW w:w="20" w:type="dxa"/>
            <w:vAlign w:val="bottom"/>
            <w:tcBorders>
              <w:bottom w:val="single" w:sz="8" w:color="CCEEFF"/>
            </w:tcBorders>
            <w:shd w:val="clear" w:color="auto" w:fill="CCEEFF"/>
          </w:tcPr>
          <w:p>
            <w:pPr>
              <w:spacing w:after="0"/>
              <w:rPr>
                <w:sz w:val="23"/>
                <w:szCs w:val="23"/>
                <w:color w:val="auto"/>
              </w:rPr>
            </w:pPr>
          </w:p>
        </w:tc>
      </w:tr>
      <w:tr>
        <w:trPr>
          <w:trHeight w:val="378"/>
        </w:trPr>
        <w:tc>
          <w:tcPr>
            <w:tcW w:w="834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Restricted cash and cash equivalents consists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400"/>
        </w:trPr>
        <w:tc>
          <w:tcPr>
            <w:tcW w:w="83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Pr>
          <w:p>
            <w:pPr>
              <w:spacing w:after="0"/>
              <w:rPr>
                <w:sz w:val="24"/>
                <w:szCs w:val="24"/>
                <w:color w:val="auto"/>
              </w:rPr>
            </w:pPr>
          </w:p>
        </w:tc>
      </w:tr>
      <w:tr>
        <w:trPr>
          <w:trHeight w:val="269"/>
        </w:trPr>
        <w:tc>
          <w:tcPr>
            <w:tcW w:w="834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Cash in escrow from sale of LendingTree Loans </w:t>
            </w:r>
            <w:r>
              <w:rPr>
                <w:rFonts w:ascii="Times New Roman" w:cs="Times New Roman" w:eastAsia="Times New Roman" w:hAnsi="Times New Roman"/>
                <w:sz w:val="25"/>
                <w:szCs w:val="25"/>
                <w:color w:val="auto"/>
                <w:vertAlign w:val="superscript"/>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4,034</w:t>
            </w:r>
          </w:p>
        </w:tc>
        <w:tc>
          <w:tcPr>
            <w:tcW w:w="20" w:type="dxa"/>
            <w:vAlign w:val="bottom"/>
          </w:tcPr>
          <w:p>
            <w:pPr>
              <w:spacing w:after="0"/>
              <w:rPr>
                <w:sz w:val="23"/>
                <w:szCs w:val="23"/>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21"/>
                <w:szCs w:val="21"/>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restricted 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4,091</w:t>
            </w:r>
          </w:p>
        </w:tc>
        <w:tc>
          <w:tcPr>
            <w:tcW w:w="20" w:type="dxa"/>
            <w:vAlign w:val="bottom"/>
          </w:tcPr>
          <w:p>
            <w:pPr>
              <w:spacing w:after="0"/>
              <w:rPr>
                <w:sz w:val="21"/>
                <w:szCs w:val="21"/>
                <w:color w:val="auto"/>
              </w:rPr>
            </w:pPr>
          </w:p>
        </w:tc>
      </w:tr>
      <w:tr>
        <w:trPr>
          <w:trHeight w:val="27"/>
        </w:trPr>
        <w:tc>
          <w:tcPr>
            <w:tcW w:w="8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44" w:lineRule="exact"/>
        <w:rPr>
          <w:sz w:val="20"/>
          <w:szCs w:val="20"/>
          <w:color w:val="auto"/>
        </w:rPr>
      </w:pPr>
    </w:p>
    <w:p>
      <w:pPr>
        <w:jc w:val="both"/>
        <w:ind w:left="660" w:hanging="328"/>
        <w:spacing w:after="0" w:line="25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HLC, a subsidiary of the Company, continues to be liable for certain indemnification obligations, repurchase obligations and premium repayment obligations following the sale of substantially all of the operating assets of its LendingTree Loans business in the second quarter of 2012. Of the purchase price received, a portion was deposited in escrow in accordance with the agreement with Discover for certain loan loss obligations that remain with the Company following the sale. During the second quarter of 2018, the remaining funds in escrow were released to the Company in accordance with the terms of the agreement with Discover.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7"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5—PROPERTY AND EQUIPMENT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balance of property and equipment,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5,818</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w:t>
            </w:r>
          </w:p>
        </w:tc>
        <w:tc>
          <w:tcPr>
            <w:tcW w:w="1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14,984</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Site improvements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capitalized software</w:t>
            </w:r>
          </w:p>
        </w:tc>
        <w:tc>
          <w:tcPr>
            <w:tcW w:w="1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22,847</w:t>
            </w: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16,885</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4,651</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1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1,935</w:t>
            </w: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1,203</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Aircraft and automobile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2,621</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2,621</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Projects in progress</w:t>
            </w:r>
          </w:p>
        </w:tc>
        <w:tc>
          <w:tcPr>
            <w:tcW w:w="1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5,008</w:t>
            </w: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3,756</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gross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37,062</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49,474</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(13,887)</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23,175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36,431</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7—Assets Held for Sale for property and equipment classified as held for sale during the fourth quarter of 2018.</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Unamortized capitalized software development costs, in service or under development, are $16.2 million and $9.5 million at December 31, 2018 and 2017, respectively. Capitalized software development depreciation expense was $6.1 million, $5.7 million and $4.3 million for the years ended December 31, 2018, 2017 and 2016,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Long-lived assets located outside the United States, the Company's country of domicile, were $0.1 million at December 31, 2018.</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6—GOODWILL AND INTANGIBLE ASSETS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balance of goodwill,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60" w:type="dxa"/>
            <w:vAlign w:val="bottom"/>
          </w:tcPr>
          <w:p>
            <w:pPr>
              <w:spacing w:after="0"/>
              <w:rPr>
                <w:sz w:val="13"/>
                <w:szCs w:val="13"/>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Goodwill</w:t>
            </w:r>
          </w:p>
        </w:tc>
        <w:tc>
          <w:tcPr>
            <w:tcW w:w="0" w:type="dxa"/>
            <w:vAlign w:val="bottom"/>
          </w:tcPr>
          <w:p>
            <w:pPr>
              <w:spacing w:after="0"/>
              <w:rPr>
                <w:sz w:val="1"/>
                <w:szCs w:val="1"/>
                <w:color w:val="auto"/>
              </w:rPr>
            </w:pPr>
          </w:p>
        </w:tc>
      </w:tr>
      <w:tr>
        <w:trPr>
          <w:trHeight w:val="195"/>
        </w:trPr>
        <w:tc>
          <w:tcPr>
            <w:tcW w:w="5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tc>
        <w:tc>
          <w:tcPr>
            <w:tcW w:w="2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539,545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(483,088)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56,457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DepositAccounts</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19,389</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MagnifyMoney</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23,784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SnapCap</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13,738</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2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596,456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(483,088)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113,368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Ovation</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11,260</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Student Loan Hero</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40,856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QuoteWizard</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182,863</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2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831,435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(483,088)</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348,347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53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The balance of intangible assets,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3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10,142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195,557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70,983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1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205,699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81,125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532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Company's goodwill is associated with its one reportable segment. The carrying amount of goodwill increased during the year ended December 31, 2018 due to the acquisitions of Ovation, Student Loan Hero and QuoteWizard, and increased during the year ended December 31, 2017 due to the acquisitions of DepositAccounts, MagnifyMoney and SnapCap.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8—Business Acquisitions for a discussion of the acquisitions and associated goodwill. Results of the annual impairment test as of October 1, 2018 indicated that no impairment had occurred.</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Intangible assets with indefinite lives relate to the Company's trademarks. Results of the annual impairment test as of October 1, 2018 indicated that no impairment had occurred.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with Definite Lives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Intangible assets with definite lives relate to the following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500" w:type="dxa"/>
            <w:vAlign w:val="bottom"/>
          </w:tcPr>
          <w:p>
            <w:pPr>
              <w:spacing w:after="0"/>
              <w:rPr>
                <w:sz w:val="13"/>
                <w:szCs w:val="13"/>
                <w:color w:val="auto"/>
              </w:rPr>
            </w:pPr>
          </w:p>
        </w:tc>
        <w:tc>
          <w:tcPr>
            <w:tcW w:w="116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3"/>
                <w:szCs w:val="13"/>
                <w:color w:val="auto"/>
              </w:rPr>
            </w:pP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4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4.2 years</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112,400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91,378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12.9 years</w:t>
            </w:r>
          </w:p>
        </w:tc>
        <w:tc>
          <w:tcPr>
            <w:tcW w:w="5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80,200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72,454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4.7 years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16,742</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13,012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Website content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3.0 years</w:t>
            </w:r>
          </w:p>
        </w:tc>
        <w:tc>
          <w:tcPr>
            <w:tcW w:w="5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24,900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3.0 years</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4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234,498</w:t>
            </w: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(38,941)</w:t>
            </w:r>
          </w:p>
        </w:tc>
        <w:tc>
          <w:tcPr>
            <w:tcW w:w="4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195,557</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8"/>
        </w:trPr>
        <w:tc>
          <w:tcPr>
            <w:tcW w:w="51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500" w:type="dxa"/>
            <w:vAlign w:val="bottom"/>
          </w:tcPr>
          <w:p>
            <w:pPr>
              <w:spacing w:after="0"/>
              <w:rPr>
                <w:sz w:val="24"/>
                <w:szCs w:val="24"/>
                <w:color w:val="auto"/>
              </w:rPr>
            </w:pPr>
          </w:p>
        </w:tc>
        <w:tc>
          <w:tcPr>
            <w:tcW w:w="116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24"/>
                <w:szCs w:val="24"/>
                <w:color w:val="auto"/>
              </w:rPr>
            </w:pP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40" w:type="dxa"/>
            <w:vAlign w:val="bottom"/>
          </w:tcPr>
          <w:p>
            <w:pPr>
              <w:spacing w:after="0"/>
              <w:rPr>
                <w:sz w:val="24"/>
                <w:szCs w:val="24"/>
                <w:color w:val="auto"/>
              </w:rPr>
            </w:pPr>
          </w:p>
        </w:tc>
        <w:tc>
          <w:tcPr>
            <w:tcW w:w="11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4.2 years</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28,806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11.3 years</w:t>
            </w:r>
          </w:p>
        </w:tc>
        <w:tc>
          <w:tcPr>
            <w:tcW w:w="5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33,100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4.5 years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6,942</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 leases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3.3 years</w:t>
            </w:r>
          </w:p>
        </w:tc>
        <w:tc>
          <w:tcPr>
            <w:tcW w:w="5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1,362</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Website content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3.0 years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7,800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3.0 years</w:t>
            </w:r>
          </w:p>
        </w:tc>
        <w:tc>
          <w:tcPr>
            <w:tcW w:w="5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1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86,960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(15,977)</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70,983</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7—Assets Held for Sale for tenant leases classified as held for sale during the fourth quarter of 2018.</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Amortization of intangible assets with definite lives is computed on a straight-line basis and, based on balances as of December 31, 2018, future amortization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49"/>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2019</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45,774</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2020</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42,819</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2021</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32,479</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2022</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24,255</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2023</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8,442</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41,788</w:t>
            </w:r>
          </w:p>
        </w:tc>
      </w:tr>
      <w:tr>
        <w:trPr>
          <w:trHeight w:val="27"/>
        </w:trPr>
        <w:tc>
          <w:tcPr>
            <w:tcW w:w="9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195,557</w:t>
            </w:r>
          </w:p>
        </w:tc>
      </w:tr>
      <w:tr>
        <w:trPr>
          <w:trHeight w:val="27"/>
        </w:trPr>
        <w:tc>
          <w:tcPr>
            <w:tcW w:w="99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8—Business Acquisitions for a discussion of the 2018 and 2017 acquisitions and associated intangibles.</w:t>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7"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7—ASSETS HELD FOR SALE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2016, the Company acquired two office buildings in Charlotte, North Carolina for $23.5 million in cash, which included $0.1 million in acquisition-related costs which were capitalized. The buildings were acquired with the intent to use such buildings as the Company's corporate headquarters and rent any unused space. The acquisition was accounted for as an asset purchase and the allocation of the purchase price to the assets acquired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9"/>
        </w:trPr>
        <w:tc>
          <w:tcPr>
            <w:tcW w:w="8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222"/>
        </w:trPr>
        <w:tc>
          <w:tcPr>
            <w:tcW w:w="8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 Life</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5,818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w:t>
            </w:r>
          </w:p>
        </w:tc>
        <w:tc>
          <w:tcPr>
            <w:tcW w:w="24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14,679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years</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Site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950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years</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 leases</w:t>
            </w:r>
          </w:p>
        </w:tc>
        <w:tc>
          <w:tcPr>
            <w:tcW w:w="24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2,029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years</w:t>
            </w:r>
          </w:p>
        </w:tc>
      </w:tr>
      <w:tr>
        <w:trPr>
          <w:trHeight w:val="27"/>
        </w:trPr>
        <w:tc>
          <w:tcPr>
            <w:tcW w:w="8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purchase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23,476</w:t>
            </w:r>
          </w:p>
        </w:tc>
        <w:tc>
          <w:tcPr>
            <w:tcW w:w="1580" w:type="dxa"/>
            <w:vAlign w:val="bottom"/>
            <w:tcBorders>
              <w:bottom w:val="single" w:sz="8" w:color="CCEEFF"/>
            </w:tcBorders>
            <w:shd w:val="clear" w:color="auto" w:fill="CCEEFF"/>
          </w:tcPr>
          <w:p>
            <w:pPr>
              <w:spacing w:after="0"/>
              <w:rPr>
                <w:sz w:val="21"/>
                <w:szCs w:val="21"/>
                <w:color w:val="auto"/>
              </w:rPr>
            </w:pPr>
          </w:p>
        </w:tc>
      </w:tr>
      <w:tr>
        <w:trPr>
          <w:trHeight w:val="27"/>
        </w:trPr>
        <w:tc>
          <w:tcPr>
            <w:tcW w:w="8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November 2018, the Company's Board of Directors approved a plan to sell the two office buildings. The properties are expected to be sold in 2019 to an unrelated third-party and are classified as current assets held for sale in the consolidated balance sheet for December 31, 2018. In February 2019, the Company agreed to sell these buildings to an unrelated third party. For additional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22—Subsequent Events. These properties are associated with the Company's one reportable segment.</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Property and equipment classified as held for sale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0" w:type="dxa"/>
            <w:vAlign w:val="bottom"/>
            <w:tcBorders>
              <w:bottom w:val="single" w:sz="8" w:color="CCEEFF"/>
            </w:tcBorders>
          </w:tcPr>
          <w:p>
            <w:pPr>
              <w:spacing w:after="0"/>
              <w:rPr>
                <w:sz w:val="16"/>
                <w:szCs w:val="16"/>
                <w:color w:val="auto"/>
              </w:rPr>
            </w:pPr>
          </w:p>
        </w:tc>
        <w:tc>
          <w:tcPr>
            <w:tcW w:w="98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5,818</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14,984</w:t>
            </w: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Site improvements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950</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 and capitalized software</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gross property and equipment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22,063</w:t>
            </w: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37"/>
        </w:trPr>
        <w:tc>
          <w:tcPr>
            <w:tcW w:w="20" w:type="dxa"/>
            <w:vAlign w:val="bottom"/>
            <w:tcBorders>
              <w:top w:val="single" w:sz="8" w:color="auto"/>
            </w:tcBorders>
          </w:tcPr>
          <w:p>
            <w:pPr>
              <w:spacing w:after="0"/>
              <w:rPr>
                <w:sz w:val="20"/>
                <w:szCs w:val="20"/>
                <w:color w:val="auto"/>
              </w:rPr>
            </w:pPr>
          </w:p>
        </w:tc>
        <w:tc>
          <w:tcPr>
            <w:tcW w:w="9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20,785</w:t>
            </w:r>
          </w:p>
        </w:tc>
      </w:tr>
      <w:tr>
        <w:trPr>
          <w:trHeight w:val="34"/>
        </w:trPr>
        <w:tc>
          <w:tcPr>
            <w:tcW w:w="2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78"/>
        </w:trPr>
        <w:tc>
          <w:tcPr>
            <w:tcW w:w="20" w:type="dxa"/>
            <w:vAlign w:val="bottom"/>
          </w:tcPr>
          <w:p>
            <w:pPr>
              <w:spacing w:after="0"/>
              <w:rPr>
                <w:sz w:val="24"/>
                <w:szCs w:val="24"/>
                <w:color w:val="auto"/>
              </w:rPr>
            </w:pPr>
          </w:p>
        </w:tc>
        <w:tc>
          <w:tcPr>
            <w:tcW w:w="9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xml:space="preserve">Intangible assets classified as held for sale relate to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08"/>
        </w:trPr>
        <w:tc>
          <w:tcPr>
            <w:tcW w:w="20" w:type="dxa"/>
            <w:vAlign w:val="bottom"/>
          </w:tcPr>
          <w:p>
            <w:pPr>
              <w:spacing w:after="0"/>
              <w:rPr>
                <w:sz w:val="24"/>
                <w:szCs w:val="24"/>
                <w:color w:val="auto"/>
              </w:rPr>
            </w:pPr>
          </w:p>
        </w:tc>
        <w:tc>
          <w:tcPr>
            <w:tcW w:w="98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20" w:type="dxa"/>
            <w:vAlign w:val="bottom"/>
          </w:tcPr>
          <w:p>
            <w:pPr>
              <w:spacing w:after="0"/>
              <w:rPr>
                <w:sz w:val="21"/>
                <w:szCs w:val="21"/>
                <w:color w:val="auto"/>
              </w:rPr>
            </w:pPr>
          </w:p>
        </w:tc>
        <w:tc>
          <w:tcPr>
            <w:tcW w:w="9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961</w:t>
            </w:r>
          </w:p>
        </w:tc>
      </w:tr>
      <w:tr>
        <w:trPr>
          <w:trHeight w:val="243"/>
        </w:trPr>
        <w:tc>
          <w:tcPr>
            <w:tcW w:w="20" w:type="dxa"/>
            <w:vAlign w:val="bottom"/>
          </w:tcPr>
          <w:p>
            <w:pPr>
              <w:spacing w:after="0"/>
              <w:rPr>
                <w:sz w:val="21"/>
                <w:szCs w:val="21"/>
                <w:color w:val="auto"/>
              </w:rPr>
            </w:pPr>
          </w:p>
        </w:tc>
        <w:tc>
          <w:tcPr>
            <w:tcW w:w="9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intangible assets</w:t>
            </w:r>
          </w:p>
        </w:tc>
        <w:tc>
          <w:tcPr>
            <w:tcW w:w="1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961</w:t>
            </w: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9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7"/>
        </w:trPr>
        <w:tc>
          <w:tcPr>
            <w:tcW w:w="20" w:type="dxa"/>
            <w:vAlign w:val="bottom"/>
          </w:tcPr>
          <w:p>
            <w:pPr>
              <w:spacing w:after="0"/>
              <w:rPr>
                <w:sz w:val="20"/>
                <w:szCs w:val="20"/>
                <w:color w:val="auto"/>
              </w:rPr>
            </w:pPr>
          </w:p>
        </w:tc>
        <w:tc>
          <w:tcPr>
            <w:tcW w:w="99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493</w:t>
            </w:r>
          </w:p>
        </w:tc>
      </w:tr>
      <w:tr>
        <w:trPr>
          <w:trHeight w:val="34"/>
        </w:trPr>
        <w:tc>
          <w:tcPr>
            <w:tcW w:w="20" w:type="dxa"/>
            <w:vAlign w:val="bottom"/>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59"/>
        </w:trPr>
        <w:tc>
          <w:tcPr>
            <w:tcW w:w="9900" w:type="dxa"/>
            <w:vAlign w:val="bottom"/>
            <w:gridSpan w:val="2"/>
          </w:tcPr>
          <w:p>
            <w:pPr>
              <w:jc w:val="right"/>
              <w:ind w:right="403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Future rental income from the building tenants as of December 31, 2018 under operating lease agreements having an initial or remaining non-cancelable lease term in excess of one year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432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4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657</w:t>
            </w:r>
          </w:p>
        </w:tc>
      </w:tr>
      <w:tr>
        <w:trPr>
          <w:trHeight w:val="24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4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673</w:t>
            </w:r>
          </w:p>
        </w:tc>
      </w:tr>
      <w:tr>
        <w:trPr>
          <w:trHeight w:val="27"/>
        </w:trPr>
        <w:tc>
          <w:tcPr>
            <w:tcW w:w="5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4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r>
      <w:tr>
        <w:trPr>
          <w:trHeight w:val="24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4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5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4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4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1,779</w:t>
            </w:r>
          </w:p>
        </w:tc>
      </w:tr>
      <w:tr>
        <w:trPr>
          <w:trHeight w:val="27"/>
        </w:trPr>
        <w:tc>
          <w:tcPr>
            <w:tcW w:w="5920" w:type="dxa"/>
            <w:vAlign w:val="bottom"/>
            <w:shd w:val="clear" w:color="auto" w:fill="000000"/>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Rental income of $0.9 million in 2018 and $1.6 million in 2017 is included in other income on the accompanying consolidated statement of operations and comprehensive income.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8—BUSINESS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2018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QuoteWizard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31, 2018, the Company acquired QuoteWizard.com, LLC ("QuoteWizard"), one of the largest insurance comparison marketplaces in the growing online insurance advertising market. QuoteWizard services clients by driving consumers to insurance companies’ websites, providing leads to agents and carriers, as well as phone transfers of consumers into carrier call centers.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paid $299.9 million in initial cash consideration, funded through $174.9 million of cash on hand and $125.0 million drawn on the Revolving Credit Facility (defined below), and could make up to three additional earnout payments, each ranging from zero to $23.4 million, based on certain defined operating results during the earnout periods November 1, 2018 through October 31, 2019, November 1, 2019 through October 31, 2020, and November 1, 2020 through October 31, 2021. These additional payments, to the extent earned, will be payable in cash. The Company has estimated a preliminary purchase price of $313.3 million, comprised of the upfront cash payment of $299.9 million, $13.9 million for the estimated fair value of the earnout payments, and an estimated $0.5 million post-closing reduction to working capital.</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2018, the estimated fair value of the contingent consideration totaled $20.7 million, which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2018, the Company recorded $6.8 million of contingent consideration expense in the consolidated statement of operations and comprehensive income due to the change in estimated fair value of the contingent consideration.</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The preliminary allocation of purchase price to the assets acquired and liabilities assumed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Preliminary Fair Value</w:t>
            </w:r>
          </w:p>
        </w:tc>
      </w:tr>
      <w:tr>
        <w:trPr>
          <w:trHeight w:val="33"/>
        </w:trPr>
        <w:tc>
          <w:tcPr>
            <w:tcW w:w="410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working capital</w:t>
            </w:r>
          </w:p>
        </w:tc>
        <w:tc>
          <w:tcPr>
            <w:tcW w:w="5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8,535</w:t>
            </w: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assets</w:t>
            </w:r>
          </w:p>
        </w:tc>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1,501</w:t>
            </w:r>
          </w:p>
        </w:tc>
      </w:tr>
      <w:tr>
        <w:trPr>
          <w:trHeight w:val="27"/>
        </w:trPr>
        <w:tc>
          <w:tcPr>
            <w:tcW w:w="4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5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120,400</w:t>
            </w: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182,863</w:t>
            </w:r>
          </w:p>
        </w:tc>
      </w:tr>
      <w:tr>
        <w:trPr>
          <w:trHeight w:val="27"/>
        </w:trPr>
        <w:tc>
          <w:tcPr>
            <w:tcW w:w="4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5"/>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4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preliminary purchase price</w:t>
            </w:r>
          </w:p>
        </w:tc>
        <w:tc>
          <w:tcPr>
            <w:tcW w:w="53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313,316</w:t>
            </w:r>
          </w:p>
        </w:tc>
      </w:tr>
      <w:tr>
        <w:trPr>
          <w:trHeight w:val="34"/>
        </w:trPr>
        <w:tc>
          <w:tcPr>
            <w:tcW w:w="410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459"/>
        </w:trPr>
        <w:tc>
          <w:tcPr>
            <w:tcW w:w="4100" w:type="dxa"/>
            <w:vAlign w:val="bottom"/>
          </w:tcPr>
          <w:p>
            <w:pPr>
              <w:spacing w:after="0"/>
              <w:rPr>
                <w:sz w:val="24"/>
                <w:szCs w:val="24"/>
                <w:color w:val="auto"/>
              </w:rPr>
            </w:pPr>
          </w:p>
        </w:tc>
        <w:tc>
          <w:tcPr>
            <w:tcW w:w="5160" w:type="dxa"/>
            <w:vAlign w:val="bottom"/>
          </w:tcPr>
          <w:p>
            <w:pPr>
              <w:jc w:val="right"/>
              <w:ind w:right="337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acquired intangible assets are definite-lived assets consisting of developed technology, customer relationships, content and trademarks and tradenames. The estimated fair values of the developed technology were determined using excess earnings analysis, the customer relationships were determined using the distributor method, the content was determined using cost replacement analysis, and the trademarks and tradenames were determined using relief from royalty analysis. The fair value of the intangible assets with definite lives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Preliminary Fair Value</w:t>
            </w:r>
          </w:p>
        </w:tc>
        <w:tc>
          <w:tcPr>
            <w:tcW w:w="20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68,900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200" w:type="dxa"/>
            <w:vAlign w:val="bottom"/>
          </w:tcPr>
          <w:p>
            <w:pPr>
              <w:spacing w:after="0"/>
              <w:rPr>
                <w:sz w:val="21"/>
                <w:szCs w:val="21"/>
                <w:color w:val="auto"/>
              </w:rPr>
            </w:pPr>
          </w:p>
        </w:tc>
        <w:tc>
          <w:tcPr>
            <w:tcW w:w="21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42,700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years</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Content</w:t>
            </w: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00" w:type="dxa"/>
            <w:vAlign w:val="bottom"/>
          </w:tcPr>
          <w:p>
            <w:pPr>
              <w:spacing w:after="0"/>
              <w:rPr>
                <w:sz w:val="21"/>
                <w:szCs w:val="21"/>
                <w:color w:val="auto"/>
              </w:rPr>
            </w:pPr>
          </w:p>
        </w:tc>
        <w:tc>
          <w:tcPr>
            <w:tcW w:w="21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7,800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7"/>
        </w:trPr>
        <w:tc>
          <w:tcPr>
            <w:tcW w:w="7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120,400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 years</w:t>
            </w:r>
          </w:p>
        </w:tc>
      </w:tr>
      <w:tr>
        <w:trPr>
          <w:trHeight w:val="27"/>
        </w:trPr>
        <w:tc>
          <w:tcPr>
            <w:tcW w:w="70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has not completed its determination of the final purchase price or the final allocation of the purchase price to the assets and liabilities of the acquisition. The purchase price and final allocation of purchase price is expected to be finalized in the first quarter of 2019. Any adjustment to the preliminary purchase price or the assets and liabilities assumed with the acquisition will adjust goodwill.</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preliminary goodwill of $182.9 million, which represents the excess of the purchase price over the estimated fair value of tangible and intangible assets acquired, net of the liabilities assumed. The goodwill is primarily attributable to QuoteWizard as a going concern, which represents the ability of the Company to earn a higher return on the collection of assets and business of QuoteWizard than if those assets and business were to be acquired and managed separately. The benefit of access to the workforce is an additional element of goodwill. The goodwill is recorded in the Company’s one reportable segment. For income tax purposes, the acquisition was an asset purchase and the goodwill will be tax deductible.</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acquisition date, the Company’s consolidated results of operations include the results of the acquired QuoteWizard business. In 2018, revenue of $31.3 million and net income from continuing operations of $2.2 million, which excludes any contingent consideration expense associated with the acquisition, have been included in the Company’s consolidated results of operations. Acquisition-related costs were $4.8 million in 2018 and are included in general and administrative expense on the consolidated statement of operations and comprehensive income.</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results for the years ended December 31, 2018 and 2017 below combine the consolidated results of the Company and QuoteWizard, giving effect to the acquisition as if it had been completed on January 1, 2017. This unaudited pro forma financial information is presented for informational purposes only and is not indicative of future operations or results had the acquisition been completed as of January 1, 2017, or any other date.</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financial results include adjustments for additional amortization expense based on the fair value of the intangible assets with definite lives and their estimated useful lives, as well as changes in depreciation expense associated with the change in fair value of the property, plant and equipment recorded in relation to the acquisition. Interest expense was adjusted to eliminate historical interest associated with QuoteWizard's revolving credit facility and notes payable that were not assumed with the acquisition, as well as reflect incremental interest expense associated with debt issued to finance the acquisition. The provision for income taxes from continuing operations has also been adjusted to reflect taxes on the historical results of operations of QuoteWizard. QuoteWizard did not pay taxes at the entity level as it was a limited liability company whose members elected for it to be taxed as a partnership.</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2018</w:t>
            </w:r>
          </w:p>
        </w:tc>
        <w:tc>
          <w:tcPr>
            <w:tcW w:w="500" w:type="dxa"/>
            <w:vAlign w:val="bottom"/>
          </w:tcPr>
          <w:p>
            <w:pPr>
              <w:spacing w:after="0"/>
              <w:rPr>
                <w:sz w:val="18"/>
                <w:szCs w:val="18"/>
                <w:color w:val="auto"/>
              </w:rPr>
            </w:pPr>
          </w:p>
        </w:tc>
        <w:tc>
          <w:tcPr>
            <w:tcW w:w="8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w w:val="99"/>
              </w:rPr>
              <w:t>2017</w:t>
            </w:r>
          </w:p>
        </w:tc>
      </w:tr>
      <w:tr>
        <w:trPr>
          <w:trHeight w:val="33"/>
        </w:trPr>
        <w:tc>
          <w:tcPr>
            <w:tcW w:w="4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5"/>
        </w:trPr>
        <w:tc>
          <w:tcPr>
            <w:tcW w:w="46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21"/>
                <w:szCs w:val="21"/>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revenue</w:t>
            </w:r>
          </w:p>
        </w:tc>
        <w:tc>
          <w:tcPr>
            <w:tcW w:w="4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900,978</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701,184</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income from continuing operations</w:t>
            </w:r>
          </w:p>
        </w:tc>
        <w:tc>
          <w:tcPr>
            <w:tcW w:w="4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110,015</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1,164</w:t>
            </w:r>
          </w:p>
        </w:tc>
      </w:tr>
      <w:tr>
        <w:trPr>
          <w:trHeight w:val="27"/>
        </w:trPr>
        <w:tc>
          <w:tcPr>
            <w:tcW w:w="46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53"/>
        </w:trPr>
        <w:tc>
          <w:tcPr>
            <w:tcW w:w="4620" w:type="dxa"/>
            <w:vAlign w:val="bottom"/>
          </w:tcPr>
          <w:p>
            <w:pPr>
              <w:spacing w:after="0"/>
              <w:rPr>
                <w:sz w:val="24"/>
                <w:szCs w:val="24"/>
                <w:color w:val="auto"/>
              </w:rPr>
            </w:pPr>
          </w:p>
        </w:tc>
        <w:tc>
          <w:tcPr>
            <w:tcW w:w="428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net income from continuing operations in 2018 includes the aggregate after tax contingent consideration expense associated with the QuoteWizard earnout of $4.9 million. The unaudited pro forma net income from continuing operations for 2017 has been adjusted to include acquisition-related costs of $5.9 million incurred by the Company and QuoteWizard that are directly attributable to the acquisition, which will not have an ongoing impact. Accordingly, these acquisition-related costs have been eliminated from the unaudited pro forma net income from continuing operations for 2018.</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Student Loan Hero</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23, 2018, the Company acquired Student Loan Hero, Inc., a personal finance website dedicated to helping student loan borrowers manage their student debt. Student Loan Hero offers current and former students in-depth financial comparison tools, educational resources, and unbiased, personalized advice. The Company made an upfront cash payment of $60.7 million at the closing of the transaction, of which $2.3 million was recognized as severance expense in the Company's consolidated statements of operations and comprehensive income. The purchase price of $60.4 million is comprised of the upfront cash payment of $60.7 million less the $2.3 million recognized as severance expense, and a $2.0 million post-closing payment for working capital settlement.</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During 2018, the Company completed the determination of the final allocation of purchase price to the assets acquired and liabilities assumed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9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working capital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5,429</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19,600</w:t>
            </w:r>
          </w:p>
        </w:tc>
      </w:tr>
      <w:tr>
        <w:trPr>
          <w:trHeight w:val="27"/>
        </w:trPr>
        <w:tc>
          <w:tcPr>
            <w:tcW w:w="9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40,856</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r>
      <w:tr>
        <w:trPr>
          <w:trHeight w:val="27"/>
        </w:trPr>
        <w:tc>
          <w:tcPr>
            <w:tcW w:w="9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60,418</w:t>
            </w:r>
          </w:p>
        </w:tc>
      </w:tr>
      <w:tr>
        <w:trPr>
          <w:trHeight w:val="27"/>
        </w:trPr>
        <w:tc>
          <w:tcPr>
            <w:tcW w:w="9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acquired intangible assets are definite-lived assets consisting of content, customer relationships and trademarks and tradenames. The estimated fair values of the content was determined using excess earnings analysis, the customer relationships were determined using the distributor method and the trademarks and tradenames were determined using relief from royalty analysis. The fair value of the intangible assets with definite lives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70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20" w:type="dxa"/>
            <w:vAlign w:val="bottom"/>
          </w:tcPr>
          <w:p>
            <w:pPr>
              <w:spacing w:after="0"/>
              <w:rPr>
                <w:sz w:val="18"/>
                <w:szCs w:val="18"/>
                <w:color w:val="auto"/>
              </w:rPr>
            </w:pPr>
          </w:p>
        </w:tc>
        <w:tc>
          <w:tcPr>
            <w:tcW w:w="20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Content</w:t>
            </w:r>
          </w:p>
        </w:tc>
        <w:tc>
          <w:tcPr>
            <w:tcW w:w="1520" w:type="dxa"/>
            <w:vAlign w:val="bottom"/>
            <w:tcBorders>
              <w:bottom w:val="single" w:sz="8" w:color="CCEEFF"/>
            </w:tcBorders>
            <w:shd w:val="clear" w:color="auto" w:fill="CCEEFF"/>
          </w:tcPr>
          <w:p>
            <w:pPr>
              <w:jc w:val="right"/>
              <w:ind w:right="13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16,100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1520" w:type="dxa"/>
            <w:vAlign w:val="bottom"/>
          </w:tcPr>
          <w:p>
            <w:pPr>
              <w:spacing w:after="0"/>
              <w:rPr>
                <w:sz w:val="21"/>
                <w:szCs w:val="21"/>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2,500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7"/>
        </w:trPr>
        <w:tc>
          <w:tcPr>
            <w:tcW w:w="7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7"/>
        </w:trPr>
        <w:tc>
          <w:tcPr>
            <w:tcW w:w="7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520" w:type="dxa"/>
            <w:vAlign w:val="bottom"/>
            <w:tcBorders>
              <w:top w:val="single" w:sz="8" w:color="auto"/>
            </w:tcBorders>
          </w:tcPr>
          <w:p>
            <w:pPr>
              <w:jc w:val="right"/>
              <w:ind w:right="1313"/>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19,600</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 years</w:t>
            </w:r>
          </w:p>
        </w:tc>
      </w:tr>
      <w:tr>
        <w:trPr>
          <w:trHeight w:val="34"/>
        </w:trPr>
        <w:tc>
          <w:tcPr>
            <w:tcW w:w="7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goodwill of $40.9 million, which represents the excess of the purchase price over the estimated fair value of tangible and intangible assets acquired, net of the liabilities assumed. The goodwill is primarily attributable to Student Loan Hero as a going concern, which represents the ability of the Company to earn a higher return on the collection of assets and business of Student Loan Hero than if those assets and business were to be acquired and managed separately. The benefit of access to the workforce is an additional element of goodwill. The goodwill is recorded in the Company’s one reportable segment. For income tax purposes, the acquisition was an equity purchase and the goodwill will not be tax deductible. Acquisition-related costs were $0.5 million in 2018 and are included in general and administrative expense on the consolidated statement of operations and comprehensive income.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7"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11, 2018, the Company acquired Ovation Credit Services, Inc., a leading provider of credit services with a strong customer service reputation.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paid $12.2 million in initial cash consideration and could make up to two additional earnout payments, each ranging from zero to $4.375 million, based on certain defined operating metrics during the earnout periods July 1, 2018 through June 30, 2019 and July 1, 2019 through June 30, 2020. These additional payments, to the extent earned, will be payable in cash. The purchase price of $17.9 million is comprised of the upfront cash payment of $12.2 million, $5.8 million for the estimated fair value of the earnout payments, and a $0.1 million post-closing receipt for working capital settlement.</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2018, the estimated fair value of the contingent consideration totaled $7.4 million, of which $4.1 million is included in current contingent consideration and $3.3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2018, the Company recorded $1.6 million of contingent consideration expense in the consolidated statement of operations and comprehensive income due to the change in estimated fair value of the contingent consideration.</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The preliminary allocation of purchase price to the assets acquired and liabilities assumed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Preliminary Fair Value</w:t>
            </w:r>
          </w:p>
        </w:tc>
      </w:tr>
      <w:tr>
        <w:trPr>
          <w:trHeight w:val="33"/>
        </w:trPr>
        <w:tc>
          <w:tcPr>
            <w:tcW w:w="9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working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assets</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8,900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11,260</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37"/>
        </w:trPr>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17,871</w:t>
            </w:r>
          </w:p>
        </w:tc>
      </w:tr>
      <w:tr>
        <w:trPr>
          <w:trHeight w:val="34"/>
        </w:trPr>
        <w:tc>
          <w:tcPr>
            <w:tcW w:w="9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acquired intangible assets are definite-lived assets consisting of developed technology, customer relationships and trademarks and tradenames. The estimated fair values of the developed technology were determined using excess earnings analysis, the customer relationships were determined using cost savings analysis and the trademarks and tradenames were determined using relief from royalty analysis. The fair value of the intangible assets with definite lives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708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780" w:type="dxa"/>
            <w:vAlign w:val="bottom"/>
          </w:tcPr>
          <w:p>
            <w:pPr>
              <w:spacing w:after="0"/>
              <w:rPr>
                <w:sz w:val="18"/>
                <w:szCs w:val="18"/>
                <w:color w:val="auto"/>
              </w:rPr>
            </w:pPr>
          </w:p>
        </w:tc>
        <w:tc>
          <w:tcPr>
            <w:tcW w:w="20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1560" w:type="dxa"/>
            <w:vAlign w:val="bottom"/>
            <w:tcBorders>
              <w:bottom w:val="single" w:sz="8" w:color="CCEEFF"/>
            </w:tcBorders>
            <w:shd w:val="clear" w:color="auto" w:fill="CCEEFF"/>
          </w:tcPr>
          <w:p>
            <w:pPr>
              <w:jc w:val="right"/>
              <w:ind w:right="13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15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1,900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7"/>
        </w:trPr>
        <w:tc>
          <w:tcPr>
            <w:tcW w:w="7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5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37"/>
        </w:trPr>
        <w:tc>
          <w:tcPr>
            <w:tcW w:w="7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560" w:type="dxa"/>
            <w:vAlign w:val="bottom"/>
            <w:tcBorders>
              <w:top w:val="single" w:sz="8" w:color="auto"/>
            </w:tcBorders>
          </w:tcPr>
          <w:p>
            <w:pPr>
              <w:jc w:val="right"/>
              <w:ind w:right="1353"/>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8,900</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 years</w:t>
            </w:r>
          </w:p>
        </w:tc>
      </w:tr>
      <w:tr>
        <w:trPr>
          <w:trHeight w:val="34"/>
        </w:trPr>
        <w:tc>
          <w:tcPr>
            <w:tcW w:w="7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has not completed its determination of the final allocation of the purchase price to the assets and liabilities of the acquisition. The final allocation of purchase price is expected to be finalized in the first quarter of 2019. Any adjustment to the assets and liabilities assumed with the acquisition will adjust goodwill.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7"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preliminary goodwill of $11.3 million, which represents the excess of the purchase price over the estimated fair value of tangible and intangible assets acquired, net of the liabilities assumed. The goodwill is primarily attributable to Ovation as a going concern, which represents the ability of the Company to earn a higher return on the collection of assets and business of Ovation than if those assets and business were to be acquired and managed separately. The benefit of access to the workforce is an additional element of goodwill. The goodwill is recorded in the Company’s one reportable segment. For income tax purposes, the acquisition was an equity purchase and the goodwill will not be tax deductible. Acquisition-related costs were $0.4 million in 2018 and are included in general and administrative expense on the consolidated statement of operations and comprehensive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2017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SnapCap</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19, 2017, the Company acquired certain assets of Snap Capital LLC, which does business under the name SnapCap (“SnapCap”). SnapCap, a tech-enabled online platform, connects business owners with lenders offering small business loans, lines of credit and merchant cash advance products through a concierge-based sales approach. The Company paid $11.9 million of initial cash consideration and could make up to three additional contingent consideration payments, each ranging from zero to $3.0 million, based on certain defined operating results during the periods of October 1, 2017 through September 30, 2018, October 1, 2018 through September 30, 2019 and October 1, 2019 through March 31, 2020. These additional payments, to the extent earned, will be payable in cash. The purchase price for the acquisition is $18.2 million, comprised of the upfront cash payment of $11.9 million and $6.3 million for the estimated fair value of the contingent consideration.</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2018, the estimated fair value of the contingent consideration totaled $6.7 million, of which $3.0 million is included in current contingent consideration and $3.7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2018 and 2017, the Company recorded a gain of $0.3 million and expense of $0.7 million, respectively, in the consolidated statement of operations and comprehensive income due to the change in estimated fair value of the contingent consideration.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January 2019, the Company paid $3.0 million related to the earnout payment for the period of October 1, 2017 through September 30, 2018.</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During 2017, the Company completed the determination of the final allocation of purchase price to the assets acquired and liabilities assumed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working capital and other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assets</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4,300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13,738</w:t>
            </w:r>
          </w:p>
        </w:tc>
      </w:tr>
      <w:tr>
        <w:trPr>
          <w:trHeight w:val="27"/>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18,226</w:t>
            </w:r>
          </w:p>
        </w:tc>
      </w:tr>
      <w:tr>
        <w:trPr>
          <w:trHeight w:val="27"/>
        </w:trPr>
        <w:tc>
          <w:tcPr>
            <w:tcW w:w="9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acquired intangible assets are definite-lived assets consisting primarily of developed technology, customer relationships and trade name and trademarks. The estimated fair values of the developed technology were determined using cost savings analysis, the customer relationships were determined using the excess earnings analysis method and the trade name and trademarks were determined using relief from royalty analysis. The fair value of the intangible assets with definite lives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7" w:right="2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tcPr>
          <w:p>
            <w:pPr>
              <w:spacing w:after="0"/>
              <w:rPr>
                <w:sz w:val="13"/>
                <w:szCs w:val="13"/>
                <w:color w:val="auto"/>
              </w:rPr>
            </w:pPr>
          </w:p>
        </w:tc>
        <w:tc>
          <w:tcPr>
            <w:tcW w:w="17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126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7"/>
        </w:trPr>
        <w:tc>
          <w:tcPr>
            <w:tcW w:w="7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60" w:type="dxa"/>
            <w:vAlign w:val="bottom"/>
            <w:tcBorders>
              <w:top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4,300</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 years</w:t>
            </w:r>
          </w:p>
        </w:tc>
        <w:tc>
          <w:tcPr>
            <w:tcW w:w="0" w:type="dxa"/>
            <w:vAlign w:val="bottom"/>
          </w:tcPr>
          <w:p>
            <w:pPr>
              <w:spacing w:after="0"/>
              <w:rPr>
                <w:sz w:val="1"/>
                <w:szCs w:val="1"/>
                <w:color w:val="auto"/>
              </w:rPr>
            </w:pPr>
          </w:p>
        </w:tc>
      </w:tr>
      <w:tr>
        <w:trPr>
          <w:trHeight w:val="34"/>
        </w:trPr>
        <w:tc>
          <w:tcPr>
            <w:tcW w:w="7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goodwill of $13.7 million, which represents the excess of the purchase price over the estimated fair value of the intangible assets acquired. The goodwill is primarily attributable to SnapCap as a going concern which represents the ability of the Company to earn a higher return on the collection of assets and business of SnapCap than if those assets were to be acquired and managed separately. The benefit of access to the workforce is an additional element of goodwill. The goodwill is recorded in the Company’s one reportable segment. For income tax purposes, the acquisition was an asset purchase and the goodwill will be tax deductible. Acquisition-related costs were $0.3 million in 2017 and are included in general and administrative expense on the consolidated statement of operations and comprehensive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MagnifyMoney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20, 2017, the Company acquired the membership interests of Camino Del Avion (Delaware), LLC, which does business under the name MagnifyMoney (“MagnifyMoney”) for $29.6 million cash consideration at the closing of the transaction. Camino del Avion (Delaware), LLC was immediately merged with and into LendingTree, LLC following such acquisition. MagnifyMoney is a leading consumer-facing media property that offers editorial content, expert commentary, tools and resources to help consumers compare financial products and make informed financial decisions. The Company also acquired an option to purchase an affiliate in India, which provides technology and research support to MagnifyMoney under a services agreement, for an estimated fair value of $0.5 million at any time during the three years after the closing. This purchase option was exercised on December 31, 2018.</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Company issued two key employees of MagnifyMoney restricted stock unit awards for a total of 38,468 shares of Company common stock. In connection with the terms of the purchase option described above, the Company issued a further restricted stock unit award for 19,234 shares to a key employee of technology and research operations in India upon the exercise of the purchase option. The total value of these restricted stock unit awards was $10.0 million on June 20, 2017. All of these restricted stock units will vest, if at all, on the basis of performance conditions following the acquisition.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During 2017, the Company completed the determination of the final allocation of purchase price to the assets acquired and liabilities assumed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working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921</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9,700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23,784</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37"/>
        </w:trPr>
        <w:tc>
          <w:tcPr>
            <w:tcW w:w="9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29,592</w:t>
            </w:r>
          </w:p>
        </w:tc>
      </w:tr>
      <w:tr>
        <w:trPr>
          <w:trHeight w:val="34"/>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acquired intangible assets are definite-lived assets consisting primarily of content, developed technology, customer relationships and trade name and trademarks. The estimated fair values of the content was determined using excess earnings analysis, developed technology was determined using cost savings analysis, the customer relationships were determined using the distributor method and the trade name and trademarks were determined using relief from royalty analysis.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7"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fair value of the intangible assets with definite lives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tcPr>
          <w:p>
            <w:pPr>
              <w:spacing w:after="0"/>
              <w:rPr>
                <w:sz w:val="13"/>
                <w:szCs w:val="13"/>
                <w:color w:val="auto"/>
              </w:rPr>
            </w:pPr>
          </w:p>
        </w:tc>
        <w:tc>
          <w:tcPr>
            <w:tcW w:w="17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7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0" w:type="dxa"/>
            <w:vAlign w:val="bottom"/>
          </w:tcPr>
          <w:p>
            <w:pPr>
              <w:spacing w:after="0"/>
              <w:rPr>
                <w:sz w:val="1"/>
                <w:szCs w:val="1"/>
                <w:color w:val="auto"/>
              </w:rPr>
            </w:pPr>
          </w:p>
        </w:tc>
      </w:tr>
      <w:tr>
        <w:trPr>
          <w:trHeight w:val="24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40" w:type="dxa"/>
            <w:vAlign w:val="bottom"/>
            <w:tcBorders>
              <w:bottom w:val="single" w:sz="8" w:color="CCEEFF"/>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124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124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7"/>
        </w:trPr>
        <w:tc>
          <w:tcPr>
            <w:tcW w:w="7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40" w:type="dxa"/>
            <w:vAlign w:val="bottom"/>
            <w:tcBorders>
              <w:bottom w:val="single" w:sz="8" w:color="CCEEFF"/>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9,700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 years</w:t>
            </w:r>
          </w:p>
        </w:tc>
        <w:tc>
          <w:tcPr>
            <w:tcW w:w="0" w:type="dxa"/>
            <w:vAlign w:val="bottom"/>
          </w:tcPr>
          <w:p>
            <w:pPr>
              <w:spacing w:after="0"/>
              <w:rPr>
                <w:sz w:val="1"/>
                <w:szCs w:val="1"/>
                <w:color w:val="auto"/>
              </w:rPr>
            </w:pPr>
          </w:p>
        </w:tc>
      </w:tr>
      <w:tr>
        <w:trPr>
          <w:trHeight w:val="27"/>
        </w:trPr>
        <w:tc>
          <w:tcPr>
            <w:tcW w:w="77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goodwill of $23.8 million, which represents the excess of the purchase price over the estimated fair value of the tangible and intangible assets acquired, net of the liabilities assumed. The goodwill is primarily attributable to MagnifyMoney as a going concern which represents the ability of the Company to earn a higher return on the collection of assets and business of MagnifyMoney than if those assets were to be acquired and managed separately. The benefit of access to the workforce is an additional element of goodwill. The goodwill is recorded in the Company’s one reportable segment. For income tax purposes, the acquisition was an equity purchase and the goodwill will not be tax deductible. Acquisition-related costs were $0.4 million in 2017 and are included in general and administrative expense on the consolidated statement of operations and comprehensive income.</w:t>
      </w:r>
    </w:p>
    <w:p>
      <w:pPr>
        <w:spacing w:after="0" w:line="13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Prior to exercising the purchase option to acquire technology and support operations in India on December 31, 2018, the Company determined that this was a variable interest entity which must be consolidated for financial reporting. The Company recorded the assets, liabilities and non-controlling interest in this entity at their estimated fair value as of December 31, 2017.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DepositAccounts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14, 2017, the Company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paid $24.0 million of initial cash consideration and could make additional contingent consideration payments of up to $9.0 million. The potential contingent consideration payments are comprised of (i) up to seven payments of $1.0 million each based on specified increases in Federal Funds interest rates during the period commencing on the closing date and ending on June 30, 2020 and (ii) a one-time performance payment of up to $2.0 million based on the net revenue of deposit products during the period of January 1, 2018 through December 31, 2018. These additional payments, to the extent earned, will be payable in cash. The purchase price for the acquisition is $29.0 million, comprised of the upfront cash payment of $24.0 million and $5.0 million for the estimated fair value of the contingent consideration at the time of closing the acquisition.</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third quarter of 2017, the Company made a payment of $1.0 million associated with a specified increase in the Federal Funds rate in June 2017. In each of the four quarters of 2018, the Company paid $1.0 million associated with specified increases in the Federal Funds rate in December 2017, March 2018, June 2018 and September 2018, respectively, which are included within cash flows from financing activities on the consolidated statement of cash flows, except for an immaterial portion of the fourth quarter payment included within cash flows from operating activities. As of December 31, 2018, the estimated fair value of the contingent consideration totaled $4.0 million, which is included in current contingent consideration in the accompanying consolidated balance sheet. The estimated fair value of the portion of the contingent consideration payments based on increases in interest rates is determined using a scenario approach based on the interest rate forecasts of Federal Open Market Committee participants. The estimated fair value of the portion of the contingent consideration payments potentially earned based on net revenue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each of 2018 and 2017, the Company recorded $2.0 million of contingent consideration expense in the consolidated statement of operations and comprehensive income due to the change in estimated fair value of the contingent consideration.</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January 2019, the Company paid $1.0 million associated with a specified increase in the Federal Funds rate in December 2018.</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7"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During 2017, the Company completed the determination of the final allocation of purchase price to the assets acquired and liabilities assumed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9,600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19,389</w:t>
            </w:r>
          </w:p>
        </w:tc>
      </w:tr>
      <w:tr>
        <w:trPr>
          <w:trHeight w:val="27"/>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28,989</w:t>
            </w:r>
          </w:p>
        </w:tc>
      </w:tr>
      <w:tr>
        <w:trPr>
          <w:trHeight w:val="27"/>
        </w:trPr>
        <w:tc>
          <w:tcPr>
            <w:tcW w:w="9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acquired intangible assets are definite-lived assets consisting primarily of developed technology, customer relationships and trade name and trademarks. The estimated fair values of the developed technology were determined using excess earnings analysis, the customer relationships were determined using the distributor method and the trade name and trademarks were determined using relief from royalty analysis. The fair value of the intangible assets with definite lives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tcPr>
          <w:p>
            <w:pPr>
              <w:spacing w:after="0"/>
              <w:rPr>
                <w:sz w:val="13"/>
                <w:szCs w:val="13"/>
                <w:color w:val="auto"/>
              </w:rPr>
            </w:pPr>
          </w:p>
        </w:tc>
        <w:tc>
          <w:tcPr>
            <w:tcW w:w="17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8,600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126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37"/>
        </w:trPr>
        <w:tc>
          <w:tcPr>
            <w:tcW w:w="7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60" w:type="dxa"/>
            <w:vAlign w:val="bottom"/>
            <w:tcBorders>
              <w:top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9,600</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 years</w:t>
            </w:r>
          </w:p>
        </w:tc>
        <w:tc>
          <w:tcPr>
            <w:tcW w:w="0" w:type="dxa"/>
            <w:vAlign w:val="bottom"/>
          </w:tcPr>
          <w:p>
            <w:pPr>
              <w:spacing w:after="0"/>
              <w:rPr>
                <w:sz w:val="1"/>
                <w:szCs w:val="1"/>
                <w:color w:val="auto"/>
              </w:rPr>
            </w:pPr>
          </w:p>
        </w:tc>
      </w:tr>
      <w:tr>
        <w:trPr>
          <w:trHeight w:val="34"/>
        </w:trPr>
        <w:tc>
          <w:tcPr>
            <w:tcW w:w="7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goodwill of $19.4 million, which represents the excess of the purchase price over the estimated fair value of the intangible assets acquired. The goodwill is primarily attributable to DepositAccounts as a going concern which represents the ability of the Company to earn a higher return on the collection of assets and business of DepositAccounts than if those assets were to be acquired and managed separately. The benefit of access to the workforce is an additional element of goodwill. The goodwill is recorded in the Company’s one reportable segment. For income tax purposes, the acquisition was an asset purchase and the goodwill will be tax deductible. Acquisition-related costs were $0.3 million in 2017 and are included in general and administrative expense on the consolidated statement of operations and comprehensive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2016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CompareCards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16, 2016, the Company acquired all of the membership interests of Iron Horse Holdings, LLC, which does business under the name CompareCards ("CompareCards"). CompareCards is an online marketing platform for credit cards, which the Company is utilizing to grow its existing credit card business. The Company paid $80.7 million in initial cash consideration and agreed to make two earnout payments, each up to $22.5 million, based on the amount of earnings before interest, taxes, depreciation and amortization CompareCards generates during the periods of January 1, 2017 through December 31, 2017 and January 1, 2018 through December 31, 2018, or up to $45.0 million in aggregate payments. The purchase price for the acquisition is $103.8 million comprised of an upfront cash payment of $80.7 million on November 16, 2016 and $23.1 million for the estimated fair value of the earnout payments at the time of closing the acquisition.</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first quarter of 2018, the Company paid $22.5 million related to the earnout payment for the period of January 1, 2017 through December 31, 2017, which is included within cash flows from financing activities on the consolidated statement of cash flows. In the second quarter of 2018, the Company paid $22.5 million related to the earnout payment for the period of January 1, 2018 through December 31, 2018, of which $0.6 million is included within cash flows from financing activities and $21.9 million is included within cash flows from operating activities on the consolidated statement of cash flows. During 2018 and 2017, the Company recorded $0.7 million and $21.2 million, respectively, of contingent consideration expense in the consolidated statement of operations and comprehensive income due to the change in estimated fair value of the earnout payments.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During 2017, the Company completed the determination of the final allocation of the purchase price with respect to the assets acquired and liabilities assumed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7"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6980" w:type="dxa"/>
            <w:vAlign w:val="bottom"/>
            <w:gridSpan w:val="2"/>
          </w:tcPr>
          <w:p>
            <w:pPr>
              <w:jc w:val="right"/>
              <w:ind w:right="2640"/>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tc>
        <w:tc>
          <w:tcPr>
            <w:tcW w:w="130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6980" w:type="dxa"/>
            <w:vAlign w:val="bottom"/>
            <w:gridSpan w:val="2"/>
          </w:tcPr>
          <w:p>
            <w:pPr>
              <w:jc w:val="right"/>
              <w:ind w:right="2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300" w:type="dxa"/>
            <w:vAlign w:val="bottom"/>
          </w:tcPr>
          <w:p>
            <w:pPr>
              <w:spacing w:after="0"/>
              <w:rPr>
                <w:sz w:val="20"/>
                <w:szCs w:val="20"/>
                <w:color w:val="auto"/>
              </w:rPr>
            </w:pPr>
          </w:p>
        </w:tc>
      </w:tr>
      <w:tr>
        <w:trPr>
          <w:trHeight w:val="684"/>
        </w:trPr>
        <w:tc>
          <w:tcPr>
            <w:tcW w:w="3140" w:type="dxa"/>
            <w:vAlign w:val="bottom"/>
            <w:tcBorders>
              <w:bottom w:val="single" w:sz="8" w:color="CCEEFF"/>
            </w:tcBorders>
          </w:tcPr>
          <w:p>
            <w:pPr>
              <w:spacing w:after="0"/>
              <w:rPr>
                <w:sz w:val="24"/>
                <w:szCs w:val="24"/>
                <w:color w:val="auto"/>
              </w:rPr>
            </w:pPr>
          </w:p>
        </w:tc>
        <w:tc>
          <w:tcPr>
            <w:tcW w:w="66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6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3,538</w:t>
            </w: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6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55,400</w:t>
            </w:r>
          </w:p>
        </w:tc>
      </w:tr>
      <w:tr>
        <w:trPr>
          <w:trHeight w:val="27"/>
        </w:trPr>
        <w:tc>
          <w:tcPr>
            <w:tcW w:w="31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6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52,450</w:t>
            </w: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6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r>
      <w:tr>
        <w:trPr>
          <w:trHeight w:val="27"/>
        </w:trPr>
        <w:tc>
          <w:tcPr>
            <w:tcW w:w="314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6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103,750</w:t>
            </w:r>
          </w:p>
        </w:tc>
      </w:tr>
      <w:tr>
        <w:trPr>
          <w:trHeight w:val="27"/>
        </w:trPr>
        <w:tc>
          <w:tcPr>
            <w:tcW w:w="3140" w:type="dxa"/>
            <w:vAlign w:val="bottom"/>
            <w:shd w:val="clear" w:color="auto" w:fill="000000"/>
          </w:tcPr>
          <w:p>
            <w:pPr>
              <w:spacing w:after="0"/>
              <w:rPr>
                <w:sz w:val="2"/>
                <w:szCs w:val="2"/>
                <w:color w:val="auto"/>
              </w:rPr>
            </w:pPr>
          </w:p>
        </w:tc>
        <w:tc>
          <w:tcPr>
            <w:tcW w:w="66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acquired intangible assets are definite-lived assets consisting primarily of developed technology, customer relationships, and trade name and trademarks. The estimated fair values of the developed technology was determined using excess earnings analysis, the customer relationships were determined using the distributor method and the trade name and trademarks were determined using relief from royalty analysis. The fair value of the intangible assets with definite lives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22"/>
        </w:trPr>
        <w:tc>
          <w:tcPr>
            <w:tcW w:w="7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Amortization Life</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27,900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340" w:type="dxa"/>
            <w:vAlign w:val="bottom"/>
          </w:tcPr>
          <w:p>
            <w:pPr>
              <w:spacing w:after="0"/>
              <w:rPr>
                <w:sz w:val="21"/>
                <w:szCs w:val="21"/>
                <w:color w:val="auto"/>
              </w:rPr>
            </w:pPr>
          </w:p>
        </w:tc>
        <w:tc>
          <w:tcPr>
            <w:tcW w:w="16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23,200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years</w:t>
            </w: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4,300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7"/>
        </w:trPr>
        <w:tc>
          <w:tcPr>
            <w:tcW w:w="7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55,400</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 years</w:t>
            </w:r>
          </w:p>
        </w:tc>
      </w:tr>
      <w:tr>
        <w:trPr>
          <w:trHeight w:val="34"/>
        </w:trPr>
        <w:tc>
          <w:tcPr>
            <w:tcW w:w="7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recorded goodwill of $52.5 million, which represents the excess of the purchase price over the estimated fair value of tangible and intangible assets acquired, net of the liabilities assumed. The goodwill is primarily attributable to CompareCards as a going concern, which represents the ability of the Company to earn a higher return on the collection of assets and business of CompareCards than if those assets and business were to be acquired and managed separately. The benefit of access to the work force is an additional relevant element of goodwill. The goodwill is recorded in the Company’s one reportable segment. For income tax purposes, the acquisition was an asset purchase and the goodwill will be tax deductible. Acquisition-related costs of $0.1 million and $0.4 million in 2017 and 2016, respectively, are included in general and administrative expense on the consolidated statement of operations and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SimpleTuition, Inc.</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31, 2016, the Company acquired certain assets of SimpleTuition, Inc. ("SimpleTuition"), a leading online marketing platform for student loans, for $5.0 million of cash consideration. Of the purchase price, $4.5 million was funded with available cash on hand and $0.5 million was held-back in satisfaction of any potential claims. The $0.5 million hold-back was paid in full in the second quarter of 2018.</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During 2016, the Company completed its determination of the final allocation of the purchase price with respect to the acquired assets. The Company has recorded the $5.0 million paid to the tangible and identifiable intangible assets based on their fair value, with the residual recorded to goodwill in the Company's one reportable segment. No liabilities were assumed. Acquisition-related costs were $0.1 million for 2016 and are included in general and administrative expense on the consolidated statements of operations and comprehensive income. The allocation of the purchase price to the assets acquired is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125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 with definite lives, net</w:t>
            </w:r>
          </w:p>
        </w:tc>
        <w:tc>
          <w:tcPr>
            <w:tcW w:w="3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4,500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years</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375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53"/>
        </w:trPr>
        <w:tc>
          <w:tcPr>
            <w:tcW w:w="4460" w:type="dxa"/>
            <w:vAlign w:val="bottom"/>
            <w:tcBorders>
              <w:top w:val="single" w:sz="8" w:color="auto"/>
            </w:tcBorders>
          </w:tcPr>
          <w:p>
            <w:pPr>
              <w:spacing w:after="0"/>
              <w:rPr>
                <w:sz w:val="24"/>
                <w:szCs w:val="24"/>
                <w:color w:val="auto"/>
              </w:rPr>
            </w:pPr>
          </w:p>
        </w:tc>
        <w:tc>
          <w:tcPr>
            <w:tcW w:w="3440" w:type="dxa"/>
            <w:vAlign w:val="bottom"/>
            <w:tcBorders>
              <w:top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purchase was an asset acquisition for income tax purposes and the Company will deduct the recognized goodwill for income tax purposes. The acquisition of SimpleTuition was not considered significant to the accompanying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Financial Results and Other Information</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financial results for the years ended December 31, 2018, 2017 and 2016 combine the consolidated results of the Company and CompareCards, DepositAccounts, MagnifyMoney, SnapCap, Ovation, Student Loan Hero and QuoteWizard, giving effect to the acquisitions as if the CompareCards acquisition had been completed on January 1, 2015, as if the DepositAccounts, MagnifyMoney and SnapCap acquisitions had been completed on January 1, 2016, and as if the Ovation, Student Loan Hero and QuoteWizard acquisitions had been completed on January 1, 2017. This unaudited pro forma financial information is presented for informational purposes only and is not indicative of future operations or results had the acquisitions been completed as of January 1, 2015, 2016 or 2017, or any other date.</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results include adjustments for additional amortization expense based on the fair value of the intangible assets with definite lives and their estimated useful lives. Depreciation expense and interest expense was also adjusted for the impact of the QuoteWizard acquisition, as described above. The provision for income taxes from continuing operations has been adjusted to reflect taxes on the historical results of operations of CompareCards, DepositAccounts, SnapCap and QuoteWizard. CompareCards, DepositAccounts, SnapCap and QuoteWizard did not pay taxes at the entity level as these entities were limited liability companies whose members elected for them to be taxed as a partnership.</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18"/>
                <w:szCs w:val="18"/>
                <w:color w:val="auto"/>
              </w:rPr>
            </w:pP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2017</w:t>
            </w:r>
          </w:p>
        </w:tc>
        <w:tc>
          <w:tcPr>
            <w:tcW w:w="300" w:type="dxa"/>
            <w:vAlign w:val="bottom"/>
          </w:tcPr>
          <w:p>
            <w:pPr>
              <w:spacing w:after="0"/>
              <w:rPr>
                <w:sz w:val="18"/>
                <w:szCs w:val="18"/>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5"/>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729,370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461,969</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income from 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31,139</w:t>
            </w:r>
          </w:p>
        </w:tc>
      </w:tr>
      <w:tr>
        <w:trPr>
          <w:trHeight w:val="27"/>
        </w:trPr>
        <w:tc>
          <w:tcPr>
            <w:tcW w:w="7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net income from continuing operations in 2018 includes the aggregate after tax contingent consideration expense associated with the CompareCards, DepositAccounts, SnapCap, Ovation and QuoteWizard earnouts of $7.7 million. The unaudited pro forma net income from continuing operations for 2017 has been adjusted to include acquisition-related costs of $6.9 million incurred by the Company, Student Loan Hero and QuoteWizard that are directly attributable to the Ovation, Student Loan Hero and QuoteWizard acquisitions, which will not have an ongoing impact. Accordingly, these acquisition-related costs have been eliminated from the unaudited pro forma net income from continuing operations for 2018.</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net income from continuing operations in 2017 include the aggregate after tax contingent consideration expense associated with the CompareCards, DepositAccounts and SnapCap earnouts of $14.4 million. The unaudited pro forma net income from continuing operations for 2016 has been adjusted to include acquisition-related costs of $1.0 million incurred by the Company, DepositAccounts, MagnifyMoney and SnapCap that are directly attributable to the DepositAccounts, MagnifyMoney and SnapCap acquisitions, which will not have an ongoing impact. Accordingly, these acquisition-related costs have been eliminated from the unaudited pro forma net income from continuing operations for 2017.</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consolidated results of operations include the results of the business acquisitions completed in 2018 as of the acquisition dates. In 2018, revenue of $44.8 million and net income from continuing operations of $1.8 million, which excludes any contingent consideration expense associated with the acquisitions, have been included in the Company’s consolidated results of operations.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7" w:right="2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9—ACCRUED EXPENSES AND OTHER CURRENT LIABILITIES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60,268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40,727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6,381</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7,679</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2,549</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2,072</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deposits and escrows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6,913</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5,564</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Contribution to LendingTree Foundation </w:t>
            </w:r>
            <w:r>
              <w:rPr>
                <w:rFonts w:ascii="Times New Roman" w:cs="Times New Roman" w:eastAsia="Times New Roman" w:hAnsi="Times New Roman"/>
                <w:sz w:val="25"/>
                <w:szCs w:val="25"/>
                <w:color w:val="auto"/>
                <w:vertAlign w:val="superscript"/>
              </w:rPr>
              <w:t>(a)</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3,333</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13,746</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11,141</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93,190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77,183</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Company expects to pay $3.3 million of the $10.0 million contribution in 2019, and the remainder by 2021.</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10—SHAREHOLDERS' EQUITY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Basic and diluted net income per share was determined based on the following share data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9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basic common shares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12,504</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11,945</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11,812</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9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1,626</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886</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share awards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111</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Convertible Senior Notes and warrants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9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diluted common shares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13,682</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12,773</w:t>
            </w:r>
          </w:p>
        </w:tc>
      </w:tr>
      <w:tr>
        <w:trPr>
          <w:trHeight w:val="27"/>
        </w:trPr>
        <w:tc>
          <w:tcPr>
            <w:tcW w:w="70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the weighted average shares that were anti-dilutive, and therefore excluded from the calculation of diluted income per share, included options to purchase 0.4 million shares of common stock. For the year ended December 31, 2017, the weighted average shares that were anti-dilutive included options to purchases 0.1 million shares of common stock.</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0.625% Convertible Senior Notes due June 1, 2022 and the warrants issued by the Company in the second quarter of 2017 could be converted into the Company’s common stock in the future, subject to certain contingencies.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13—Debt for additional information. Shares of the Company’s common stock associated with these instruments were excluded from the calculation of diluted income per share during 2017 as they were anti-dilutive since the conversion price of the Convertible Senior Notes and the strike price of the warrants were greater than the average market price of the Company’s common stock.</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11—Stock-Based Compensation for a full description of outstanding equity awards.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each of January 2010, May 2014, January 2016, February 2016 and February 2018, the board of directors authorized and the Company announced the repurchase of up to $10.0 million, $10.0 million, $50.0 million, $40.0 million and $100.0 million, respectively, of LendingTree's common stock. During the years ended December 31, 2018, 2017 and 2016, the Company purchased 379,449, 75,393 and 690,218 shares, respectively, of its common stock for aggregate consideration of $92.6 million, $21.0 million and $48.5 million, respectively. At December 31, 2018, $35.1 million remains authorized for share repurchase.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7" w:right="2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currently has two active plans, the Fifth Amended and Restated LendingTree 2008 Stock and Annual Incentive Plan (the "Equity Award Plan") and the LendingTree 2017 Inducement Grant Plan (the "Inducement Plan"), under which future awards may be granted, which currently covers outstanding stock options to acquire shares of the Company's common stock, restricted stock, restricted stock with performance conditions, RSUs and RSUs with performance conditions, and provides for the future grants of these and other equity awards. Under the Equity Award Plan and the Inducement Plan, the Company is authorized to grant stock options, restricted stock, RSUs and other equity-based awards for up to 5.35 million and 0.5 million shares, respectively, of LendingTree common stock to employees, and, under the Equity Award Plan only, to non-employee consultants and directors.</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Equity Award Plan and Inducement Plan each have a stated term of ten years and provide that the exercise price of stock options granted will not be less than the market price of the common stock on the grant date. The Equity Award Plan and Inducement Plan do not specify grant dates or vesting schedules, as those determinations are delegated to the Compensation Committee of the board of directors. Each grant agreement reflects the vesting schedule for that particular grant, as determined by the Compensation Committee. The Compensation Committee has the authority to modify the vesting provisions of an award.</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Non-cash compensation related to equity awards is included in the following line items in the accompanying consolidated statements of operations and comprehensive income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3,568</w:t>
            </w:r>
          </w:p>
        </w:tc>
        <w:tc>
          <w:tcPr>
            <w:tcW w:w="38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3,973</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2,722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34,325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16,874</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4,699</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6,094</w:t>
            </w:r>
          </w:p>
        </w:tc>
        <w:tc>
          <w:tcPr>
            <w:tcW w:w="38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2,339</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2,097</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non-cash compensation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44,365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23,361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9,647</w:t>
            </w:r>
          </w:p>
        </w:tc>
      </w:tr>
      <w:tr>
        <w:trPr>
          <w:trHeight w:val="27"/>
        </w:trPr>
        <w:tc>
          <w:tcPr>
            <w:tcW w:w="77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For the years ended December 31, 2018, 2017 and 2016, the Company recognized $11.2 million, $9.5 million and $3.7 million of income tax benefit related to non-cash compensation. Additionally, for the years ended December 31, 2018 and 2017, the Company recognized $77.6 million and $12.9 million, respectively, of excess tax benefit, including state taxes, in income tax expense.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2—Significant Accounting Policies—Recent Accounting Pronouncements, for additional information regarding excess tax benefits and deficiencies.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changes in outstanding stock options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vMerge w:val="restart"/>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3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40" w:type="dxa"/>
            <w:vAlign w:val="bottom"/>
          </w:tcPr>
          <w:p>
            <w:pPr>
              <w:spacing w:after="0"/>
              <w:rPr>
                <w:sz w:val="12"/>
                <w:szCs w:val="12"/>
                <w:color w:val="auto"/>
              </w:rPr>
            </w:pPr>
          </w:p>
        </w:tc>
        <w:tc>
          <w:tcPr>
            <w:tcW w:w="1400" w:type="dxa"/>
            <w:vAlign w:val="bottom"/>
          </w:tcPr>
          <w:p>
            <w:pPr>
              <w:jc w:val="center"/>
              <w:ind w:right="3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4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Value</w:t>
            </w:r>
            <w:r>
              <w:rPr>
                <w:rFonts w:ascii="Times New Roman" w:cs="Times New Roman" w:eastAsia="Times New Roman" w:hAnsi="Times New Roman"/>
                <w:sz w:val="8"/>
                <w:szCs w:val="8"/>
                <w:b w:val="1"/>
                <w:bCs w:val="1"/>
                <w:color w:val="auto"/>
                <w:w w:val="99"/>
              </w:rPr>
              <w:t>(a)</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40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78"/>
        </w:trPr>
        <w:tc>
          <w:tcPr>
            <w:tcW w:w="51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December 31, 2017</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1,863,739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30.70</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77,576</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293.18</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(994,222)</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16.83</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(6,560)</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301.51</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December 31, 2018</w:t>
            </w:r>
          </w:p>
        </w:tc>
        <w:tc>
          <w:tcPr>
            <w:tcW w:w="15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940,533</w:t>
            </w:r>
          </w:p>
        </w:tc>
        <w:tc>
          <w:tcPr>
            <w:tcW w:w="3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65.12</w:t>
            </w:r>
          </w:p>
        </w:tc>
        <w:tc>
          <w:tcPr>
            <w:tcW w:w="132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8"/>
                <w:szCs w:val="18"/>
                <w:b w:val="1"/>
                <w:bCs w:val="1"/>
                <w:color w:val="auto"/>
              </w:rPr>
              <w:t>5.17</w:t>
            </w:r>
          </w:p>
        </w:tc>
        <w:tc>
          <w:tcPr>
            <w:tcW w:w="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150,897</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766,552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28.37</w:t>
            </w:r>
          </w:p>
        </w:tc>
        <w:tc>
          <w:tcPr>
            <w:tcW w:w="132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b w:val="1"/>
                <w:bCs w:val="1"/>
                <w:color w:val="auto"/>
              </w:rPr>
              <w:t>4.40</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146,742</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$219.57 on the last trading day of 2018 and the exercise price, multiplied by the number of shares covered by in-the-money options) that would have been received by the option holder had the option holder exercised these options on December 31, 2018. The intrinsic value changes based on the market value of the Company's common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7" w:right="2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there was approximately $15.8 million of unrecognized compensation cost related to stock options. These costs are expected to be recognized over a weighted-average period of approximately 2.3 years.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exercise, the intrinsic value represents the pre-tax difference between the Company's closing stock price on the exercise date and the exercise price, multiplied by the number of stock options exercised. During the years ended December 31, 2018, 2017 and 2016, the total intrinsic value of stock options that were exercised was $268.3 million, $27.7 million and $0.3 million, respectively. Cash received from stock option exercises and the related actual tax benefit realized were $16.7 million and $73.3 million, respectively, for the year ended December 31, 2018.</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2018, 2017 and 2016, the Company granted stock options with a weighted average grant date fair value per share of $150.55 , $105.15, and $40.05, respectively, of which the vesting periods include (a) immediately upon grant, (b) five months from the grant date, (c) one year from the grant date, (d) 50% over a period of two years from the grant date, (e) 20% over a period of one and half years to five and half years, (f) 33% over a period of three years from the grant date, (g) 25% and 75% over a period of two years and three years, respectively, (h) four years from the grant date,</w:t>
      </w:r>
    </w:p>
    <w:p>
      <w:pPr>
        <w:spacing w:after="0" w:line="3" w:lineRule="exact"/>
        <w:rPr>
          <w:sz w:val="20"/>
          <w:szCs w:val="20"/>
          <w:color w:val="auto"/>
        </w:rPr>
      </w:pPr>
    </w:p>
    <w:p>
      <w:pPr>
        <w:jc w:val="both"/>
        <w:ind w:firstLine="8"/>
        <w:spacing w:after="0" w:line="255"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over a period of four years from the grant date, (j) 8% over a period of five months and 18% in each of the following five years, (k) 25%, 25% and 50% over a period of one year, two years and three years, respectively, and (l) 50%, 31% and 19% over a period of two years, three years and four years, respectively.</w:t>
      </w:r>
    </w:p>
    <w:p>
      <w:pPr>
        <w:spacing w:after="0" w:line="13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286"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6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4920" w:type="dxa"/>
            <w:vAlign w:val="bottom"/>
          </w:tcPr>
          <w:p>
            <w:pPr>
              <w:spacing w:after="0"/>
              <w:rPr>
                <w:sz w:val="18"/>
                <w:szCs w:val="18"/>
                <w:color w:val="auto"/>
              </w:rPr>
            </w:pPr>
          </w:p>
        </w:tc>
        <w:tc>
          <w:tcPr>
            <w:tcW w:w="162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0" w:type="dxa"/>
            <w:vAlign w:val="bottom"/>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46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49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92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5"/>
                <w:szCs w:val="25"/>
                <w:color w:val="auto"/>
                <w:vertAlign w:val="superscript"/>
              </w:rPr>
              <w:t>(1)</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5.00 - 6.71 years</w:t>
            </w:r>
          </w:p>
        </w:tc>
        <w:tc>
          <w:tcPr>
            <w:tcW w:w="20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5.00 - 7.00 years</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5.22 - 6.38 years</w:t>
            </w:r>
          </w:p>
        </w:tc>
      </w:tr>
      <w:tr>
        <w:trPr>
          <w:trHeight w:val="270"/>
        </w:trPr>
        <w:tc>
          <w:tcPr>
            <w:tcW w:w="49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5"/>
                <w:szCs w:val="25"/>
                <w:color w:val="auto"/>
                <w:vertAlign w:val="superscript"/>
              </w:rPr>
              <w:t>(2)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5"/>
                <w:szCs w:val="25"/>
                <w:color w:val="auto"/>
                <w:vertAlign w:val="superscript"/>
              </w:rPr>
              <w:t>(3)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- 53%</w:t>
            </w:r>
          </w:p>
        </w:tc>
        <w:tc>
          <w:tcPr>
            <w:tcW w:w="20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51% - 52%</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 - 53%</w:t>
            </w:r>
          </w:p>
        </w:tc>
      </w:tr>
      <w:tr>
        <w:trPr>
          <w:trHeight w:val="270"/>
        </w:trPr>
        <w:tc>
          <w:tcPr>
            <w:tcW w:w="4920" w:type="dxa"/>
            <w:vAlign w:val="bottom"/>
            <w:tcBorders>
              <w:bottom w:val="single" w:sz="8" w:color="999999"/>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5"/>
                <w:szCs w:val="25"/>
                <w:color w:val="auto"/>
                <w:vertAlign w:val="superscript"/>
              </w:rPr>
              <w:t>(4)</w:t>
            </w:r>
          </w:p>
        </w:tc>
        <w:tc>
          <w:tcPr>
            <w:tcW w:w="162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2.33% - 3.06%</w:t>
            </w:r>
          </w:p>
        </w:tc>
        <w:tc>
          <w:tcPr>
            <w:tcW w:w="2000" w:type="dxa"/>
            <w:vAlign w:val="bottom"/>
            <w:tcBorders>
              <w:bottom w:val="single" w:sz="8" w:color="999999"/>
            </w:tcBorders>
          </w:tcPr>
          <w:p>
            <w:pPr>
              <w:jc w:val="right"/>
              <w:ind w:right="233"/>
              <w:spacing w:after="0"/>
              <w:rPr>
                <w:sz w:val="20"/>
                <w:szCs w:val="20"/>
                <w:color w:val="auto"/>
              </w:rPr>
            </w:pPr>
            <w:r>
              <w:rPr>
                <w:rFonts w:ascii="Times New Roman" w:cs="Times New Roman" w:eastAsia="Times New Roman" w:hAnsi="Times New Roman"/>
                <w:sz w:val="18"/>
                <w:szCs w:val="18"/>
                <w:color w:val="auto"/>
              </w:rPr>
              <w:t>1.74% - 2.24%</w:t>
            </w:r>
          </w:p>
        </w:tc>
        <w:tc>
          <w:tcPr>
            <w:tcW w:w="1460" w:type="dxa"/>
            <w:vAlign w:val="bottom"/>
            <w:tcBorders>
              <w:bottom w:val="single" w:sz="8" w:color="999999"/>
            </w:tcBorders>
          </w:tcPr>
          <w:p>
            <w:pPr>
              <w:jc w:val="right"/>
              <w:ind w:right="12"/>
              <w:spacing w:after="0"/>
              <w:rPr>
                <w:sz w:val="20"/>
                <w:szCs w:val="20"/>
                <w:color w:val="auto"/>
              </w:rPr>
            </w:pPr>
            <w:r>
              <w:rPr>
                <w:rFonts w:ascii="Times New Roman" w:cs="Times New Roman" w:eastAsia="Times New Roman" w:hAnsi="Times New Roman"/>
                <w:sz w:val="18"/>
                <w:szCs w:val="18"/>
                <w:color w:val="auto"/>
              </w:rPr>
              <w:t>1.10% - 2.18%</w:t>
            </w:r>
          </w:p>
        </w:tc>
      </w:tr>
    </w:tbl>
    <w:p>
      <w:pPr>
        <w:spacing w:after="0" w:line="144" w:lineRule="exact"/>
        <w:rPr>
          <w:sz w:val="20"/>
          <w:szCs w:val="20"/>
          <w:color w:val="auto"/>
        </w:rPr>
      </w:pPr>
    </w:p>
    <w:p>
      <w:pPr>
        <w:jc w:val="both"/>
        <w:ind w:left="900" w:hanging="325"/>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2"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stock options granted during the years ended December 31, 2018, 2017 and 2016, no dividends are expected to be paid over the contractual term of the stock options, resulting in a zero expected dividend rate.</w:t>
      </w:r>
    </w:p>
    <w:p>
      <w:pPr>
        <w:spacing w:after="0" w:line="10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2018, 2017 and 2016, the total fair value of options vested was $11.4 million, $4.1 million and $0.9 million,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17"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with Performance Conditions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changes in outstanding stock options with performance conditions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60" w:type="dxa"/>
            <w:vAlign w:val="bottom"/>
          </w:tcPr>
          <w:p>
            <w:pPr>
              <w:spacing w:after="0"/>
              <w:rPr>
                <w:sz w:val="12"/>
                <w:szCs w:val="12"/>
                <w:color w:val="auto"/>
              </w:rPr>
            </w:pPr>
          </w:p>
        </w:tc>
        <w:tc>
          <w:tcPr>
            <w:tcW w:w="880" w:type="dxa"/>
            <w:vAlign w:val="bottom"/>
          </w:tcPr>
          <w:p>
            <w:pPr>
              <w:jc w:val="center"/>
              <w:ind w:left="3"/>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4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Value</w:t>
            </w:r>
            <w:r>
              <w:rPr>
                <w:rFonts w:ascii="Times New Roman" w:cs="Times New Roman" w:eastAsia="Times New Roman" w:hAnsi="Times New Roman"/>
                <w:sz w:val="8"/>
                <w:szCs w:val="8"/>
                <w:b w:val="1"/>
                <w:bCs w:val="1"/>
                <w:color w:val="auto"/>
                <w:w w:val="99"/>
              </w:rPr>
              <w:t>(a)</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5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40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78"/>
        </w:trPr>
        <w:tc>
          <w:tcPr>
            <w:tcW w:w="5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gridSpan w:val="2"/>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December 31, 2017</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37,877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308.90</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December 31, 2018</w:t>
            </w:r>
          </w:p>
        </w:tc>
        <w:tc>
          <w:tcPr>
            <w:tcW w:w="15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37,877</w:t>
            </w:r>
          </w:p>
        </w:tc>
        <w:tc>
          <w:tcPr>
            <w:tcW w:w="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308.90</w:t>
            </w:r>
          </w:p>
        </w:tc>
        <w:tc>
          <w:tcPr>
            <w:tcW w:w="132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8"/>
                <w:szCs w:val="18"/>
                <w:b w:val="1"/>
                <w:bCs w:val="1"/>
                <w:color w:val="auto"/>
              </w:rPr>
              <w:t>8.95</w:t>
            </w:r>
          </w:p>
        </w:tc>
        <w:tc>
          <w:tcPr>
            <w:tcW w:w="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b w:val="1"/>
                <w:bCs w:val="1"/>
                <w:color w:val="auto"/>
              </w:rPr>
              <w:t>0.00</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$219.57 on the last trading day of 2018 and the exercise price, multiplied by the number of shares covered by in-the-money options) that would have been received by the option holder had the option holder exercised these options on December 31, 2018. The intrinsic value changes based on the market value of the Company's common stock.</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stock options with performance conditions were granted in 2018 or 2016. During 2017, the Company granted stock options with performance conditions with a weighted average grant date fair value per share of $152.45, of which vesting periods range from 1.2 years to 2.2 years, pending the attainment of certain performance targets set at the time of grant.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the performance conditions associated with the performance-based nonqualified stock options had not been met. None of the performance-based nonqualified stock options had been earned, and no compensation cost associated with these options has been recorded, as of December 31, 2018.</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272" w:lineRule="exact"/>
        <w:rPr>
          <w:sz w:val="20"/>
          <w:szCs w:val="20"/>
          <w:color w:val="auto"/>
        </w:rPr>
      </w:pPr>
    </w:p>
    <w:tbl>
      <w:tblPr>
        <w:tblLayout w:type="fixed"/>
        <w:tblInd w:w="1040" w:type="dxa"/>
        <w:tblCellMar>
          <w:top w:w="0" w:type="dxa"/>
          <w:left w:w="0" w:type="dxa"/>
          <w:bottom w:w="0" w:type="dxa"/>
          <w:right w:w="0" w:type="dxa"/>
        </w:tblCellMar>
      </w:tblPr>
      <w:tr>
        <w:trPr>
          <w:trHeight w:val="203"/>
        </w:trPr>
        <w:tc>
          <w:tcPr>
            <w:tcW w:w="7700" w:type="dxa"/>
            <w:vAlign w:val="bottom"/>
          </w:tcPr>
          <w:p>
            <w:pPr>
              <w:spacing w:after="0"/>
              <w:rPr>
                <w:sz w:val="17"/>
                <w:szCs w:val="17"/>
                <w:color w:val="auto"/>
              </w:rPr>
            </w:pPr>
          </w:p>
        </w:tc>
        <w:tc>
          <w:tcPr>
            <w:tcW w:w="230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2"/>
        </w:trPr>
        <w:tc>
          <w:tcPr>
            <w:tcW w:w="7700" w:type="dxa"/>
            <w:vAlign w:val="bottom"/>
          </w:tcPr>
          <w:p>
            <w:pPr>
              <w:spacing w:after="0"/>
              <w:rPr>
                <w:sz w:val="18"/>
                <w:szCs w:val="18"/>
                <w:color w:val="auto"/>
              </w:rPr>
            </w:pPr>
          </w:p>
        </w:tc>
        <w:tc>
          <w:tcPr>
            <w:tcW w:w="230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77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64"/>
        </w:trPr>
        <w:tc>
          <w:tcPr>
            <w:tcW w:w="770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5"/>
                <w:szCs w:val="25"/>
                <w:color w:val="auto"/>
                <w:vertAlign w:val="superscript"/>
              </w:rPr>
              <w:t>(1)</w:t>
            </w:r>
          </w:p>
        </w:tc>
        <w:tc>
          <w:tcPr>
            <w:tcW w:w="2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5.50 - 6.00 years</w:t>
            </w:r>
          </w:p>
        </w:tc>
      </w:tr>
      <w:tr>
        <w:trPr>
          <w:trHeight w:val="270"/>
        </w:trPr>
        <w:tc>
          <w:tcPr>
            <w:tcW w:w="770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5"/>
                <w:szCs w:val="25"/>
                <w:color w:val="auto"/>
                <w:vertAlign w:val="superscript"/>
              </w:rPr>
              <w:t>(2)</w:t>
            </w:r>
          </w:p>
        </w:tc>
        <w:tc>
          <w:tcPr>
            <w:tcW w:w="2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0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5"/>
                <w:szCs w:val="25"/>
                <w:color w:val="auto"/>
                <w:vertAlign w:val="superscript"/>
              </w:rPr>
              <w:t>(3)</w:t>
            </w:r>
          </w:p>
        </w:tc>
        <w:tc>
          <w:tcPr>
            <w:tcW w:w="2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7700" w:type="dxa"/>
            <w:vAlign w:val="bottom"/>
            <w:tcBorders>
              <w:bottom w:val="single" w:sz="8" w:color="999999"/>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5"/>
                <w:szCs w:val="25"/>
                <w:color w:val="auto"/>
                <w:vertAlign w:val="superscript"/>
              </w:rPr>
              <w:t>(4)</w:t>
            </w:r>
          </w:p>
        </w:tc>
        <w:tc>
          <w:tcPr>
            <w:tcW w:w="2300" w:type="dxa"/>
            <w:vAlign w:val="bottom"/>
            <w:tcBorders>
              <w:bottom w:val="single" w:sz="8" w:color="999999"/>
            </w:tcBorders>
          </w:tcPr>
          <w:p>
            <w:pPr>
              <w:jc w:val="right"/>
              <w:ind w:right="13"/>
              <w:spacing w:after="0"/>
              <w:rPr>
                <w:sz w:val="20"/>
                <w:szCs w:val="20"/>
                <w:color w:val="auto"/>
              </w:rPr>
            </w:pPr>
            <w:r>
              <w:rPr>
                <w:rFonts w:ascii="Times New Roman" w:cs="Times New Roman" w:eastAsia="Times New Roman" w:hAnsi="Times New Roman"/>
                <w:sz w:val="18"/>
                <w:szCs w:val="18"/>
                <w:color w:val="auto"/>
              </w:rPr>
              <w:t>2.16% - 2.23%</w:t>
            </w:r>
          </w:p>
        </w:tc>
      </w:tr>
    </w:tbl>
    <w:p>
      <w:pPr>
        <w:spacing w:after="0" w:line="144" w:lineRule="exact"/>
        <w:rPr>
          <w:sz w:val="20"/>
          <w:szCs w:val="20"/>
          <w:color w:val="auto"/>
        </w:rPr>
      </w:pPr>
    </w:p>
    <w:p>
      <w:pPr>
        <w:jc w:val="both"/>
        <w:ind w:left="900" w:hanging="325"/>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2"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stock options granted during the year ended December 31, 2017, no dividends are expected to be paid over the contractual term of the stock options, resulting in a zero expected dividend rate.</w:t>
      </w:r>
    </w:p>
    <w:p>
      <w:pPr>
        <w:spacing w:after="0" w:line="10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7"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summary of the changes in outstanding nonvested RSUs, exclusive of RSUs granted to the Chairman and Chief Executive Officer in 2018 described below,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00" w:type="dxa"/>
            <w:vAlign w:val="bottom"/>
          </w:tcPr>
          <w:p>
            <w:pPr>
              <w:spacing w:after="0"/>
              <w:rPr>
                <w:sz w:val="12"/>
                <w:szCs w:val="12"/>
                <w:color w:val="auto"/>
              </w:rPr>
            </w:pPr>
          </w:p>
        </w:tc>
        <w:tc>
          <w:tcPr>
            <w:tcW w:w="16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78"/>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December 31, 2017</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152,829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121.68</w:t>
            </w: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5"/>
                <w:szCs w:val="25"/>
                <w:color w:val="auto"/>
                <w:vertAlign w:val="superscript"/>
              </w:rPr>
              <w:t>(a)</w:t>
            </w:r>
          </w:p>
        </w:tc>
        <w:tc>
          <w:tcPr>
            <w:tcW w:w="1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121,751</w:t>
            </w:r>
          </w:p>
        </w:tc>
        <w:tc>
          <w:tcPr>
            <w:tcW w:w="2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272.93</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(68,915)</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103.56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(13,993)</w:t>
            </w:r>
          </w:p>
        </w:tc>
        <w:tc>
          <w:tcPr>
            <w:tcW w:w="2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213.59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December 31, 2018</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191,672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217.56</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grant date fair value per share of the RSUs is calculated as the closing market price of LendingTree's common stock at the time of grant.</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there was approximately $30.5 million of unrecognized compensation cost related to these RSUs. These costs are expected to be recognized over a weighted-average period of approximately 2.0 years.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fair value of RSUs that vested during the years ended December 31, 2018, 2017 and 2016 was $21.8 million, $11.5 million and $10.1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with Performance Conditions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changes in outstanding nonvested RSUs with performance conditions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2"/>
                <w:szCs w:val="12"/>
                <w:color w:val="auto"/>
              </w:rPr>
            </w:pPr>
          </w:p>
        </w:tc>
        <w:tc>
          <w:tcPr>
            <w:tcW w:w="16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1"/>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78"/>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December 31, 2017</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111,205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160.34</w:t>
            </w: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5"/>
                <w:szCs w:val="25"/>
                <w:color w:val="auto"/>
                <w:vertAlign w:val="superscript"/>
              </w:rPr>
              <w:t>(a)</w:t>
            </w:r>
          </w:p>
        </w:tc>
        <w:tc>
          <w:tcPr>
            <w:tcW w:w="1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19,234</w:t>
            </w:r>
          </w:p>
        </w:tc>
        <w:tc>
          <w:tcPr>
            <w:tcW w:w="220" w:type="dxa"/>
            <w:vAlign w:val="bottom"/>
          </w:tcPr>
          <w:p>
            <w:pPr>
              <w:spacing w:after="0"/>
              <w:rPr>
                <w:sz w:val="23"/>
                <w:szCs w:val="23"/>
                <w:color w:val="auto"/>
              </w:rPr>
            </w:pPr>
          </w:p>
        </w:tc>
        <w:tc>
          <w:tcPr>
            <w:tcW w:w="1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(30,806)</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121.37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(7,152)</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94.28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December 31, 2018</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92,481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182.28</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per share of the RSUs with performance conditions is calculated as the closing market price of LendingTree's common stock at the time of grant.</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2018, 2017 and 2016, the Company granted RSUs with performance conditions to certain employees, of which vesting periods range from 0.33 years to 4.00 years, pending the attainment of certain performance targets set at the time of grant.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2018, there was approximately $10.3 million of unrecognized compensation cost related to RSUs with performance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expected to be recognized over a weighted-average period of approximately 1.0 year.</w:t>
      </w:r>
    </w:p>
    <w:p>
      <w:pPr>
        <w:spacing w:after="0" w:line="15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total fair value of RSUs with performance conditions that vested during the years ended December 31, 2018, 2017, and 2016 was $7.9 million, $0.4 million, and 0.2 million,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17"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the end of 2017, there was no outstanding nonvested restricted stock other than the restricted stock grants to the Chairman and Chief Executive Officer described in the section below.</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exclusive of restricted stock granted to the Chairman and Chief Executive Officer in 2018 described below, that vested during the years ended December 31, 2017 and 2016 was $2.1 million and $3.9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 Grants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2017 Grants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25, 2017, the Company’s Compensation Committee approved new compensation arrangements for its Chairman and Chief Executive Officer. The new compensation arrangements include the issuance of performance based equity compensation grants with a modeled total grant date value of $87.5 million of which 25% (119,015 shares) would be in the form of time-vested restricted stock awards with a performance condition and 75% (a maximum of 769,376 shares) would be in the form of performance-based nonqualified stock options.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performance-based nonqualified stock options have a target number of shares that vest upon achieving targeted total shareholder return performance of 110% stock price appreciation and a maximum number of shares for achieving superior performance up to 167% of the target number of shares. No shares will vest unless 70% of the targeted performance is achieved. Time-based service vesting conditions would also have to be satisfied in order for performance-vested shares to become fully vested and no longer subject to forfeiture. On July 26, 2017, an initial grant of performance-based nonqualified stock options with a target number of shares of 402,694 and a maximum number of shares of 672,499 were issued with an exercise price of $183.80, the closing stock price on July 26, 2017. The performance measurement period ends on September 30, 2022. The fair value of the performance-based stock options will be recognized on a straight-line basis through the vest date of September 30, 2022, whether or not any of the total shareholder return targets are met.</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Equity Award Plan imposes a per employee upper annual grant limit of 672,500 shares. As a result, the remaining 58,010 target performance-based nonqualified stock options and potential performance-based restricted stock awards were awarded on January 2, 2018. The form of the awards consisted of 31,336 performance-based nonqualified stock options with a per share exercise price of $340.25, and 26,674 performance-based restricted stock awards, substituting for an equal number of the performance-based options, to compensate for the increase in the exercise price of the performance-based option granted on July 26, 2017. These performance-based nonqualified stock options and performance-based restricted stock awards were issued with respective total grant date fair values of $9.5 million and $1.9 million.</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performance-based nonqualified stock options of 312,008 and performance-based restricted stock awards of 19,175 had been earned, which have a vest date of September 30, 2022. As of December 31, 2018 there was approximately $1.4 million of unrecognized compensation cost related to the performance-based restricted stock awards.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 2018, the 119,015 time-vested restricted stock awards with a performance condition were granted. The terms of these awards were fixed in the approved new compensation agreements in July 2017 with a total grant date fair value of $21.9 million. The performance condition was tied to the Company's operating results during the first six months of 2018, and has been met. During 2018, 47,603 of these awards vested at a total fair value of $13.6 million. As of December 31, 2018, there was approximately $13.1 million of unrecognized compensation cost related to these time-vested restricted stock awards. These costs are expected to be recognized through the vest date of December 31, 2021.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2018 Grants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16, 2018, the Company’s Compensation Committee approved the issuance of performance based equity compensation grants to its Chairman and Chief Executive Officer with a modeled total grant date value of $7.5 million, of which 50% (9,896 shares) would be in the form of time-vested restricted stock units and 50% (a maximum of 21,982 shares) would be in the form of performance-based nonqualified stock options. On February 16, 2018, the 9,896 time-vested restricted stock units were granted with a grant date fair value of $378.95. As of December 31, 2018, there was approximately $2.9 million of unrecognized compensation costs related to these RSUs. These costs ares expected to be recognized through the vest date of February 16, 2022.</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performance-based nonqualified stock options have a target number of shares that vest upon achieving targeted total shareholder return performance of 81% stock price appreciation and a maximum number of shares for achieving superior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7"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performance up to 167% of the target number of shares. No shares will vest unless 41% of the targeted performance is achieved. Time-based service vesting conditions would also have to be satisfied in order for performance-vested shares to become fully vested and no longer subject to forfeiture. On February 16, 2018, the performance-based nonqualified stock options with a target number of shares of 13,163 and a maximum number of shares of 21,982 were issued with an exercise price of $378.95, the closing stock price on February 16, 2018. The performance measurement period ends on March 31, 2022. The fair value of the performance-based stock options will be recognized on a straight-line basis through the vest date of March 31, 2022, whether or not any of the total shareholder return targets are met. As of December 31, 2018, the performance targets associated with the performance-based nonqualified stock options had not been met.</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2018 and 2017, the Company recorded $20.5 million and $8.9 million, respectively, in stock-based compensation expense related to the 2017 and 2018 grants to its Chairman and Chief Executive Officer in the consolidated statement of operations and comprehensive income.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with market conditions is as follows: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vMerge w:val="restart"/>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Market</w:t>
            </w:r>
          </w:p>
        </w:tc>
        <w:tc>
          <w:tcPr>
            <w:tcW w:w="340" w:type="dxa"/>
            <w:vAlign w:val="bottom"/>
          </w:tcPr>
          <w:p>
            <w:pPr>
              <w:spacing w:after="0"/>
              <w:rPr>
                <w:sz w:val="12"/>
                <w:szCs w:val="12"/>
                <w:color w:val="auto"/>
              </w:rPr>
            </w:pPr>
          </w:p>
        </w:tc>
        <w:tc>
          <w:tcPr>
            <w:tcW w:w="1400" w:type="dxa"/>
            <w:vAlign w:val="bottom"/>
          </w:tcPr>
          <w:p>
            <w:pPr>
              <w:jc w:val="center"/>
              <w:ind w:right="337"/>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4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8"/>
                <w:szCs w:val="8"/>
                <w:b w:val="1"/>
                <w:bCs w:val="1"/>
                <w:color w:val="auto"/>
              </w:rPr>
              <w:t>(a)</w:t>
            </w: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60" w:type="dxa"/>
            <w:vAlign w:val="bottom"/>
          </w:tcPr>
          <w:p>
            <w:pPr>
              <w:spacing w:after="0"/>
              <w:rPr>
                <w:sz w:val="16"/>
                <w:szCs w:val="16"/>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78"/>
        </w:trPr>
        <w:tc>
          <w:tcPr>
            <w:tcW w:w="5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2017</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402,694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183.80</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5"/>
                <w:szCs w:val="25"/>
                <w:color w:val="auto"/>
                <w:vertAlign w:val="superscript"/>
              </w:rPr>
              <w:t>(b)</w:t>
            </w:r>
          </w:p>
        </w:tc>
        <w:tc>
          <w:tcPr>
            <w:tcW w:w="1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44,499</w:t>
            </w:r>
          </w:p>
        </w:tc>
        <w:tc>
          <w:tcPr>
            <w:tcW w:w="340" w:type="dxa"/>
            <w:vAlign w:val="bottom"/>
          </w:tcPr>
          <w:p>
            <w:pPr>
              <w:spacing w:after="0"/>
              <w:rPr>
                <w:sz w:val="23"/>
                <w:szCs w:val="23"/>
                <w:color w:val="auto"/>
              </w:rPr>
            </w:pPr>
          </w:p>
        </w:tc>
        <w:tc>
          <w:tcPr>
            <w:tcW w:w="14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351.70</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2018</w:t>
            </w:r>
          </w:p>
        </w:tc>
        <w:tc>
          <w:tcPr>
            <w:tcW w:w="15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447,193</w:t>
            </w: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200.51</w:t>
            </w:r>
          </w:p>
        </w:tc>
        <w:tc>
          <w:tcPr>
            <w:tcW w:w="14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8.62</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14,404</w:t>
            </w:r>
          </w:p>
        </w:tc>
        <w:tc>
          <w:tcPr>
            <w:tcW w:w="0" w:type="dxa"/>
            <w:vAlign w:val="bottom"/>
          </w:tcPr>
          <w:p>
            <w:pPr>
              <w:spacing w:after="0"/>
              <w:rPr>
                <w:sz w:val="1"/>
                <w:szCs w:val="1"/>
                <w:color w:val="auto"/>
              </w:rPr>
            </w:pPr>
          </w:p>
        </w:tc>
      </w:tr>
      <w:tr>
        <w:trPr>
          <w:trHeight w:val="34"/>
        </w:trPr>
        <w:tc>
          <w:tcPr>
            <w:tcW w:w="5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51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$219.57 on the last trading day of 2018 and the exercise price, multiplied by the number of shares covered by in-the-money options) that would have been received by the option holder had the option holder exercised these options on December 31, 2018. The intrinsic value changes based on the market value of the Company's common stock.</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2018 and 2017, the Company granted stock options with a weighted-average grant date fair value per share of $296.80 and $142.45, respectively, calculated using the Monte Carlo simulation model, which have vesting dates of March 31, 2022 and September 30, 2022.</w:t>
      </w:r>
    </w:p>
    <w:p>
      <w:pPr>
        <w:spacing w:after="0" w:line="122"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stock-based compensation expense, the weighted-average grant date fair value per share of the stock options was estimated using the Monte Carlo simulation model, which requires the use of various key assumptions. The weighted-average assumptions used are as follows:</w:t>
      </w:r>
    </w:p>
    <w:p>
      <w:pPr>
        <w:spacing w:after="0" w:line="138" w:lineRule="exact"/>
        <w:rPr>
          <w:sz w:val="20"/>
          <w:szCs w:val="20"/>
          <w:color w:val="auto"/>
        </w:rPr>
      </w:pPr>
    </w:p>
    <w:tbl>
      <w:tblPr>
        <w:tblLayout w:type="fixed"/>
        <w:tblInd w:w="142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3380" w:type="dxa"/>
            <w:vAlign w:val="bottom"/>
            <w:gridSpan w:val="2"/>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33"/>
        </w:trPr>
        <w:tc>
          <w:tcPr>
            <w:tcW w:w="66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6620" w:type="dxa"/>
            <w:vAlign w:val="bottom"/>
          </w:tcPr>
          <w:p>
            <w:pPr>
              <w:spacing w:after="0"/>
              <w:rPr>
                <w:sz w:val="18"/>
                <w:szCs w:val="18"/>
                <w:color w:val="auto"/>
              </w:rPr>
            </w:pPr>
          </w:p>
        </w:tc>
        <w:tc>
          <w:tcPr>
            <w:tcW w:w="1980" w:type="dxa"/>
            <w:vAlign w:val="bottom"/>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66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662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5"/>
                <w:szCs w:val="25"/>
                <w:color w:val="auto"/>
                <w:vertAlign w:val="superscript"/>
              </w:rPr>
              <w:t>(1)</w:t>
            </w:r>
          </w:p>
        </w:tc>
        <w:tc>
          <w:tcPr>
            <w:tcW w:w="19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7.00 - 7.15 years</w:t>
            </w: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 years</w:t>
            </w:r>
          </w:p>
        </w:tc>
      </w:tr>
      <w:tr>
        <w:trPr>
          <w:trHeight w:val="270"/>
        </w:trPr>
        <w:tc>
          <w:tcPr>
            <w:tcW w:w="66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5"/>
                <w:szCs w:val="25"/>
                <w:color w:val="auto"/>
                <w:vertAlign w:val="superscript"/>
              </w:rPr>
              <w:t>(2)</w:t>
            </w:r>
          </w:p>
        </w:tc>
        <w:tc>
          <w:tcPr>
            <w:tcW w:w="198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5"/>
                <w:szCs w:val="25"/>
                <w:color w:val="auto"/>
                <w:vertAlign w:val="superscript"/>
              </w:rPr>
              <w:t>(3)</w:t>
            </w:r>
          </w:p>
        </w:tc>
        <w:tc>
          <w:tcPr>
            <w:tcW w:w="19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50%</w:t>
            </w: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6620" w:type="dxa"/>
            <w:vAlign w:val="bottom"/>
            <w:tcBorders>
              <w:bottom w:val="single" w:sz="8" w:color="999999"/>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5"/>
                <w:szCs w:val="25"/>
                <w:color w:val="auto"/>
                <w:vertAlign w:val="superscript"/>
              </w:rPr>
              <w:t>(4)</w:t>
            </w:r>
          </w:p>
        </w:tc>
        <w:tc>
          <w:tcPr>
            <w:tcW w:w="1980" w:type="dxa"/>
            <w:vAlign w:val="bottom"/>
            <w:tcBorders>
              <w:bottom w:val="single" w:sz="8" w:color="999999"/>
            </w:tcBorders>
          </w:tcPr>
          <w:p>
            <w:pPr>
              <w:jc w:val="right"/>
              <w:ind w:right="293"/>
              <w:spacing w:after="0"/>
              <w:rPr>
                <w:sz w:val="20"/>
                <w:szCs w:val="20"/>
                <w:color w:val="auto"/>
              </w:rPr>
            </w:pPr>
            <w:r>
              <w:rPr>
                <w:rFonts w:ascii="Times New Roman" w:cs="Times New Roman" w:eastAsia="Times New Roman" w:hAnsi="Times New Roman"/>
                <w:sz w:val="18"/>
                <w:szCs w:val="18"/>
                <w:color w:val="auto"/>
              </w:rPr>
              <w:t>2.38% - 2.81%</w:t>
            </w:r>
          </w:p>
        </w:tc>
        <w:tc>
          <w:tcPr>
            <w:tcW w:w="1400" w:type="dxa"/>
            <w:vAlign w:val="bottom"/>
            <w:tcBorders>
              <w:bottom w:val="single" w:sz="8" w:color="999999"/>
            </w:tcBorders>
          </w:tcPr>
          <w:p>
            <w:pPr>
              <w:jc w:val="right"/>
              <w:ind w:right="12"/>
              <w:spacing w:after="0"/>
              <w:rPr>
                <w:sz w:val="20"/>
                <w:szCs w:val="20"/>
                <w:color w:val="auto"/>
              </w:rPr>
            </w:pPr>
            <w:r>
              <w:rPr>
                <w:rFonts w:ascii="Times New Roman" w:cs="Times New Roman" w:eastAsia="Times New Roman" w:hAnsi="Times New Roman"/>
                <w:sz w:val="18"/>
                <w:szCs w:val="18"/>
                <w:color w:val="auto"/>
              </w:rPr>
              <w:t>2.12%</w:t>
            </w:r>
          </w:p>
        </w:tc>
      </w:tr>
    </w:tbl>
    <w:p>
      <w:pPr>
        <w:spacing w:after="0" w:line="144" w:lineRule="exact"/>
        <w:rPr>
          <w:sz w:val="20"/>
          <w:szCs w:val="20"/>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stock options with a market condition granted was calculated using the midpoint between the weighted average time of vesting and the end of the contractual term.</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stock options with a market condition granted during the years ended December 31, 2018 and 2017, no dividends are expected to be paid over the contractual term of the stock options, resulting in a zero expected dividend rate.</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17"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2018, there was approximately $51.3 million of unrecognized compensation cost related to stock options with market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expected to be recognized over a weighted-average period of approximately 3.7 years.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components of the income tax expense (benefit)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80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10,055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11,519</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2,606</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2,480</w:t>
            </w:r>
          </w:p>
        </w:tc>
      </w:tr>
      <w:tr>
        <w:trPr>
          <w:trHeight w:val="237"/>
        </w:trPr>
        <w:tc>
          <w:tcPr>
            <w:tcW w:w="8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Current income tax (benefit) expense</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(1,674)</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12,661</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13,999</w:t>
            </w:r>
          </w:p>
        </w:tc>
      </w:tr>
      <w:tr>
        <w:trPr>
          <w:trHeight w:val="27"/>
        </w:trPr>
        <w:tc>
          <w:tcPr>
            <w:tcW w:w="8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(benefit) provision: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(44,950)</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3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3,703</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(18,951)</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2,664</w:t>
            </w:r>
          </w:p>
        </w:tc>
      </w:tr>
      <w:tr>
        <w:trPr>
          <w:trHeight w:val="237"/>
        </w:trPr>
        <w:tc>
          <w:tcPr>
            <w:tcW w:w="8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income tax (benefit) provision</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(63,901)</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(6,370)</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6,367</w:t>
            </w:r>
          </w:p>
        </w:tc>
      </w:tr>
      <w:tr>
        <w:trPr>
          <w:trHeight w:val="27"/>
        </w:trPr>
        <w:tc>
          <w:tcPr>
            <w:tcW w:w="8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(65,575)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6,291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20,366</w:t>
            </w:r>
          </w:p>
        </w:tc>
      </w:tr>
      <w:tr>
        <w:trPr>
          <w:trHeight w:val="27"/>
        </w:trPr>
        <w:tc>
          <w:tcPr>
            <w:tcW w:w="80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reconciliation of the income tax expense (benefit) to the amounts computed by applying the statutory federal income tax rate to income from continuing operations before income taxes is shown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9,186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8,998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18,051</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 net of effect of federal tax benefit</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(14,884)</w:t>
            </w: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(268)</w:t>
            </w:r>
          </w:p>
        </w:tc>
        <w:tc>
          <w:tcPr>
            <w:tcW w:w="3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4,038</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Tax Cuts and Jobs Act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270</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9,062</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tax deductions on non-cash compensation</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(59,601)</w:t>
            </w: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(11,134)</w:t>
            </w:r>
          </w:p>
        </w:tc>
        <w:tc>
          <w:tcPr>
            <w:tcW w:w="3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(release of) valuation allowance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593</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experimentation tax credit</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(2,523)</w:t>
            </w: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(1,318)</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1,989</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358</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1,267</w:t>
            </w:r>
          </w:p>
        </w:tc>
      </w:tr>
      <w:tr>
        <w:trPr>
          <w:trHeight w:val="237"/>
        </w:trPr>
        <w:tc>
          <w:tcPr>
            <w:tcW w:w="7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(65,575)</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6,291</w:t>
            </w:r>
          </w:p>
        </w:tc>
        <w:tc>
          <w:tcPr>
            <w:tcW w:w="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20,366</w:t>
            </w:r>
          </w:p>
        </w:tc>
      </w:tr>
      <w:tr>
        <w:trPr>
          <w:trHeight w:val="34"/>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fourth quarter of 2017, LendingTree recorded a net tax expense of $9.1 million related to the enactment of the TCJA. The expense is primarily related to the remeasurement of LendingTree’s deferred tax assets and liabilities considering the TCJA’s enacted tax rates and certain other impacts. Simultaneous with the Act, the SEC Staff released Accounting Bulletin No. 118 ("SAB 118"), which allows the use of provisional amounts (reasonable estimates) if the analysis of the impacts of the Act have not been completed when financial statements are issued. During the fourth quarter of 2018, the Company finalized the computations of the income tax effects of the Act. As such, in accordance with SAB 118, the Company's accounting for the effects of the Act is complete. The Company did not significantly adjust provisional amounts recorded in the prior fiscal year and the SAB 118 measurement period subsequently ended on December 22, 2018. Although the Company no longer considers these amounts to be provisional, the determination of the Act’s income tax effects may change following future legislation or further interpretation of the Act based on the publication of recently proposed U.S. Treasury regulations and guidance from the Internal Revenue Service and state tax authorities.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17"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tax effects of cumulative temporary differences that give rise to significant portions of the deferred tax assets and deferred tax liabilities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accrued expenses</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5,953</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Net operating loss carryforwards </w:t>
            </w:r>
            <w:r>
              <w:rPr>
                <w:rFonts w:ascii="Times New Roman" w:cs="Times New Roman" w:eastAsia="Times New Roman" w:hAnsi="Times New Roman"/>
                <w:sz w:val="25"/>
                <w:szCs w:val="25"/>
                <w:color w:val="auto"/>
                <w:vertAlign w:val="superscript"/>
              </w:rPr>
              <w:t>(a)</w:t>
            </w:r>
          </w:p>
        </w:tc>
        <w:tc>
          <w:tcPr>
            <w:tcW w:w="9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6"/>
              </w:rPr>
              <w:t>59,817</w:t>
            </w:r>
          </w:p>
        </w:tc>
        <w:tc>
          <w:tcPr>
            <w:tcW w:w="5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6,296</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90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6"/>
              </w:rPr>
              <w:t>12,505</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8,929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limitation</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3,532</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liabilities</w:t>
            </w:r>
          </w:p>
        </w:tc>
        <w:tc>
          <w:tcPr>
            <w:tcW w:w="90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3,053</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4,545</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2,138</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9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96"/>
              </w:rPr>
              <w:t>89,405</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28,397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auto"/>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Less: valuation allowance </w:t>
            </w:r>
            <w:r>
              <w:rPr>
                <w:rFonts w:ascii="Times New Roman" w:cs="Times New Roman" w:eastAsia="Times New Roman" w:hAnsi="Times New Roman"/>
                <w:sz w:val="25"/>
                <w:szCs w:val="25"/>
                <w:color w:val="auto"/>
                <w:vertAlign w:val="superscript"/>
              </w:rPr>
              <w:t>(b)</w:t>
            </w:r>
          </w:p>
        </w:tc>
        <w:tc>
          <w:tcPr>
            <w:tcW w:w="9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deferred tax assets, net of the valuation allowance</w:t>
            </w:r>
          </w:p>
        </w:tc>
        <w:tc>
          <w:tcPr>
            <w:tcW w:w="900" w:type="dxa"/>
            <w:vAlign w:val="bottom"/>
          </w:tcPr>
          <w:p>
            <w:pPr>
              <w:spacing w:after="0"/>
              <w:rPr>
                <w:sz w:val="20"/>
                <w:szCs w:val="20"/>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6"/>
              </w:rPr>
              <w:t>87,176</w:t>
            </w:r>
          </w:p>
        </w:tc>
        <w:tc>
          <w:tcPr>
            <w:tcW w:w="5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25,703</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and other assets</w:t>
            </w:r>
          </w:p>
        </w:tc>
        <w:tc>
          <w:tcPr>
            <w:tcW w:w="9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gross deferred tax liabilities</w:t>
            </w:r>
          </w:p>
        </w:tc>
        <w:tc>
          <w:tcPr>
            <w:tcW w:w="9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(5,515)</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(3,120)</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deferred taxes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6"/>
              </w:rPr>
              <w:t>81,661</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22,583</w:t>
            </w:r>
          </w:p>
        </w:tc>
      </w:tr>
      <w:tr>
        <w:trPr>
          <w:trHeight w:val="27"/>
        </w:trPr>
        <w:tc>
          <w:tcPr>
            <w:tcW w:w="8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left="66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2018, the Company had pre-tax consolidated federal net operating losses ("NOLs") of $203.5 million. The federal NOLs no longer expire under the new TCJA. The Company's NOLs will be available to offset taxable income subject to the Internal Revenue Code Section 382 annual limitation. In addition, the Company has state NOLs of approximately $498.5 million at December 31, 2018 that will expire at various times between 2020 and 2038.</w:t>
      </w:r>
    </w:p>
    <w:p>
      <w:pPr>
        <w:spacing w:after="0" w:line="1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valuation allowance is related to items for which it is </w:t>
      </w:r>
      <w:r>
        <w:rPr>
          <w:rFonts w:ascii="Times New Roman" w:cs="Times New Roman" w:eastAsia="Times New Roman" w:hAnsi="Times New Roman"/>
          <w:sz w:val="18"/>
          <w:szCs w:val="18"/>
          <w:i w:val="1"/>
          <w:iCs w:val="1"/>
          <w:color w:val="auto"/>
        </w:rPr>
        <w:t>"more likely than not"</w:t>
      </w:r>
      <w:r>
        <w:rPr>
          <w:rFonts w:ascii="Times New Roman" w:cs="Times New Roman" w:eastAsia="Times New Roman" w:hAnsi="Times New Roman"/>
          <w:sz w:val="18"/>
          <w:szCs w:val="18"/>
          <w:color w:val="auto"/>
        </w:rPr>
        <w:t xml:space="preserve"> that the tax benefit will not be realized.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Deferred income taxes are presented in the accompanying consolidated balance sheets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96"/>
              </w:rPr>
              <w:t>79,289</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20,156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900" w:type="dxa"/>
            <w:vAlign w:val="bottom"/>
          </w:tcPr>
          <w:p>
            <w:pPr>
              <w:spacing w:after="0"/>
              <w:rPr>
                <w:sz w:val="21"/>
                <w:szCs w:val="21"/>
                <w:color w:val="auto"/>
              </w:rPr>
            </w:pPr>
          </w:p>
        </w:tc>
        <w:tc>
          <w:tcPr>
            <w:tcW w:w="6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3,266</w:t>
            </w:r>
          </w:p>
        </w:tc>
        <w:tc>
          <w:tcPr>
            <w:tcW w:w="5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2,427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deferred taxes</w:t>
            </w: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96"/>
              </w:rPr>
              <w:t>81,661</w:t>
            </w:r>
          </w:p>
        </w:tc>
        <w:tc>
          <w:tcPr>
            <w:tcW w:w="5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22,583</w:t>
            </w:r>
          </w:p>
        </w:tc>
      </w:tr>
      <w:tr>
        <w:trPr>
          <w:trHeight w:val="34"/>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valuation allowance is provided on deferred tax assets if it is determined that it is </w:t>
      </w:r>
      <w:r>
        <w:rPr>
          <w:rFonts w:ascii="Times New Roman" w:cs="Times New Roman" w:eastAsia="Times New Roman" w:hAnsi="Times New Roman"/>
          <w:sz w:val="18"/>
          <w:szCs w:val="18"/>
          <w:i w:val="1"/>
          <w:iCs w:val="1"/>
          <w:color w:val="auto"/>
        </w:rPr>
        <w:t>"more likely than not"</w:t>
      </w:r>
      <w:r>
        <w:rPr>
          <w:rFonts w:ascii="Times New Roman" w:cs="Times New Roman" w:eastAsia="Times New Roman" w:hAnsi="Times New Roman"/>
          <w:sz w:val="18"/>
          <w:szCs w:val="18"/>
          <w:color w:val="auto"/>
        </w:rPr>
        <w:t xml:space="preserve"> that the deferred tax asset will not be realized.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each reporting date, management considers both positive and negative evidence regarding the likelihood of future realization of the deferred tax assets.</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2018, 2017 and 2016, the Company recorded a partial valuation allowance of $2.2 million, $2.7 million and $2.1 million, respectively, primarily related to state net operating losses, which the Company does not expect to be able to utilize prior to expiration.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17"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balances of the deferred tax valuation allowance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2,694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2,101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2,341</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Charges to earnings</w:t>
            </w:r>
          </w:p>
        </w:tc>
        <w:tc>
          <w:tcPr>
            <w:tcW w:w="24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(465)</w:t>
            </w:r>
          </w:p>
        </w:tc>
        <w:tc>
          <w:tcPr>
            <w:tcW w:w="3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593</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7"/>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2,229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2,694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2,101</w:t>
            </w:r>
          </w:p>
        </w:tc>
      </w:tr>
      <w:tr>
        <w:trPr>
          <w:trHeight w:val="27"/>
        </w:trPr>
        <w:tc>
          <w:tcPr>
            <w:tcW w:w="7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amounts of unrecognized tax benefits, excluding interest and penalties,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108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of the current period</w:t>
            </w:r>
          </w:p>
        </w:tc>
        <w:tc>
          <w:tcPr>
            <w:tcW w:w="9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of the prior period</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94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1,127</w:t>
            </w:r>
          </w:p>
        </w:tc>
        <w:tc>
          <w:tcPr>
            <w:tcW w:w="108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748</w:t>
            </w:r>
          </w:p>
        </w:tc>
      </w:tr>
      <w:tr>
        <w:trPr>
          <w:trHeight w:val="34"/>
        </w:trPr>
        <w:tc>
          <w:tcPr>
            <w:tcW w:w="8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Interest and, if applicable, penalties are recognized related to unrecognized tax benefits in income tax expense. Interest and penalties on unrecognized tax benefits included in income tax expense for each of the years ended December 31, 2018, 2017 and 2016 was immaterial.</w:t>
      </w:r>
    </w:p>
    <w:p>
      <w:pPr>
        <w:spacing w:after="0" w:line="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2018, the accrual for unrecognized tax benefits, including interest, was $1.2 million, which would benefit the effective tax rate if recognized. As of December 31, 2017, the accrual for unrecognized tax benefits, including interest, was $0.7 million, which would benefit the effective tax rate if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Audits</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LendingTree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the Company are recorded in the period they become known. As of December 31, 2018, the Company is subject to a federal income tax examination for the tax years 2014 through 2017. In addition, the Company is subject to state and local tax examinations for the tax years 2014 through 2017.</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May 31, 2017, the Company issued $300.0 million aggregate principal amount of its 0.625% Convertible Senior Notes due June 1, 2022 (the “Notes”) in a private placement. The Notes bear interest at a rate of 0.625% per year, payable semi-annually on June 1 and December 1 of each year, beginning on December 1, 2017. The Notes will mature on June 1, 2022, unless earlier repurchased or converted.</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initial conversion rate of the Notes is 4.8163 shares of Common Stock per $1,000 principal amount of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Notes, the Company will, in certain circumstances, increase the conversion rate by a specified number of additional shares for a holder that elects to convert the Notes in connection with such fundamental change. Upon conversion, the Notes will settle for cash, shares of the Company’s stock, or a combination thereof, at the Company’s option. It is the intent of the Company to settle the principal amount of the Notes in cash and any conversion premium in shares of its common stock.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17"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February 1, 2022, the Notes will be convertible at the option of the holders thereof only under the following circumstances:</w:t>
      </w:r>
    </w:p>
    <w:p>
      <w:pPr>
        <w:spacing w:after="0" w:line="108" w:lineRule="exact"/>
        <w:rPr>
          <w:sz w:val="20"/>
          <w:szCs w:val="20"/>
          <w:color w:val="auto"/>
        </w:rPr>
      </w:pPr>
    </w:p>
    <w:p>
      <w:pPr>
        <w:jc w:val="both"/>
        <w:ind w:left="660" w:hanging="328"/>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trading day of that period, the trading price (as defined in the Notes) per $1,000 principal amount of Notes for such trading day was less than 98% of the product of the last reported sale price of the Common Stock and the conversion rate on each such trading day; or</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including but not limited to a fundamental change.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Holders of the Notes became entitled to convert the Notes on January 1, 2018, based on the last reported sales price of the Company's common stock, for at least 20 trading days (whether or not consecutive) during the period of 30 consecutive trading days ending on December 31, 2017, being greater than or equal to 130% of the conversion price of the Notes on each applicable trading day. Holders of the Notes continued to have such right until June 30, 2018 based on the last reported sales price of the Company's common stock, for at least 20 trading days (whether or not consecutive) during the period of 30 consecutive trading days ending on March 31, 2018, being greater than or equal to 130% of the conversion price of the Notes on each applicable trading day. Holders of the Notes have not been entitled to convert the Notes since July 1, 2018. Holders of the Notes are not entitled to convert the Notes during the calendar quarter ended March 31, 2019 as the last reported sales price of the Company's common stock, for at least 20 trading days (whether or not consecutive) during the period of 30 consecutive trading days ending on December 31, 2018, was not greater than or equal to 130% of the conversion price of the Notes on each applicable trading day.</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or after February 1, 2022, until the close of business on the second scheduled trading day immediately preceding the maturity date of the Notes, holders of the Notes may convert all or a portion of their Notes regardless of the foregoing conditions.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not redeem the Notes prior to the maturity date and no sinking fund is provided for the Notes. Upon the occurrence of a fundamental change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market price per share of the Common Stock, as measured under the terms of the Notes, exceeds the conversion price of the Notes, the Notes could have a dilutive effect, unless the Company elects, subject to certain conditions, to settle the principal amount of the Notes and any conversion premium in cash.</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initial measurement of convertible debt instruments that may be settled in cash is separated into a debt and an equity component whereby the debt component is based on the fair value of a similar instrument that does not contain an equity conversion option. The separate components of debt and equity of the Company’s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Financing costs related to the issuance of the Notes were approximately $9.3 million of which $7.4 million were allocated to the liability component and are being amortized to interest expense over the term of the debt and $1.9 million were allocated to the equity component.</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2018, the Company recorded interest expense on the Notes of $14.6 million which consisted of $1.9 million associated with the 0.625% coupon rate, $11.4 million associated with the accretion of the debt discount, and $1.3 million associated with the amortization of the debt issuance costs. During 2017, the Company recorded interest expense on the Notes of $8.2 million which consisted of $1.1 million associated with the 0.625% coupon rate, $6.4 million associated with the accretion of the debt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17"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 and $0.7 million associated with the amortization of the debt issuance costs. The debt discount is being amortized over the term of the debt.</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the fair value of the Notes is estimated to be approximately $368.3 million using the Level 1 observable input of the last quoted market price on December 31, 2018.</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gross carrying amount, unamortized debt cost, debt issuance costs and net carrying value of the liability component of the Notes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2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carrying amount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300,000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43,805</w:t>
            </w:r>
          </w:p>
        </w:tc>
        <w:tc>
          <w:tcPr>
            <w:tcW w:w="3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55,202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5,252</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6,599</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250,943</w:t>
            </w: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238,199</w:t>
            </w:r>
          </w:p>
        </w:tc>
      </w:tr>
      <w:tr>
        <w:trPr>
          <w:trHeight w:val="34"/>
        </w:trPr>
        <w:tc>
          <w:tcPr>
            <w:tcW w:w="8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31, 2017, in connection with the issuance of the Notes, the Company entered into Convertible Note Hedge (the “Hedge”) and Warrant transactions with respect to the Company’s common stock. The Company used approximately $18.1 million of the net proceeds from the Notes to pay for the cost of the Hedge, after such cost was partially offset by the proceeds from the Warrant transactions.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31, 2017, the Company paid $61.5 million to the counterparties for the Hedge transactions. The Hedge transactions cover approximately 1.4 million shares of the Company’s common stock, the same number of shares initially underlying the Notes, and are exercisable upon any conversion of the Notes. The Hedge Transactions are expected generally to reduce the potential dilution to the Common Stock upon conversion of the Notes and/or offset any cash payments the Company is required to make in excess of the principal amount of the converted Notes, as the case may be, in the event that the market price per share of Common Stock, as measured under the terms of the Hedge transactions, is greater than the strike price of the Hedge transactions, which initially corresponds to the initial conversion price of the Notes, or approximately $207.63 per share of Common Stock. The Hedge transactions will expire upon the maturity of the Notes.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31, 2017, the Company sold to the counterparties, warrants (the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Warrants.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market price per share of the Common Stock, as measured under the terms of the Warrants, exceeds the strike price of the Warrants, the Warrants could have a dilutive effect, unless the Company elects, subject to certain conditions, to settle the Warrants in cash.</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Hedge and Warrant transactions are indexed to, and potentially settled in, the Company's common stock and the net cost of $18.1 million has been recorded as a reduction to additional paid-in capital in the consolidated statement of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21, 2017, the Company's wholly-owned subsidiary, LendingTree, LLC, entered into an amended and restated $250.0 million five-year senior secured revolving credit facility which matures on November 21, 2022 (the “Revolving Credit Facility”). Under certain conditions, the Company will be permitted to add one or more term loans and/or increase revolving commitments under the Revolving Credit Facility by an additional $100.0 million or a greater amount provided that a total consolidated senior secured debt to EBITDA ratio does not exceed 2.50 to 1.00. On October 26, 2018, the Company amended the Revolving Credit Facility to increase the borrowing capacity by $100.0 million to $350.0 million. Pricing and other terms and conditions of the Revolving Credit Facility remain unchanged. Borrowings under the Revolving Credit Facility can be used to finance working capital needs, capital expenditures and general corporate purposes, including to finance permitted acquisitions. As of December 31, 2018, the Company had a $125.0 million, 31-day borrowing outstanding under the Revolving Credit Facility bearing interest at the LIBO rate option of 4.02%.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22—Subsequent Events for additional information regarding the Senior Secured Revolving Credit Facility.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17" w:right="2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Up to $10.0 million of the Revolving Credit Facility will be available for short-term loans, referred to as swingline loans. Additionally, up to $10.0 million of the Revolving Credit Facility will be available for the issuance of letters of credit.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December 31, 2018.</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required to pay an unused commitment fee quarterly in arrears on the difference between committed amounts and amounts actually borrowed under the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$0.1 million in additional interest expense in the fourth quarter of 2017 due to the write-off of certain unamortized debt issuance costs associated with the original revolving credit facility entered into on October 22, 2015. In addition to the remaining unamortized debt issuance costs associated with the original revolving credit facility and the Revolving Credit Facility, debt issuance costs of $0.5 million related to the October 2018 amendment are being amortized to interest expense over the life of the Revolving Credit Facility, and are included in prepaid and other current assets and other non-current assets in the Company's consolidated balance sheet.</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2018, the Company recorded interest expense related to the Revolving Credit Facility of $2.0 million which consisted of $0.8 million associated with borrowings bearing interest at the base rate and the LIBO rate, $0.8 million in unused commitment fees, and $0.4 million associated with the amortization of the debt issuance costs. During 2017, the Company recorded interest expense related to the Revolving Credit Facility of $0.5 million in unused commitment fees and $0.4 million associated with the amortization of the debt issuance costs.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17" w:right="2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office space used in connection with its operations under various operating leases, which contain escalation clauses. The Company's operating leases relate to its office space in: Charlotte, North Carolina; Burlingame, California; Charleston, South Carolina; New York City, New York; Northbrook, Illinois; Jacksonville, Florida; Seattle, Washington; Sacramento, California; Denver, Colorado; and Makarba, India.</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Future minimum payments as of December 31, 2018 under operating lease agreements having an initial or remaining non-cancelable lease term in excess of one year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432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jc w:val="right"/>
              <w:ind w:right="5291"/>
              <w:spacing w:after="0"/>
              <w:rPr>
                <w:sz w:val="20"/>
                <w:szCs w:val="20"/>
                <w:color w:val="auto"/>
              </w:rPr>
            </w:pPr>
            <w:r>
              <w:rPr>
                <w:rFonts w:ascii="Times New Roman" w:cs="Times New Roman" w:eastAsia="Times New Roman" w:hAnsi="Times New Roman"/>
                <w:sz w:val="18"/>
                <w:szCs w:val="18"/>
                <w:color w:val="auto"/>
              </w:rPr>
              <w:t>2019</w:t>
            </w:r>
          </w:p>
        </w:tc>
        <w:tc>
          <w:tcPr>
            <w:tcW w:w="4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4,406</w:t>
            </w:r>
          </w:p>
        </w:tc>
      </w:tr>
      <w:tr>
        <w:trPr>
          <w:trHeight w:val="243"/>
        </w:trPr>
        <w:tc>
          <w:tcPr>
            <w:tcW w:w="5920" w:type="dxa"/>
            <w:vAlign w:val="bottom"/>
          </w:tcPr>
          <w:p>
            <w:pPr>
              <w:jc w:val="right"/>
              <w:ind w:right="5291"/>
              <w:spacing w:after="0"/>
              <w:rPr>
                <w:sz w:val="20"/>
                <w:szCs w:val="20"/>
                <w:color w:val="auto"/>
              </w:rPr>
            </w:pPr>
            <w:r>
              <w:rPr>
                <w:rFonts w:ascii="Times New Roman" w:cs="Times New Roman" w:eastAsia="Times New Roman" w:hAnsi="Times New Roman"/>
                <w:sz w:val="18"/>
                <w:szCs w:val="18"/>
                <w:color w:val="auto"/>
              </w:rPr>
              <w:t>2020</w:t>
            </w:r>
          </w:p>
        </w:tc>
        <w:tc>
          <w:tcPr>
            <w:tcW w:w="4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3,188</w:t>
            </w:r>
          </w:p>
        </w:tc>
      </w:tr>
      <w:tr>
        <w:trPr>
          <w:trHeight w:val="27"/>
        </w:trPr>
        <w:tc>
          <w:tcPr>
            <w:tcW w:w="5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jc w:val="right"/>
              <w:ind w:right="5291"/>
              <w:spacing w:after="0"/>
              <w:rPr>
                <w:sz w:val="20"/>
                <w:szCs w:val="20"/>
                <w:color w:val="auto"/>
              </w:rPr>
            </w:pPr>
            <w:r>
              <w:rPr>
                <w:rFonts w:ascii="Times New Roman" w:cs="Times New Roman" w:eastAsia="Times New Roman" w:hAnsi="Times New Roman"/>
                <w:sz w:val="18"/>
                <w:szCs w:val="18"/>
                <w:color w:val="auto"/>
              </w:rPr>
              <w:t>2021</w:t>
            </w:r>
          </w:p>
        </w:tc>
        <w:tc>
          <w:tcPr>
            <w:tcW w:w="4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1,094</w:t>
            </w:r>
          </w:p>
        </w:tc>
      </w:tr>
      <w:tr>
        <w:trPr>
          <w:trHeight w:val="243"/>
        </w:trPr>
        <w:tc>
          <w:tcPr>
            <w:tcW w:w="5920" w:type="dxa"/>
            <w:vAlign w:val="bottom"/>
          </w:tcPr>
          <w:p>
            <w:pPr>
              <w:jc w:val="right"/>
              <w:ind w:right="5291"/>
              <w:spacing w:after="0"/>
              <w:rPr>
                <w:sz w:val="20"/>
                <w:szCs w:val="20"/>
                <w:color w:val="auto"/>
              </w:rPr>
            </w:pPr>
            <w:r>
              <w:rPr>
                <w:rFonts w:ascii="Times New Roman" w:cs="Times New Roman" w:eastAsia="Times New Roman" w:hAnsi="Times New Roman"/>
                <w:sz w:val="18"/>
                <w:szCs w:val="18"/>
                <w:color w:val="auto"/>
              </w:rPr>
              <w:t>2022</w:t>
            </w:r>
          </w:p>
        </w:tc>
        <w:tc>
          <w:tcPr>
            <w:tcW w:w="4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736</w:t>
            </w:r>
          </w:p>
        </w:tc>
      </w:tr>
      <w:tr>
        <w:trPr>
          <w:trHeight w:val="27"/>
        </w:trPr>
        <w:tc>
          <w:tcPr>
            <w:tcW w:w="5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jc w:val="right"/>
              <w:ind w:right="5291"/>
              <w:spacing w:after="0"/>
              <w:rPr>
                <w:sz w:val="20"/>
                <w:szCs w:val="20"/>
                <w:color w:val="auto"/>
              </w:rPr>
            </w:pPr>
            <w:r>
              <w:rPr>
                <w:rFonts w:ascii="Times New Roman" w:cs="Times New Roman" w:eastAsia="Times New Roman" w:hAnsi="Times New Roman"/>
                <w:sz w:val="18"/>
                <w:szCs w:val="18"/>
                <w:color w:val="auto"/>
              </w:rPr>
              <w:t>2023</w:t>
            </w:r>
          </w:p>
        </w:tc>
        <w:tc>
          <w:tcPr>
            <w:tcW w:w="4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r>
      <w:tr>
        <w:trPr>
          <w:trHeight w:val="237"/>
        </w:trPr>
        <w:tc>
          <w:tcPr>
            <w:tcW w:w="5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3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9,652</w:t>
            </w:r>
          </w:p>
        </w:tc>
      </w:tr>
      <w:tr>
        <w:trPr>
          <w:trHeight w:val="34"/>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Rental expense for all operating leases, except those with terms of a month or less that were not renewed, charged to continuing operations was $3.4 million, $2.0 million and $1.6 million, for each of the years ended December 31, 2018, 2017 and 2016, respectively, which is included in general and administrative expense in the consolidated statements of operations and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funding commitments that could potentially require performance in the event of demands by third parties or contingent events,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20" w:type="dxa"/>
            <w:vAlign w:val="bottom"/>
            <w:gridSpan w:val="4"/>
          </w:tcPr>
          <w:p>
            <w:pPr>
              <w:jc w:val="center"/>
              <w:ind w:left="817"/>
              <w:spacing w:after="0"/>
              <w:rPr>
                <w:sz w:val="20"/>
                <w:szCs w:val="20"/>
                <w:color w:val="auto"/>
              </w:rPr>
            </w:pPr>
            <w:r>
              <w:rPr>
                <w:rFonts w:ascii="Times New Roman" w:cs="Times New Roman" w:eastAsia="Times New Roman" w:hAnsi="Times New Roman"/>
                <w:sz w:val="16"/>
                <w:szCs w:val="16"/>
                <w:b w:val="1"/>
                <w:bCs w:val="1"/>
                <w:color w:val="auto"/>
              </w:rPr>
              <w:t>Commitments Due By Period</w:t>
            </w: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7"/>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rPr>
              <w:t>More Than</w:t>
            </w:r>
          </w:p>
        </w:tc>
      </w:tr>
      <w:tr>
        <w:trPr>
          <w:trHeight w:val="212"/>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Pr>
          <w:p>
            <w:pPr>
              <w:spacing w:after="0"/>
              <w:rPr>
                <w:sz w:val="18"/>
                <w:szCs w:val="18"/>
                <w:color w:val="auto"/>
              </w:rPr>
            </w:pPr>
          </w:p>
        </w:tc>
        <w:tc>
          <w:tcPr>
            <w:tcW w:w="124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380" w:type="dxa"/>
            <w:vAlign w:val="bottom"/>
          </w:tcPr>
          <w:p>
            <w:pPr>
              <w:spacing w:after="0"/>
              <w:rPr>
                <w:sz w:val="18"/>
                <w:szCs w:val="18"/>
                <w:color w:val="auto"/>
              </w:rPr>
            </w:pPr>
          </w:p>
        </w:tc>
        <w:tc>
          <w:tcPr>
            <w:tcW w:w="120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400" w:type="dxa"/>
            <w:vAlign w:val="bottom"/>
          </w:tcPr>
          <w:p>
            <w:pPr>
              <w:spacing w:after="0"/>
              <w:rPr>
                <w:sz w:val="18"/>
                <w:szCs w:val="18"/>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240" w:type="dxa"/>
            <w:vAlign w:val="bottom"/>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9"/>
              </w:rPr>
              <w:t>5 years</w:t>
            </w:r>
          </w:p>
        </w:tc>
      </w:tr>
      <w:tr>
        <w:trPr>
          <w:trHeight w:val="33"/>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54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Surety bonds </w:t>
            </w:r>
            <w:r>
              <w:rPr>
                <w:rFonts w:ascii="Times New Roman" w:cs="Times New Roman" w:eastAsia="Times New Roman" w:hAnsi="Times New Roman"/>
                <w:sz w:val="25"/>
                <w:szCs w:val="25"/>
                <w:color w:val="auto"/>
                <w:vertAlign w:val="superscript"/>
              </w:rPr>
              <w:t>(a)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4,193</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4,168</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left="500" w:hanging="330"/>
        <w:spacing w:after="0" w:line="261" w:lineRule="auto"/>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certain other commitments through 2020, where the commitments for these contracts range from $2.9 million to $5.2 million each year throughout the remaining life of the contract.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15, unless otherwise indicated, the Company is unable to estimate the possible loss or range of losses that could potentially result from the application of such non-monetary remedies.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17" w:right="2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and 2017, the Company had litigation settlement accruals of $0.2 million and $0.3 million, respectively, in continuing operations and $8.0 million and $4.0 million, respectively, in discontinued operations. The litigation settlement accruals relate to litigation matters that were either settled or a firm offer for settlement was extended, thereby establishing an accrual amount that is both probable and reasonably estimable.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Litigation Related to Discontinued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Residential Funding Company</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Residential Funding Company, LLC v Home Loan Center, Inc., No. 13-cv-3451 (U.S. Dist. Ct., Minn.). </w:t>
      </w:r>
      <w:r>
        <w:rPr>
          <w:rFonts w:ascii="Times New Roman" w:cs="Times New Roman" w:eastAsia="Times New Roman" w:hAnsi="Times New Roman"/>
          <w:sz w:val="18"/>
          <w:szCs w:val="18"/>
          <w:color w:val="auto"/>
        </w:rPr>
        <w:t>On or about December 16, 2013, Home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HLC, in federal and state courts in Minnesota and New York. In each case, Plaintiff claims that the defendant is liable for a portion of the global settlements in RFC’s bankruptcy.</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Plaintiff asserts two claims against HLC: (1) breach of contract based on HLC’s alleged breach of representations and warranties concerning the quality and characteristics of the mortgage loans it sold to RFC; and (2) contractual indemnification for alleged liabilities, losses, and damages incurred by RFC arising out of purported defects in loans that RFC purchased from HLC and sold to third parties. Plaintiff alleges that the “types of defects” contained in the loans it purchased from HLC included “income misrepresentation, employment misrepresentation, appraisal misrepresentations or inaccuracies, undisclosed debt, and missing or inaccurate documents.” Plaintiff sought damages of up to $61.0 million plus attorney's fees and prejudgment interest.</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HLC denied the material allegations of the complaint and asserted numerous defenses thereto. The matter went to trial in October 2018, and the jury returned a verdict of $28.7 million in favor of Plaintiff. Plaintiff is also seeking up to $28.8 million in attorneys’ fees and $30.6 million in pre-judgment interest in addition to the jury verdict amount. As of February 28, 2019, the court has not yet entered judgment in favor of Plaintiff. HLC believes it has strong grounds for appeal and further believes that Plaintiff’s demand for attorneys’ fees and pre-judgment interest is excessive (and, if granted, would be subject to appeal). HLC intends to vigorously pursue an appeal. The Company estimates the range of HLC’s potential losses in the RFC matter to be $0.0 million to $88.1 million. An estimated liability of $7.0 million for this matter is included in the accompanying consolidated balance sheet as of December 31, 2018.</w:t>
      </w:r>
    </w:p>
    <w:p>
      <w:pPr>
        <w:spacing w:after="0" w:line="4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Lehman Brothers Holdings, Inc.</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Lehman Brothers Holdings Inc. v. Home Loan Center, Inc., Case No. 08-13555 (SCC), Adversary Proceeding No. 16-01342 (SCC) (Bankr. S.D.N.Y.).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2016, Lehman Brothers Holdings Inc. (“LBHI”) filed an Adversary Complaint against HLC and approximately 149 other defendants (the “Complaint”). In December 2018, LBHI amended its complaint against HLC. The amended complaint references approximately 370 allegedly defective mortgage loans sold by HLC with purported "Claim Amounts" totaling $40.2 million. LBHI alleges it settled all such claims and is seeking indemnification from HLC for LBHI’s purported losses and liabilities associated with such settlements, plus prejudgment interest, attorneys’ fees, litigation costs and other expenses. The amended complaint does not specify the amount of LBHI’s purported damages. HLC believes that these claims lack merit and intends to defend this action vigorously. An estimated liability of $1.0 million for this matter is included in the accompanying consolidated balance sheet as of December 31, 2018.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16—FAIR VALUE MEASUREMENTS</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Other than the Notes and the Warrants, the carrying amounts of the Company's financial instruments are equal to fair value at December 31, 2018.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13—Debt for additional information on the Notes and the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17" w:right="2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Contingent consideration payments related to acquisitions are measured at fair value each reporting period using Level 3 unobservable inputs. The changes in the fair value of the Company's Level 3 liabilities during the years ended December 31, 2018, 2017 and 2016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2"/>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Contingent consideration, beginning of period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57,349</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23,100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Transfers into Level 3</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Transfers out of Level 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(gains) losses included in earnings (realized and unrealized)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23,931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11,318</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23,100</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Contingent consideration,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38,837</w:t>
            </w:r>
          </w:p>
        </w:tc>
        <w:tc>
          <w:tcPr>
            <w:tcW w:w="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57,349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23,100</w:t>
            </w:r>
          </w:p>
        </w:tc>
      </w:tr>
      <w:tr>
        <w:trPr>
          <w:trHeight w:val="27"/>
        </w:trPr>
        <w:tc>
          <w:tcPr>
            <w:tcW w:w="74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contingent consideration liability at December 31, 2018 is the estimated fair value of the earnout payments of the DepositAccounts, SnapCap, Ovation, and QuoteWizard acquisitions. The contingent consideration liability at December 31, 2017 was the estimated fair value of the earnout payments of the CompareCards, DepositAccounts, and SnapCap acquisitions. The contingent consideration liability at December 31, 2016 was the estimated fair value of the earnout payments of the CompareCards acquisition. The Company will make earnout payments ranging from $3.0 million to $4.0 million based on the achievement of defined milestone and performance targets for DepositAccounts, payments ranging from $3.0 million to $9.0 million based on the achievement of certain defined earnings targets for SnapCap, payments ranging from zero to $8.75 million based on the achievement of certain defined operating metrics for Ovation, and payments ranging from zero to $70.2 million based on the achievement of certain defined performance targets for QuoteWizard.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8—Business Acquisitions for additional information on the contingent consideration for each of these respective acquisitions.</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significant unobservable inputs used to calculate the fair value of the contingent consideration are estimated future cash flows for the acquisitions, estimated customer growth rates, estimated date and likelihood of an increase in interest rates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17—RELATED PARTY TRANSACTIONS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One of the Company's board of directors also serves as a director to a marketing partner of the Company. During 2018, 2017 and 2016, the Company recognized $0.7 million, $1.2 million and $1.3 million, respectively, of expenses for this marketing partner through the normal course of business.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fourth quarter of 2017, the Company's Board of Directors approved a $10.0 million contribution to fund the newly formed LendingTree Foundation. The Company expects to pay $3.3 million of the $10.0 million contribution in 2019, and the remainder by 2021. Officers of the Company serve as officers of the LendingTree Foundation. The contribution is recorded in general and administrative expense on the consolidated statement of operations and comprehensive income.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17"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18—BENEFIT PLANS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operates a retirement savings plan for its employees in the United States that is qualified under Section 401(k) of the Internal Revenue Code. Employees are eligible to enroll in the plan upon date of hire. Participating employees may contribute up to 50% of their pre-tax earnings, but not more than statutory limits ($18,000 for 2016 and 2017, and $18,500 for 2018). The company match contribution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LendingTree stock is not included in the available investment options or the plan assets. Funds contributed to the plan vest according to the participant's years of service, with less than three years of service vesting at 0%, and three years or more of service vesting at 100%. Matching contributions were approximately $1.4 million, $0.9 million and $0.7 million for the years ended December 31, 2018, 2017 and 2016,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19—DISCONTINUED OPERATIONS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revenue and net loss reported as discontinued operations in the accompanying consolidated statements of operations and comprehensive income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81"/>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1,325</w:t>
            </w:r>
          </w:p>
        </w:tc>
      </w:tr>
      <w:tr>
        <w:trPr>
          <w:trHeight w:val="324"/>
        </w:trPr>
        <w:tc>
          <w:tcPr>
            <w:tcW w:w="7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21"/>
                <w:szCs w:val="21"/>
                <w:color w:val="auto"/>
              </w:rPr>
            </w:pP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3,408</w:t>
            </w:r>
          </w:p>
        </w:tc>
        <w:tc>
          <w:tcPr>
            <w:tcW w:w="3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2,069</w:t>
            </w:r>
          </w:p>
        </w:tc>
        <w:tc>
          <w:tcPr>
            <w:tcW w:w="3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2,014</w:t>
            </w:r>
          </w:p>
        </w:tc>
      </w:tr>
      <w:tr>
        <w:trPr>
          <w:trHeight w:val="27"/>
        </w:trPr>
        <w:tc>
          <w:tcPr>
            <w:tcW w:w="7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(3,714)</w:t>
            </w:r>
          </w:p>
        </w:tc>
      </w:tr>
      <w:tr>
        <w:trPr>
          <w:trHeight w:val="27"/>
        </w:trPr>
        <w:tc>
          <w:tcPr>
            <w:tcW w:w="7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2018, 2017 and 2016, loss from discontinued operations was primarily due to litigation settlements and contingencies and legal fees associated with ongoing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LendingTree Loans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6, 2012, the Company sold substantially all of the operating assets of its LendingTree Loans business for $55.9 million in cash to a wholly-owned subsidiary of Discover Financial Services ("Discover").</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Discover generally did not assume liabilities of the LendingTree Loans business that arose before the closing date, except for certain liabilities directly related to assets Discover acquired. Of the purchase price received, a portion was deposited in escrow in accordance with the agreement with Discover for certain loan loss obligations that remain with the Company following the sale. During the second quarter of 2018, the remaining funds in escrow were released to the Company in accordance with the terms of the agreement with Discover.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closing of the sale of substantially all of the operating assets of the LendingTree Loans business on June 6, 2012, LendingTree Loans ceased to originate consumer loans. Liability for losses on previously sold loans will remain with LendingTree Loans and are discussed below.</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 Loss Obligations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17" w:right="2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aggregate loans sold, subsequent settlements and remaining unsettled loans as of December 31,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Pr>
          <w:p>
            <w:pPr>
              <w:spacing w:after="0"/>
              <w:rPr>
                <w:sz w:val="18"/>
                <w:szCs w:val="18"/>
                <w:color w:val="auto"/>
              </w:rPr>
            </w:pPr>
          </w:p>
        </w:tc>
        <w:tc>
          <w:tcPr>
            <w:tcW w:w="1720" w:type="dxa"/>
            <w:vAlign w:val="bottom"/>
          </w:tcPr>
          <w:p>
            <w:pPr>
              <w:jc w:val="center"/>
              <w:ind w:left="383"/>
              <w:spacing w:after="0"/>
              <w:rPr>
                <w:sz w:val="20"/>
                <w:szCs w:val="20"/>
                <w:color w:val="auto"/>
              </w:rPr>
            </w:pPr>
            <w:r>
              <w:rPr>
                <w:rFonts w:ascii="Times New Roman" w:cs="Times New Roman" w:eastAsia="Times New Roman" w:hAnsi="Times New Roman"/>
                <w:sz w:val="16"/>
                <w:szCs w:val="16"/>
                <w:b w:val="1"/>
                <w:bCs w:val="1"/>
                <w:color w:val="auto"/>
              </w:rPr>
              <w:t>Number of Loans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Original Issue Balance</w:t>
            </w:r>
          </w:p>
        </w:tc>
      </w:tr>
      <w:tr>
        <w:trPr>
          <w:trHeight w:val="33"/>
        </w:trPr>
        <w:tc>
          <w:tcPr>
            <w:tcW w:w="69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9"/>
        </w:trPr>
        <w:tc>
          <w:tcPr>
            <w:tcW w:w="6980" w:type="dxa"/>
            <w:vAlign w:val="bottom"/>
          </w:tcPr>
          <w:p>
            <w:pPr>
              <w:spacing w:after="0"/>
              <w:rPr>
                <w:sz w:val="22"/>
                <w:szCs w:val="22"/>
                <w:color w:val="auto"/>
              </w:rPr>
            </w:pPr>
          </w:p>
        </w:tc>
        <w:tc>
          <w:tcPr>
            <w:tcW w:w="1720" w:type="dxa"/>
            <w:vAlign w:val="bottom"/>
          </w:tcPr>
          <w:p>
            <w:pPr>
              <w:jc w:val="center"/>
              <w:ind w:left="38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jc w:val="right"/>
              <w:ind w:right="655"/>
              <w:spacing w:after="0"/>
              <w:rPr>
                <w:sz w:val="20"/>
                <w:szCs w:val="20"/>
                <w:color w:val="auto"/>
              </w:rPr>
            </w:pPr>
            <w:r>
              <w:rPr>
                <w:rFonts w:ascii="Times New Roman" w:cs="Times New Roman" w:eastAsia="Times New Roman" w:hAnsi="Times New Roman"/>
                <w:sz w:val="14"/>
                <w:szCs w:val="14"/>
                <w:i w:val="1"/>
                <w:iCs w:val="1"/>
                <w:color w:val="auto"/>
              </w:rPr>
              <w:t>(in billions)</w:t>
            </w:r>
          </w:p>
        </w:tc>
      </w:tr>
      <w:tr>
        <w:trPr>
          <w:trHeight w:val="255"/>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sold by HLC</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8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Subsequent settlements</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(172)</w:t>
            </w:r>
          </w:p>
        </w:tc>
        <w:tc>
          <w:tcPr>
            <w:tcW w:w="2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6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Remaining unsettled loans</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98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the Company's own settlement experience, as well as LendingTree Loans' non-operating status, in order to estimate a range of potential obligation.</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range of remaining loan losses using this settlement discount framework was determined to be $4.3 million to $7.9 million at December 31, 2018. The reserve balance recorded as of December 31, 2018 was $7.6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historical experience, it is anticipated that LendingTree Loans will continue to receive repurchase requests and incur losses on loans sold in prior years.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activity related to loss reserves on previously sold loans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Loan loss reserve, beginning of period</w:t>
            </w:r>
          </w:p>
        </w:tc>
        <w:tc>
          <w:tcPr>
            <w:tcW w:w="3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7,554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6,804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8,127</w:t>
            </w:r>
          </w:p>
        </w:tc>
      </w:tr>
      <w:tr>
        <w:trPr>
          <w:trHeight w:val="270"/>
        </w:trPr>
        <w:tc>
          <w:tcPr>
            <w:tcW w:w="42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Provision adjustments </w:t>
            </w:r>
            <w:r>
              <w:rPr>
                <w:rFonts w:ascii="Times New Roman" w:cs="Times New Roman" w:eastAsia="Times New Roman" w:hAnsi="Times New Roman"/>
                <w:sz w:val="25"/>
                <w:szCs w:val="25"/>
                <w:color w:val="auto"/>
                <w:vertAlign w:val="superscript"/>
              </w:rPr>
              <w:t>(a)</w:t>
            </w:r>
          </w:p>
        </w:tc>
        <w:tc>
          <w:tcPr>
            <w:tcW w:w="3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750</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75"/>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Charge-offs to reserves</w:t>
            </w:r>
          </w:p>
        </w:tc>
        <w:tc>
          <w:tcPr>
            <w:tcW w:w="3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Loan loss reserve, end of period</w:t>
            </w:r>
          </w:p>
        </w:tc>
        <w:tc>
          <w:tcPr>
            <w:tcW w:w="37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7,554</w:t>
            </w:r>
          </w:p>
        </w:tc>
        <w:tc>
          <w:tcPr>
            <w:tcW w:w="3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7,554</w:t>
            </w:r>
          </w:p>
        </w:tc>
        <w:tc>
          <w:tcPr>
            <w:tcW w:w="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6,804</w:t>
            </w:r>
          </w:p>
        </w:tc>
      </w:tr>
      <w:tr>
        <w:trPr>
          <w:trHeight w:val="34"/>
        </w:trPr>
        <w:tc>
          <w:tcPr>
            <w:tcW w:w="42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459"/>
        </w:trPr>
        <w:tc>
          <w:tcPr>
            <w:tcW w:w="4280" w:type="dxa"/>
            <w:vAlign w:val="bottom"/>
          </w:tcPr>
          <w:p>
            <w:pPr>
              <w:spacing w:after="0"/>
              <w:rPr>
                <w:sz w:val="24"/>
                <w:szCs w:val="24"/>
                <w:color w:val="auto"/>
              </w:rPr>
            </w:pPr>
          </w:p>
        </w:tc>
        <w:tc>
          <w:tcPr>
            <w:tcW w:w="35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2016, the Company adjusted the loan loss reserve by $1.8 million to remove the estimated liability for loans sold to RFC. The Company is in litigation with RFC and separately reserved for the estimated loss for this litigation.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15—Contingencies for additional information about the RFC litigation.</w:t>
      </w:r>
    </w:p>
    <w:p>
      <w:pPr>
        <w:spacing w:after="0" w:line="12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liability for losses on previously sold loans is presented as current liabilities of discontinued operations in the accompanying consolidated balance sheets as of December 31, 2018 and 2017.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20—SEGMENT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one reportable segment.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Mortgage and non-mortgage product 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4"/>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2018</w:t>
            </w:r>
          </w:p>
        </w:tc>
        <w:tc>
          <w:tcPr>
            <w:tcW w:w="4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4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242,175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275,910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219,991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Non-mortgage products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522,690</w:t>
            </w:r>
          </w:p>
        </w:tc>
        <w:tc>
          <w:tcPr>
            <w:tcW w:w="4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341,826</w:t>
            </w: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164,411</w:t>
            </w: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764,865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617,736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384,402</w:t>
            </w:r>
          </w:p>
        </w:tc>
      </w:tr>
      <w:tr>
        <w:trPr>
          <w:trHeight w:val="27"/>
        </w:trPr>
        <w:tc>
          <w:tcPr>
            <w:tcW w:w="7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21—QUARTERLY FINANCIAL INFORMATION (UNAUDITED)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summary financial information for the years ended December 31, 2018 and 2017:</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Q1</w:t>
            </w:r>
          </w:p>
        </w:tc>
        <w:tc>
          <w:tcPr>
            <w:tcW w:w="46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Q2</w:t>
            </w:r>
          </w:p>
        </w:tc>
        <w:tc>
          <w:tcPr>
            <w:tcW w:w="400" w:type="dxa"/>
            <w:vAlign w:val="bottom"/>
          </w:tcPr>
          <w:p>
            <w:pPr>
              <w:spacing w:after="0"/>
              <w:rPr>
                <w:sz w:val="18"/>
                <w:szCs w:val="18"/>
                <w:color w:val="auto"/>
              </w:rPr>
            </w:pPr>
          </w:p>
        </w:tc>
        <w:tc>
          <w:tcPr>
            <w:tcW w:w="112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Q3</w:t>
            </w: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Q4</w:t>
            </w:r>
          </w:p>
        </w:tc>
      </w:tr>
      <w:tr>
        <w:trPr>
          <w:trHeight w:val="33"/>
        </w:trPr>
        <w:tc>
          <w:tcPr>
            <w:tcW w:w="5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181,035</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184,101</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197,057</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202,672</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15,350</w:t>
            </w: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18,123</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20,290</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2,428</w:t>
            </w:r>
          </w:p>
        </w:tc>
      </w:tr>
      <w:tr>
        <w:trPr>
          <w:trHeight w:val="270"/>
        </w:trPr>
        <w:tc>
          <w:tcPr>
            <w:tcW w:w="56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from continuing operations </w:t>
            </w:r>
            <w:r>
              <w:rPr>
                <w:rFonts w:ascii="Times New Roman" w:cs="Times New Roman" w:eastAsia="Times New Roman" w:hAnsi="Times New Roman"/>
                <w:sz w:val="25"/>
                <w:szCs w:val="25"/>
                <w:color w:val="auto"/>
                <w:vertAlign w:val="superscript"/>
              </w:rPr>
              <w:t>(1)</w:t>
            </w:r>
          </w:p>
        </w:tc>
        <w:tc>
          <w:tcPr>
            <w:tcW w:w="3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35,857</w:t>
            </w:r>
          </w:p>
        </w:tc>
        <w:tc>
          <w:tcPr>
            <w:tcW w:w="46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44,849</w:t>
            </w:r>
          </w:p>
        </w:tc>
        <w:tc>
          <w:tcPr>
            <w:tcW w:w="400" w:type="dxa"/>
            <w:vAlign w:val="bottom"/>
          </w:tcPr>
          <w:p>
            <w:pPr>
              <w:spacing w:after="0"/>
              <w:rPr>
                <w:sz w:val="23"/>
                <w:szCs w:val="23"/>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28,362</w:t>
            </w:r>
          </w:p>
        </w:tc>
        <w:tc>
          <w:tcPr>
            <w:tcW w:w="3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251</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(2,302)</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(2,634)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31,524</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42,547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25,728</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per share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3.61</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per share from discontinued operations: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(0.16)</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3.43</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0"/>
        </w:trPr>
        <w:tc>
          <w:tcPr>
            <w:tcW w:w="5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500" w:hanging="330"/>
        <w:spacing w:after="0" w:line="282"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fourth quarter of 2018 includes contingent consideration expense of $6.8 million for the QuoteWizard acquisition due to an increased probability of achievement of certain defined performance targets for QuoteWizard.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117" w:right="2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Q1</w:t>
            </w:r>
          </w:p>
        </w:tc>
        <w:tc>
          <w:tcPr>
            <w:tcW w:w="46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Q2</w:t>
            </w:r>
          </w:p>
        </w:tc>
        <w:tc>
          <w:tcPr>
            <w:tcW w:w="400" w:type="dxa"/>
            <w:vAlign w:val="bottom"/>
          </w:tcPr>
          <w:p>
            <w:pPr>
              <w:spacing w:after="0"/>
              <w:rPr>
                <w:sz w:val="18"/>
                <w:szCs w:val="18"/>
                <w:color w:val="auto"/>
              </w:rPr>
            </w:pPr>
          </w:p>
        </w:tc>
        <w:tc>
          <w:tcPr>
            <w:tcW w:w="112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Q3</w:t>
            </w: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Q4</w:t>
            </w:r>
          </w:p>
        </w:tc>
      </w:tr>
      <w:tr>
        <w:trPr>
          <w:trHeight w:val="33"/>
        </w:trPr>
        <w:tc>
          <w:tcPr>
            <w:tcW w:w="5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132,515</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152,773</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171,494</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160,954</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Operating income (expense) </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6,884</w:t>
            </w: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8,969</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17,455</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70"/>
        </w:trPr>
        <w:tc>
          <w:tcPr>
            <w:tcW w:w="56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(loss) from continuing operations </w:t>
            </w:r>
            <w:r>
              <w:rPr>
                <w:rFonts w:ascii="Times New Roman" w:cs="Times New Roman" w:eastAsia="Times New Roman" w:hAnsi="Times New Roman"/>
                <w:sz w:val="25"/>
                <w:szCs w:val="25"/>
                <w:color w:val="auto"/>
                <w:vertAlign w:val="superscript"/>
              </w:rPr>
              <w:t>(1) (2)</w:t>
            </w:r>
          </w:p>
        </w:tc>
        <w:tc>
          <w:tcPr>
            <w:tcW w:w="3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7,798</w:t>
            </w:r>
          </w:p>
        </w:tc>
        <w:tc>
          <w:tcPr>
            <w:tcW w:w="46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8,007</w:t>
            </w:r>
          </w:p>
        </w:tc>
        <w:tc>
          <w:tcPr>
            <w:tcW w:w="400" w:type="dxa"/>
            <w:vAlign w:val="bottom"/>
          </w:tcPr>
          <w:p>
            <w:pPr>
              <w:spacing w:after="0"/>
              <w:rPr>
                <w:sz w:val="23"/>
                <w:szCs w:val="23"/>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10,131</w:t>
            </w: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(689)</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(1,011)</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6,866</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7,318</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9,120</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per share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0.66</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0.67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0.84</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0.59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0.74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per share from discontinued operations: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0.58</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0.61</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0.76</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0.54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0.66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20"/>
        </w:trPr>
        <w:tc>
          <w:tcPr>
            <w:tcW w:w="5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500" w:hanging="330"/>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2017, the Company's Board of Directors approved a $10.0 million contribution to fund the newly formed LendingTree Foundation. The contribution is recorded in general and administrative expense on the consolidated statement of operations and comprehensive income.</w:t>
      </w:r>
    </w:p>
    <w:p>
      <w:pPr>
        <w:spacing w:after="0" w:line="174" w:lineRule="exact"/>
        <w:rPr>
          <w:rFonts w:ascii="Times New Roman" w:cs="Times New Roman" w:eastAsia="Times New Roman" w:hAnsi="Times New Roman"/>
          <w:sz w:val="18"/>
          <w:szCs w:val="18"/>
          <w:color w:val="auto"/>
        </w:rPr>
      </w:pPr>
    </w:p>
    <w:p>
      <w:pPr>
        <w:ind w:left="500" w:right="20" w:hanging="330"/>
        <w:spacing w:after="0" w:line="284"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fourth quarter of 2017, the Company recorded a net tax expense of $9.1 million related to the enactment of the TCJA.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12— Income Taxes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Value Holding Inc.</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10, 2019, the Company acquired Value Holding Inc., the parent company of ValuePenguin Inc., a personal finance website that offers consumers objective analysis on a variety of financial topics from insurance to credit cards, for $105.0 million in cash at the closing of the transaction, subject to adjustments for working capital. The acquisition was funded through $90.0 million drawn on the Company's Revolving Credit Facility and the balance using cash on hand.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February 2019, the board of directors authorized and the Company announced the addition of up to $150.0 million under the stock repurchase program. Between January 1, 2019 and February 28, 2019, the Company purchased 17,501 shares of its common stock for aggregate consideration of $3.9 million. As of February 28, 2019, approximately $181.2 million remains authorized for future share repurchases.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North Carolina Office Properties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February 22, 2019, the Company entered into a real estate purchase and sale agreement for the sale of its two office buildings to an unrelated third party.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2. Properties and Note 7—Assets Held For Sale for further information on these buildings. The agreement provides for a sale price of $24.75 million subject to prorations and adjustments. The agreement allows the purchaser a period of inspection through March 28, 2019 during which time it may elect to not proceed with the purchase and receive a return of its earnest money deposit. After such period, an earnest money deposit of $1.0 million would become non-refundable if the purchaser does not purchase the property, subject to certain exceptions.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117" w:right="239" w:bottom="1440" w:gutter="0" w:footer="0" w:header="0"/>
        </w:sectPr>
      </w:pPr>
    </w:p>
    <w:bookmarkStart w:id="100" w:name="page101"/>
    <w:bookmarkEnd w:id="10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(the "Exchange Act"), management, with the participation of our principal executive officer (Chief Executive Officer) and our principal financial officer (Chief Financial Officer), evaluated, as of the end of the period covered by this report, the effectiveness of our disclosure controls and procedures as defined in Exchange Act Rule 13a-15(e). Management necessarily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as of December 31, 2018,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our directors; and (3)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assessed the effectiveness of our internal control over financial reporting as of December 31, 2018. In making this assessment, our management used the criteria for effective internal control over financial reporting described in "Internal Control-Integrated Framework" (2013) issued by the Committee of Sponsoring Organizations of the Treadway Commission ("COSO"). However, the assessment did not include certain elements of the QuoteWizard.com, LLC business, as the acquisition occurred during 2018. Subsequent to the acquisition, certain elements of QuoteWizard.com, LLC’s internal control over financial reporting and related processes were integrated into the Company’s existing systems and internal control over financial reporting. Those controls that were not integrated have been excluded from management’s assessment of the effectiveness of internal control over financial reporting as of December 31, 2018. The excluded elements represent controls over approximately 3% of consolidated assets and 4% of the consolidated revenues. Based on our evaluation under the framework in the Internal Control-Integrated Framework, issued by the COSO, management has concluded that our internal control over financial reporting was effective as of December 31, 2018. The effectiveness of our internal control over financial reporting as of December 31, 2018 has been audited by PricewaterhouseCoopers LLP, an independent registered public accounting firm, as stated in their report appearing under "Item 8. Financial Statements and Supplementary Data" included elsewhere in this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the Exchange Act, Rules 13a-15(f)) that occurred during the quarter ended December 31, 2018 that has materially affected, or is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114"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February 22, 2019, our subsidiary Rexford Office Holdings, LLC, entered into a real estate purchase and sale agreement for the sale of its two office buildings to an unrelated third party.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2. Properties for further information on these buildings. The agreement provides for a sale price of $24.75 million subject to prorations and adjustments. The agreement allows the purchaser a period of inspection through March 28, 2019 during which time it may elect to not proceed with the purchase and receive a return of its earnest money deposit. After such period, an earnest money deposit of $1.0 million would become non-refundable if the purchaser does not purchase the property, subject to certain exceptions.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630" w:right="239" w:bottom="1440" w:gutter="0" w:footer="0" w:header="0"/>
        </w:sectPr>
      </w:pPr>
    </w:p>
    <w:bookmarkStart w:id="102" w:name="page103"/>
    <w:bookmarkEnd w:id="10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set forth below, the information required by Part III (Items 10, 11, 12, 13 and 14) is incorporated herein by reference to the Company's definitive proxy statement to be used in connection with its 2019 Annual Meeting of Stockholders and which will be filed with the Securities and Exchange Commission not later than 120 days after the end of the Company's fiscal year ended December 31, 2018 (the "2019 Proxy Statement"), in accordance with General Instruction G(3) of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Item 10 will be contained in, and is hereby incorporated by reference to, the 2019 Proxy Statement.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Item 11 will be contained in, and is hereby incorporated by reference to, the 2019 Proxy Statement.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Item 12 will be contained in, and is hereby incorporated by reference to, the 2019 Proxy Statement.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Item 13 will be contained in, and is hereby incorporated by reference to, the 2019 Proxy Statement.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Item 14 will be contained in, and is hereby incorporated by reference to, the 2019 Proxy Statement.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114" w:right="239" w:bottom="1440" w:gutter="0" w:footer="0" w:header="0"/>
        </w:sectPr>
      </w:pPr>
    </w:p>
    <w:bookmarkStart w:id="103" w:name="page104"/>
    <w:bookmarkEnd w:id="10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  List of documents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 of LendingTree, Inc.</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PricewaterhouseCoopers LLP.</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for the Years Ended December 31, 2018, 2017 and 2016.</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Balance Sheets as of December 31, 2018 and 2017.</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2018, 2017 and 2016.</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2018, 2017 and 2016.</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Consolidated Financial Statement Schedules of LendingTree, Inc.</w:t>
      </w:r>
    </w:p>
    <w:p>
      <w:pPr>
        <w:spacing w:after="0" w:line="14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statements and schedules have been omitted since the required information is included in the consolidated financial statements or the notes thereto, or is not applicable or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documents set forth below, numbered in accordance with Item 601 of Regulation S-K, are filed herewith or incorporated herein by reference to the location indicated below.</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60"/>
        <w:spacing w:after="0"/>
        <w:tabs>
          <w:tab w:leader="none" w:pos="3320" w:val="left"/>
          <w:tab w:leader="none" w:pos="85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7"/>
          <w:szCs w:val="17"/>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38" w:lineRule="exact"/>
        <w:rPr>
          <w:sz w:val="20"/>
          <w:szCs w:val="20"/>
          <w:color w:val="auto"/>
        </w:rPr>
      </w:pPr>
    </w:p>
    <w:p>
      <w:pPr>
        <w:ind w:left="1200" w:right="40" w:hanging="373"/>
        <w:spacing w:after="0" w:line="261" w:lineRule="auto"/>
        <w:tabs>
          <w:tab w:leader="none" w:pos="11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2.1</w:t>
      </w:r>
      <w:r>
        <w:rPr>
          <w:sz w:val="20"/>
          <w:szCs w:val="20"/>
          <w:color w:val="auto"/>
        </w:rPr>
        <w:tab/>
      </w:r>
      <w:hyperlink r:id="rId18">
        <w:r>
          <w:rPr>
            <w:rFonts w:ascii="Times New Roman" w:cs="Times New Roman" w:eastAsia="Times New Roman" w:hAnsi="Times New Roman"/>
            <w:sz w:val="18"/>
            <w:szCs w:val="18"/>
            <w:u w:val="single" w:color="auto"/>
            <w:color w:val="0000FF"/>
          </w:rPr>
          <w:t xml:space="preserve">Separation and Distribution Agreement among IAC/InterActiveCorp,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2.1 to the Registrant's Registration Statement on Form S-1</w:t>
      </w:r>
      <w:r>
        <w:rPr>
          <w:rFonts w:ascii="Times New Roman" w:cs="Times New Roman" w:eastAsia="Times New Roman" w:hAnsi="Times New Roman"/>
          <w:sz w:val="18"/>
          <w:szCs w:val="18"/>
          <w:u w:val="single" w:color="auto"/>
          <w:color w:val="0000FF"/>
        </w:rPr>
        <w:t xml:space="preserve"> </w:t>
      </w:r>
      <w:hyperlink r:id="rId18">
        <w:r>
          <w:rPr>
            <w:rFonts w:ascii="Times New Roman" w:cs="Times New Roman" w:eastAsia="Times New Roman" w:hAnsi="Times New Roman"/>
            <w:sz w:val="18"/>
            <w:szCs w:val="18"/>
            <w:u w:val="single" w:color="auto"/>
            <w:color w:val="0000FF"/>
          </w:rPr>
          <w:t>HSN, Inc., Interval Leisure Group, Inc., Ticketmaster and Tree.com,</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(No.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333-152700), filed August 1, 2008</w:t>
      </w:r>
    </w:p>
    <w:p>
      <w:pPr>
        <w:ind w:left="1200"/>
        <w:spacing w:after="0"/>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Inc., dated August 20, 2008.</w:t>
        </w:r>
      </w:hyperlink>
    </w:p>
    <w:p>
      <w:pPr>
        <w:spacing w:after="0" w:line="45" w:lineRule="exact"/>
        <w:rPr>
          <w:sz w:val="20"/>
          <w:szCs w:val="20"/>
          <w:color w:val="auto"/>
        </w:rPr>
      </w:pPr>
    </w:p>
    <w:p>
      <w:pPr>
        <w:ind w:left="1200" w:right="20" w:hanging="373"/>
        <w:spacing w:after="0" w:line="261" w:lineRule="auto"/>
        <w:tabs>
          <w:tab w:leader="none" w:pos="11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2.2</w:t>
      </w:r>
      <w:r>
        <w:rPr>
          <w:sz w:val="20"/>
          <w:szCs w:val="20"/>
          <w:color w:val="auto"/>
        </w:rPr>
        <w:tab/>
      </w:r>
      <w:hyperlink r:id="rId19">
        <w:r>
          <w:rPr>
            <w:rFonts w:ascii="Times New Roman" w:cs="Times New Roman" w:eastAsia="Times New Roman" w:hAnsi="Times New Roman"/>
            <w:sz w:val="18"/>
            <w:szCs w:val="18"/>
            <w:u w:val="single" w:color="auto"/>
            <w:color w:val="0000FF"/>
          </w:rPr>
          <w:t xml:space="preserve">Tax Sharing Agreement among IAC/InterActiveCorp, HSN, Inc.,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10.2 to the Registrant's Current Report on Form 8-K (No.</w:t>
      </w:r>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Interval Leisure Group, Inc., Ticketmaster and Tree.com, Inc., dated</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001-34063) filed August 25, 2008</w:t>
      </w:r>
    </w:p>
    <w:p>
      <w:pPr>
        <w:ind w:left="1200"/>
        <w:spacing w:after="0"/>
        <w:rPr>
          <w:rFonts w:ascii="Times New Roman" w:cs="Times New Roman" w:eastAsia="Times New Roman" w:hAnsi="Times New Roman"/>
          <w:sz w:val="18"/>
          <w:szCs w:val="18"/>
          <w:u w:val="single" w:color="auto"/>
          <w:color w:val="0000FF"/>
        </w:rPr>
      </w:pPr>
      <w:hyperlink r:id="rId19">
        <w:r>
          <w:rPr>
            <w:rFonts w:ascii="Times New Roman" w:cs="Times New Roman" w:eastAsia="Times New Roman" w:hAnsi="Times New Roman"/>
            <w:sz w:val="18"/>
            <w:szCs w:val="18"/>
            <w:u w:val="single" w:color="auto"/>
            <w:color w:val="0000FF"/>
          </w:rPr>
          <w:t>August 20,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5" w:lineRule="exact"/>
        <w:rPr>
          <w:sz w:val="20"/>
          <w:szCs w:val="20"/>
          <w:color w:val="auto"/>
        </w:rPr>
      </w:pPr>
    </w:p>
    <w:p>
      <w:pPr>
        <w:ind w:left="1200" w:right="20" w:hanging="373"/>
        <w:spacing w:after="0" w:line="261" w:lineRule="auto"/>
        <w:tabs>
          <w:tab w:leader="none" w:pos="11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2.3</w:t>
      </w:r>
      <w:r>
        <w:rPr>
          <w:sz w:val="20"/>
          <w:szCs w:val="20"/>
          <w:color w:val="auto"/>
        </w:rPr>
        <w:tab/>
      </w:r>
      <w:hyperlink r:id="rId21">
        <w:r>
          <w:rPr>
            <w:rFonts w:ascii="Times New Roman" w:cs="Times New Roman" w:eastAsia="Times New Roman" w:hAnsi="Times New Roman"/>
            <w:sz w:val="18"/>
            <w:szCs w:val="18"/>
            <w:u w:val="single" w:color="auto"/>
            <w:color w:val="0000FF"/>
          </w:rPr>
          <w:t xml:space="preserve">Employee Matters Agreement among IAC/InterActiveCorp, HSN, Inc.,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10.3 to the Registrant's Current Report on Form 8-K (No.</w:t>
      </w:r>
      <w:r>
        <w:rPr>
          <w:rFonts w:ascii="Times New Roman" w:cs="Times New Roman" w:eastAsia="Times New Roman" w:hAnsi="Times New Roman"/>
          <w:sz w:val="18"/>
          <w:szCs w:val="18"/>
          <w:u w:val="single" w:color="auto"/>
          <w:color w:val="0000FF"/>
        </w:rPr>
        <w:t xml:space="preserve"> </w:t>
      </w:r>
      <w:hyperlink r:id="rId21">
        <w:r>
          <w:rPr>
            <w:rFonts w:ascii="Times New Roman" w:cs="Times New Roman" w:eastAsia="Times New Roman" w:hAnsi="Times New Roman"/>
            <w:sz w:val="18"/>
            <w:szCs w:val="18"/>
            <w:u w:val="single" w:color="auto"/>
            <w:color w:val="0000FF"/>
          </w:rPr>
          <w:t>Interval Leisure Group, Inc., Ticketmaster and Tree.com, Inc., dated</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001-34063) filed August 25, 2008</w:t>
      </w:r>
    </w:p>
    <w:p>
      <w:pPr>
        <w:ind w:left="1200"/>
        <w:spacing w:after="0"/>
        <w:rPr>
          <w:rFonts w:ascii="Times New Roman" w:cs="Times New Roman" w:eastAsia="Times New Roman" w:hAnsi="Times New Roman"/>
          <w:sz w:val="18"/>
          <w:szCs w:val="18"/>
          <w:u w:val="single" w:color="auto"/>
          <w:color w:val="0000FF"/>
        </w:rPr>
      </w:pPr>
      <w:hyperlink r:id="rId21">
        <w:r>
          <w:rPr>
            <w:rFonts w:ascii="Times New Roman" w:cs="Times New Roman" w:eastAsia="Times New Roman" w:hAnsi="Times New Roman"/>
            <w:sz w:val="18"/>
            <w:szCs w:val="18"/>
            <w:u w:val="single" w:color="auto"/>
            <w:color w:val="0000FF"/>
          </w:rPr>
          <w:t>August 20, 2008.</w:t>
        </w:r>
      </w:hyperlink>
    </w:p>
    <w:p>
      <w:pPr>
        <w:spacing w:after="0" w:line="45" w:lineRule="exact"/>
        <w:rPr>
          <w:sz w:val="20"/>
          <w:szCs w:val="20"/>
          <w:color w:val="auto"/>
        </w:rPr>
      </w:pPr>
    </w:p>
    <w:p>
      <w:pPr>
        <w:ind w:left="1200" w:right="20" w:hanging="373"/>
        <w:spacing w:after="0" w:line="261" w:lineRule="auto"/>
        <w:tabs>
          <w:tab w:leader="none" w:pos="11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2.4</w:t>
      </w:r>
      <w:r>
        <w:rPr>
          <w:sz w:val="20"/>
          <w:szCs w:val="20"/>
          <w:color w:val="auto"/>
        </w:rPr>
        <w:tab/>
      </w:r>
      <w:hyperlink r:id="rId22">
        <w:r>
          <w:rPr>
            <w:rFonts w:ascii="Times New Roman" w:cs="Times New Roman" w:eastAsia="Times New Roman" w:hAnsi="Times New Roman"/>
            <w:sz w:val="18"/>
            <w:szCs w:val="18"/>
            <w:u w:val="single" w:color="auto"/>
            <w:color w:val="0000FF"/>
          </w:rPr>
          <w:t xml:space="preserve">Transition Services Agreement among IAC/InterActiveCorp, HSN,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10.4 to the Registrant's Current Report on Form 8-K (No.</w:t>
      </w:r>
      <w:r>
        <w:rPr>
          <w:rFonts w:ascii="Times New Roman" w:cs="Times New Roman" w:eastAsia="Times New Roman" w:hAnsi="Times New Roman"/>
          <w:sz w:val="18"/>
          <w:szCs w:val="18"/>
          <w:u w:val="single" w:color="auto"/>
          <w:color w:val="0000FF"/>
        </w:rPr>
        <w:t xml:space="preserve"> </w:t>
      </w:r>
      <w:hyperlink r:id="rId22">
        <w:r>
          <w:rPr>
            <w:rFonts w:ascii="Times New Roman" w:cs="Times New Roman" w:eastAsia="Times New Roman" w:hAnsi="Times New Roman"/>
            <w:sz w:val="18"/>
            <w:szCs w:val="18"/>
            <w:u w:val="single" w:color="auto"/>
            <w:color w:val="0000FF"/>
          </w:rPr>
          <w:t>Inc., Interval Leisure Group, Inc., Ticketmaster and Tree.com, Inc.,</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001-34063) filed August 25, 2008</w:t>
      </w:r>
    </w:p>
    <w:p>
      <w:pPr>
        <w:ind w:left="1200"/>
        <w:spacing w:after="0"/>
        <w:rPr>
          <w:rFonts w:ascii="Times New Roman" w:cs="Times New Roman" w:eastAsia="Times New Roman" w:hAnsi="Times New Roman"/>
          <w:sz w:val="18"/>
          <w:szCs w:val="18"/>
          <w:u w:val="single" w:color="auto"/>
          <w:color w:val="0000FF"/>
        </w:rPr>
      </w:pPr>
      <w:hyperlink r:id="rId22">
        <w:r>
          <w:rPr>
            <w:rFonts w:ascii="Times New Roman" w:cs="Times New Roman" w:eastAsia="Times New Roman" w:hAnsi="Times New Roman"/>
            <w:sz w:val="18"/>
            <w:szCs w:val="18"/>
            <w:u w:val="single" w:color="auto"/>
            <w:color w:val="0000FF"/>
          </w:rPr>
          <w:t>dated August 20,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5" w:lineRule="exact"/>
        <w:rPr>
          <w:sz w:val="20"/>
          <w:szCs w:val="20"/>
          <w:color w:val="auto"/>
        </w:rPr>
      </w:pPr>
    </w:p>
    <w:p>
      <w:pPr>
        <w:ind w:left="820"/>
        <w:spacing w:after="0"/>
        <w:tabs>
          <w:tab w:leader="none" w:pos="1180" w:val="left"/>
          <w:tab w:leader="none" w:pos="1960" w:val="left"/>
          <w:tab w:leader="none" w:pos="3100" w:val="left"/>
          <w:tab w:leader="none" w:pos="3640" w:val="left"/>
          <w:tab w:leader="none" w:pos="4780" w:val="left"/>
          <w:tab w:leader="none" w:pos="5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0000FF"/>
        </w:rPr>
        <w:t>Spinco</w:t>
        <w:tab/>
        <w:t>Assignment</w:t>
        <w:tab/>
        <w:t>and</w:t>
        <w:tab/>
        <w:t>Assumption</w:t>
        <w:tab/>
        <w:t>Agreement</w:t>
        <w:tab/>
      </w:r>
      <w:hyperlink r:id="rId24">
        <w:r>
          <w:rPr>
            <w:rFonts w:ascii="Times New Roman" w:cs="Times New Roman" w:eastAsia="Times New Roman" w:hAnsi="Times New Roman"/>
            <w:sz w:val="18"/>
            <w:szCs w:val="18"/>
            <w:u w:val="single" w:color="auto"/>
            <w:color w:val="0000FF"/>
          </w:rPr>
          <w:t xml:space="preserve">among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10.6 to the Registrant's Current Report on Form 8-K (No.</w:t>
      </w:r>
    </w:p>
    <w:p>
      <w:pPr>
        <w:spacing w:after="0" w:line="27" w:lineRule="exact"/>
        <w:rPr>
          <w:sz w:val="20"/>
          <w:szCs w:val="20"/>
          <w:color w:val="auto"/>
        </w:rPr>
      </w:pPr>
    </w:p>
    <w:p>
      <w:pPr>
        <w:ind w:left="1200" w:right="2520"/>
        <w:spacing w:after="0" w:line="261" w:lineRule="auto"/>
        <w:rPr>
          <w:rFonts w:ascii="Times New Roman" w:cs="Times New Roman" w:eastAsia="Times New Roman" w:hAnsi="Times New Roman"/>
          <w:sz w:val="18"/>
          <w:szCs w:val="18"/>
          <w:u w:val="single" w:color="auto"/>
          <w:color w:val="0000FF"/>
        </w:rPr>
      </w:pPr>
      <w:hyperlink r:id="rId24">
        <w:r>
          <w:rPr>
            <w:rFonts w:ascii="Times New Roman" w:cs="Times New Roman" w:eastAsia="Times New Roman" w:hAnsi="Times New Roman"/>
            <w:sz w:val="18"/>
            <w:szCs w:val="18"/>
            <w:u w:val="single" w:color="auto"/>
            <w:color w:val="0000FF"/>
          </w:rPr>
          <w:t>IAC/InterActiveCorp, Tree.com, Inc., Liberty Media Corporation and</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001-34063) filed August 25, 2008</w:t>
      </w:r>
      <w:r>
        <w:rPr>
          <w:rFonts w:ascii="Times New Roman" w:cs="Times New Roman" w:eastAsia="Times New Roman" w:hAnsi="Times New Roman"/>
          <w:sz w:val="18"/>
          <w:szCs w:val="18"/>
          <w:color w:val="0000FF"/>
        </w:rPr>
        <w:t xml:space="preserve"> </w:t>
      </w:r>
      <w:hyperlink r:id="rId24">
        <w:r>
          <w:rPr>
            <w:rFonts w:ascii="Times New Roman" w:cs="Times New Roman" w:eastAsia="Times New Roman" w:hAnsi="Times New Roman"/>
            <w:sz w:val="18"/>
            <w:szCs w:val="18"/>
            <w:u w:val="single" w:color="auto"/>
            <w:color w:val="0000FF"/>
          </w:rPr>
          <w:t>Liberty USA Holdings, LLC, dated August 20, 2008.</w:t>
        </w:r>
      </w:hyperlink>
    </w:p>
    <w:p>
      <w:pPr>
        <w:spacing w:after="0" w:line="18" w:lineRule="exact"/>
        <w:rPr>
          <w:sz w:val="20"/>
          <w:szCs w:val="20"/>
          <w:color w:val="auto"/>
        </w:rPr>
      </w:pPr>
    </w:p>
    <w:p>
      <w:pPr>
        <w:ind w:left="1200" w:right="40" w:hanging="373"/>
        <w:spacing w:after="0" w:line="261" w:lineRule="auto"/>
        <w:tabs>
          <w:tab w:leader="none" w:pos="11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2.6</w:t>
      </w:r>
      <w:r>
        <w:rPr>
          <w:sz w:val="20"/>
          <w:szCs w:val="20"/>
          <w:color w:val="auto"/>
        </w:rPr>
        <w:tab/>
      </w:r>
      <w:hyperlink r:id="rId25">
        <w:r>
          <w:rPr>
            <w:rFonts w:ascii="Times New Roman" w:cs="Times New Roman" w:eastAsia="Times New Roman" w:hAnsi="Times New Roman"/>
            <w:sz w:val="18"/>
            <w:szCs w:val="18"/>
            <w:u w:val="single" w:color="auto"/>
            <w:color w:val="0000FF"/>
          </w:rPr>
          <w:t xml:space="preserve">Asset Purchase Agreement among Home Loan Center, Inc., First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2.1 to Registrant's Current Report on Form 8-K (No. 001-</w:t>
      </w:r>
      <w:hyperlink r:id="rId25">
        <w:r>
          <w:rPr>
            <w:rFonts w:ascii="Times New Roman" w:cs="Times New Roman" w:eastAsia="Times New Roman" w:hAnsi="Times New Roman"/>
            <w:sz w:val="18"/>
            <w:szCs w:val="18"/>
            <w:u w:val="single" w:color="auto"/>
            <w:color w:val="0000FF"/>
          </w:rPr>
          <w:t>Residential Mortgage Network, Inc. dba SurePoint Lending, and the</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34063)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November 16, 2010</w:t>
      </w:r>
    </w:p>
    <w:p>
      <w:pPr>
        <w:ind w:left="1200"/>
        <w:spacing w:after="0"/>
        <w:rPr>
          <w:rFonts w:ascii="Times New Roman" w:cs="Times New Roman" w:eastAsia="Times New Roman" w:hAnsi="Times New Roman"/>
          <w:sz w:val="18"/>
          <w:szCs w:val="18"/>
          <w:u w:val="single" w:color="auto"/>
          <w:color w:val="0000FF"/>
        </w:rPr>
      </w:pPr>
      <w:hyperlink r:id="rId25">
        <w:r>
          <w:rPr>
            <w:rFonts w:ascii="Times New Roman" w:cs="Times New Roman" w:eastAsia="Times New Roman" w:hAnsi="Times New Roman"/>
            <w:sz w:val="18"/>
            <w:szCs w:val="18"/>
            <w:u w:val="single" w:color="auto"/>
            <w:color w:val="0000FF"/>
          </w:rPr>
          <w:t>shareholders of First Residential Mortgage Network named therein,</w:t>
        </w:r>
      </w:hyperlink>
    </w:p>
    <w:p>
      <w:pPr>
        <w:spacing w:after="0" w:line="9" w:lineRule="exact"/>
        <w:rPr>
          <w:sz w:val="20"/>
          <w:szCs w:val="20"/>
          <w:color w:val="auto"/>
        </w:rPr>
      </w:pPr>
    </w:p>
    <w:p>
      <w:pPr>
        <w:ind w:left="1200"/>
        <w:spacing w:after="0"/>
        <w:rPr>
          <w:rFonts w:ascii="Times New Roman" w:cs="Times New Roman" w:eastAsia="Times New Roman" w:hAnsi="Times New Roman"/>
          <w:sz w:val="18"/>
          <w:szCs w:val="18"/>
          <w:u w:val="single" w:color="auto"/>
          <w:color w:val="0000FF"/>
        </w:rPr>
      </w:pPr>
      <w:hyperlink r:id="rId25">
        <w:r>
          <w:rPr>
            <w:rFonts w:ascii="Times New Roman" w:cs="Times New Roman" w:eastAsia="Times New Roman" w:hAnsi="Times New Roman"/>
            <w:sz w:val="18"/>
            <w:szCs w:val="18"/>
            <w:u w:val="single" w:color="auto"/>
            <w:color w:val="0000FF"/>
          </w:rPr>
          <w:t>dated November 15, 2010.</w:t>
        </w:r>
      </w:hyperlink>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5800" w:type="dxa"/>
            <w:vAlign w:val="bottom"/>
            <w:gridSpan w:val="4"/>
            <w:shd w:val="clear" w:color="auto" w:fill="CCEEFF"/>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 xml:space="preserve">First Amendment to Asset Purchase Agreement among HLC, SurePoint </w:t>
              </w:r>
            </w:hyperlink>
            <w:r>
              <w:rPr>
                <w:rFonts w:ascii="Times New Roman" w:cs="Times New Roman" w:eastAsia="Times New Roman" w:hAnsi="Times New Roman"/>
                <w:sz w:val="18"/>
                <w:szCs w:val="18"/>
                <w:color w:val="000000"/>
              </w:rPr>
              <w:t>Exhibit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Registrant's Current Report on Form 8-K filed</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and the shareholders party thereto, dated March 14, 2011.</w:t>
              </w:r>
            </w:hyperlink>
          </w:p>
        </w:tc>
        <w:tc>
          <w:tcPr>
            <w:tcW w:w="5040" w:type="dxa"/>
            <w:vAlign w:val="bottom"/>
            <w:tcBorders>
              <w:top w:val="single" w:sz="8" w:color="CCEEFF"/>
            </w:tcBorders>
            <w:gridSpan w:val="4"/>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March 21, 2011</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1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9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5800" w:type="dxa"/>
            <w:vAlign w:val="bottom"/>
            <w:gridSpan w:val="4"/>
          </w:tcPr>
          <w:p>
            <w:pPr>
              <w:spacing w:after="0" w:line="202"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 xml:space="preserve">Second  Amendment  to  Asset  Purchase  Agreement  among  HLC, </w:t>
              </w:r>
            </w:hyperlink>
            <w:r>
              <w:rPr>
                <w:rFonts w:ascii="Times New Roman" w:cs="Times New Roman" w:eastAsia="Times New Roman" w:hAnsi="Times New Roman"/>
                <w:sz w:val="18"/>
                <w:szCs w:val="18"/>
                <w:color w:val="000000"/>
              </w:rPr>
              <w:t>Exhibit</w:t>
            </w:r>
          </w:p>
        </w:tc>
        <w:tc>
          <w:tcPr>
            <w:tcW w:w="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to</w:t>
            </w:r>
          </w:p>
        </w:tc>
        <w:tc>
          <w:tcPr>
            <w:tcW w:w="3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the Registrant's Current Report on Form 8-K filed</w:t>
            </w:r>
          </w:p>
        </w:tc>
      </w:tr>
      <w:tr>
        <w:trPr>
          <w:trHeight w:val="196"/>
        </w:trPr>
        <w:tc>
          <w:tcPr>
            <w:tcW w:w="1200" w:type="dxa"/>
            <w:vAlign w:val="bottom"/>
          </w:tcPr>
          <w:p>
            <w:pPr>
              <w:spacing w:after="0"/>
              <w:rPr>
                <w:sz w:val="17"/>
                <w:szCs w:val="17"/>
                <w:color w:val="auto"/>
              </w:rPr>
            </w:pPr>
          </w:p>
        </w:tc>
        <w:tc>
          <w:tcPr>
            <w:tcW w:w="49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SurePoint and the shareholders party thereto, dated March 15, 2011.</w:t>
              </w:r>
            </w:hyperlink>
          </w:p>
        </w:tc>
        <w:tc>
          <w:tcPr>
            <w:tcW w:w="280" w:type="dxa"/>
            <w:vAlign w:val="bottom"/>
            <w:tcBorders>
              <w:top w:val="single" w:sz="8" w:color="0000FF"/>
            </w:tcBorders>
          </w:tcPr>
          <w:p>
            <w:pPr>
              <w:spacing w:after="0"/>
              <w:rPr>
                <w:sz w:val="17"/>
                <w:szCs w:val="17"/>
                <w:color w:val="auto"/>
              </w:rPr>
            </w:pPr>
          </w:p>
        </w:tc>
        <w:tc>
          <w:tcPr>
            <w:tcW w:w="504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8"/>
                <w:szCs w:val="18"/>
                <w:color w:val="auto"/>
              </w:rPr>
              <w:t>March 21, 2011</w:t>
            </w: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420"/>
          </w:cols>
          <w:pgMar w:left="240" w:top="114" w:right="2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38"/>
        </w:trPr>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gridSpan w:val="6"/>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7"/>
        </w:trPr>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196"/>
        </w:trPr>
        <w:tc>
          <w:tcPr>
            <w:tcW w:w="1200" w:type="dxa"/>
            <w:vAlign w:val="bottom"/>
            <w:tcBorders>
              <w:bottom w:val="single" w:sz="8" w:color="CCEEFF"/>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5180" w:type="dxa"/>
            <w:vAlign w:val="bottom"/>
            <w:tcBorders>
              <w:bottom w:val="single" w:sz="8" w:color="0000FF"/>
            </w:tcBorders>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Asset Purchase Agreement among Tree.com, Inc., Home Loan Center,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50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Exhibit 2.1 to the Registrant's Current Report on Form 8-K filed</w:t>
            </w:r>
          </w:p>
        </w:tc>
      </w:tr>
      <w:tr>
        <w:trPr>
          <w:trHeight w:val="196"/>
        </w:trPr>
        <w:tc>
          <w:tcPr>
            <w:tcW w:w="1200" w:type="dxa"/>
            <w:vAlign w:val="bottom"/>
            <w:shd w:val="clear" w:color="auto" w:fill="CCEEFF"/>
          </w:tcPr>
          <w:p>
            <w:pPr>
              <w:spacing w:after="0"/>
              <w:rPr>
                <w:sz w:val="17"/>
                <w:szCs w:val="17"/>
                <w:color w:val="auto"/>
              </w:rPr>
            </w:pPr>
          </w:p>
        </w:tc>
        <w:tc>
          <w:tcPr>
            <w:tcW w:w="1022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 xml:space="preserve">Inc., LendingTree, LLC, HLC Escrow, Inc. and Discover Bank, dated </w:t>
              </w:r>
            </w:hyperlink>
            <w:r>
              <w:rPr>
                <w:rFonts w:ascii="Times New Roman" w:cs="Times New Roman" w:eastAsia="Times New Roman" w:hAnsi="Times New Roman"/>
                <w:sz w:val="18"/>
                <w:szCs w:val="18"/>
                <w:color w:val="000000"/>
              </w:rPr>
              <w:t>May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16, 2011</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0000FF"/>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7"/>
              </w:rPr>
            </w:pPr>
            <w:hyperlink r:id="rId28">
              <w:r>
                <w:rPr>
                  <w:rFonts w:ascii="Times New Roman" w:cs="Times New Roman" w:eastAsia="Times New Roman" w:hAnsi="Times New Roman"/>
                  <w:sz w:val="18"/>
                  <w:szCs w:val="18"/>
                  <w:color w:val="0000FF"/>
                  <w:w w:val="97"/>
                </w:rPr>
                <w:t>May 12, 2011**</w:t>
              </w:r>
            </w:hyperlink>
          </w:p>
        </w:tc>
        <w:tc>
          <w:tcPr>
            <w:tcW w:w="2440" w:type="dxa"/>
            <w:vAlign w:val="bottom"/>
            <w:tcBorders>
              <w:top w:val="single" w:sz="8" w:color="0000FF"/>
              <w:bottom w:val="single" w:sz="8" w:color="CCEEFF"/>
            </w:tcBorders>
            <w:gridSpan w:val="8"/>
            <w:shd w:val="clear" w:color="auto" w:fill="CCEEFF"/>
          </w:tcPr>
          <w:p>
            <w:pPr>
              <w:spacing w:after="0"/>
              <w:rPr>
                <w:sz w:val="21"/>
                <w:szCs w:val="21"/>
                <w:color w:val="auto"/>
              </w:rPr>
            </w:pPr>
          </w:p>
        </w:tc>
        <w:tc>
          <w:tcPr>
            <w:tcW w:w="5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2.10</w:t>
            </w:r>
          </w:p>
        </w:tc>
        <w:tc>
          <w:tcPr>
            <w:tcW w:w="10220" w:type="dxa"/>
            <w:vAlign w:val="bottom"/>
            <w:gridSpan w:val="23"/>
          </w:tcPr>
          <w:p>
            <w:pPr>
              <w:spacing w:after="0" w:line="202"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 xml:space="preserve">Asset Purchase Agreement among LendingTree, LLC, RealEstate.com,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2.1 to the Registrant's Current Report on Form 8-K filed</w:t>
            </w:r>
          </w:p>
        </w:tc>
      </w:tr>
      <w:tr>
        <w:trPr>
          <w:trHeight w:val="196"/>
        </w:trPr>
        <w:tc>
          <w:tcPr>
            <w:tcW w:w="1200" w:type="dxa"/>
            <w:vAlign w:val="bottom"/>
          </w:tcPr>
          <w:p>
            <w:pPr>
              <w:spacing w:after="0"/>
              <w:rPr>
                <w:sz w:val="17"/>
                <w:szCs w:val="17"/>
                <w:color w:val="auto"/>
              </w:rPr>
            </w:pPr>
          </w:p>
        </w:tc>
        <w:tc>
          <w:tcPr>
            <w:tcW w:w="482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Inc. and Market Leader, Inc., dated September 15, 2011**</w:t>
              </w:r>
            </w:hyperlink>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September 21, 2011</w:t>
            </w: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2.11</w:t>
            </w:r>
          </w:p>
        </w:tc>
        <w:tc>
          <w:tcPr>
            <w:tcW w:w="5180" w:type="dxa"/>
            <w:vAlign w:val="bottom"/>
            <w:tcBorders>
              <w:bottom w:val="single" w:sz="8" w:color="0000FF"/>
            </w:tcBorders>
            <w:gridSpan w:val="21"/>
            <w:shd w:val="clear" w:color="auto" w:fill="CCEEFF"/>
          </w:tcPr>
          <w:p>
            <w:pPr>
              <w:spacing w:after="0" w:line="202"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Amendment to Asset Purchase Agreement among Home Loan Center,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50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Exhibit 2.1 to the Registrant's Current Report on Form 8-K filed</w:t>
            </w:r>
          </w:p>
        </w:tc>
      </w:tr>
      <w:tr>
        <w:trPr>
          <w:trHeight w:val="196"/>
        </w:trPr>
        <w:tc>
          <w:tcPr>
            <w:tcW w:w="1200" w:type="dxa"/>
            <w:vAlign w:val="bottom"/>
            <w:shd w:val="clear" w:color="auto" w:fill="CCEEFF"/>
          </w:tcPr>
          <w:p>
            <w:pPr>
              <w:spacing w:after="0"/>
              <w:rPr>
                <w:sz w:val="17"/>
                <w:szCs w:val="17"/>
                <w:color w:val="auto"/>
              </w:rPr>
            </w:pPr>
          </w:p>
        </w:tc>
        <w:tc>
          <w:tcPr>
            <w:tcW w:w="1022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 xml:space="preserve">Inc., HLC Escrow, Inc., LendingTree, LLC, Tree.com, Inc., Discover </w:t>
              </w:r>
            </w:hyperlink>
            <w:r>
              <w:rPr>
                <w:rFonts w:ascii="Times New Roman" w:cs="Times New Roman" w:eastAsia="Times New Roman" w:hAnsi="Times New Roman"/>
                <w:sz w:val="18"/>
                <w:szCs w:val="18"/>
                <w:color w:val="000000"/>
              </w:rPr>
              <w:t>February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8, 2012</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Bank and Discover Financial Services, dated February 7, 2012**</w:t>
              </w:r>
            </w:hyperlink>
          </w:p>
        </w:tc>
        <w:tc>
          <w:tcPr>
            <w:tcW w:w="1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5000" w:type="dxa"/>
            <w:vAlign w:val="bottom"/>
            <w:tcBorders>
              <w:top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50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2.12</w:t>
            </w:r>
          </w:p>
        </w:tc>
        <w:tc>
          <w:tcPr>
            <w:tcW w:w="10220" w:type="dxa"/>
            <w:vAlign w:val="bottom"/>
            <w:gridSpan w:val="23"/>
          </w:tcPr>
          <w:p>
            <w:pPr>
              <w:spacing w:after="0" w:line="202"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 xml:space="preserve">Membership Interest Purchase Agreement, dated as of November 16,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2.1 to the Registrant's Current Report on Form 8-K filed</w:t>
            </w:r>
          </w:p>
        </w:tc>
      </w:tr>
      <w:tr>
        <w:trPr>
          <w:trHeight w:val="20"/>
        </w:trPr>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220" w:type="dxa"/>
            <w:vAlign w:val="bottom"/>
            <w:gridSpan w:val="23"/>
          </w:tcPr>
          <w:p>
            <w:pPr>
              <w:spacing w:after="0" w:line="19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 xml:space="preserve">2016, by and among LendingTree, LLC, Iron Horse Holdings, LLC, all </w:t>
              </w:r>
            </w:hyperlink>
            <w:r>
              <w:rPr>
                <w:rFonts w:ascii="Times New Roman" w:cs="Times New Roman" w:eastAsia="Times New Roman" w:hAnsi="Times New Roman"/>
                <w:sz w:val="18"/>
                <w:szCs w:val="18"/>
                <w:color w:val="000000"/>
              </w:rPr>
              <w:t>November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22, 2016</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of the members of Iron Horse Holdings, LLC and Christopher J.</w:t>
              </w:r>
            </w:hyperlink>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620" w:type="dxa"/>
            <w:vAlign w:val="bottom"/>
            <w:gridSpan w:val="11"/>
          </w:tcPr>
          <w:p>
            <w:pPr>
              <w:spacing w:after="0" w:line="19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Mettler. **</w:t>
              </w:r>
            </w:hyperlink>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2.13</w:t>
            </w:r>
          </w:p>
        </w:tc>
        <w:tc>
          <w:tcPr>
            <w:tcW w:w="1022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 xml:space="preserve">Assignment and Assumption Agreement, dated November 2, 2017, by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99.7(D) to the Registrant's Current Report on Form SC</w:t>
            </w:r>
          </w:p>
        </w:tc>
      </w:tr>
      <w:tr>
        <w:trPr>
          <w:trHeight w:val="20"/>
        </w:trPr>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40" w:type="dxa"/>
            <w:vAlign w:val="bottom"/>
            <w:tcBorders>
              <w:left w:val="single" w:sz="8" w:color="0000FF"/>
            </w:tcBorders>
            <w:gridSpan w:val="2"/>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362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and  among  General  Communication,  Inc.,</w:t>
              </w:r>
            </w:hyperlink>
          </w:p>
        </w:tc>
        <w:tc>
          <w:tcPr>
            <w:tcW w:w="6600" w:type="dxa"/>
            <w:vAlign w:val="bottom"/>
            <w:gridSpan w:val="12"/>
            <w:shd w:val="clear" w:color="auto" w:fill="CCEEFF"/>
          </w:tcPr>
          <w:p>
            <w:pPr>
              <w:ind w:left="80"/>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 xml:space="preserve">Liberty  Interactive </w:t>
              </w:r>
            </w:hyperlink>
            <w:r>
              <w:rPr>
                <w:rFonts w:ascii="Times New Roman" w:cs="Times New Roman" w:eastAsia="Times New Roman" w:hAnsi="Times New Roman"/>
                <w:sz w:val="18"/>
                <w:szCs w:val="18"/>
                <w:color w:val="000000"/>
              </w:rPr>
              <w:t>13D/A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November 3, 2017</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5180" w:type="dxa"/>
            <w:vAlign w:val="bottom"/>
            <w:tcBorders>
              <w:top w:val="single" w:sz="8" w:color="0000FF"/>
              <w:bottom w:val="single" w:sz="8" w:color="0000FF"/>
            </w:tcBorders>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Corporation, Liberty USA Holdings, LLC, Ventures Holdco, LLC, and</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50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362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LendingTree, Inc.</w:t>
              </w:r>
            </w:hyperlink>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50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2.14</w:t>
            </w:r>
          </w:p>
        </w:tc>
        <w:tc>
          <w:tcPr>
            <w:tcW w:w="10220" w:type="dxa"/>
            <w:vAlign w:val="bottom"/>
            <w:gridSpan w:val="23"/>
          </w:tcPr>
          <w:p>
            <w:pPr>
              <w:spacing w:after="0" w:line="202"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 xml:space="preserve">Unit Purchase Agreement dated as of October 4, 2018 by and among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2.1 to the Registrant’s Current Report on Form 8-K/A filed</w:t>
            </w:r>
          </w:p>
        </w:tc>
      </w:tr>
      <w:tr>
        <w:trPr>
          <w:trHeight w:val="20"/>
        </w:trPr>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220" w:type="dxa"/>
            <w:vAlign w:val="bottom"/>
            <w:gridSpan w:val="23"/>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 xml:space="preserve">LendingTree, LLC, QuoteWizard.com, LLC, all of the members of </w:t>
              </w:r>
            </w:hyperlink>
            <w:r>
              <w:rPr>
                <w:rFonts w:ascii="Times New Roman" w:cs="Times New Roman" w:eastAsia="Times New Roman" w:hAnsi="Times New Roman"/>
                <w:sz w:val="18"/>
                <w:szCs w:val="18"/>
                <w:color w:val="000000"/>
              </w:rPr>
              <w:t>October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12, 2018</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QuoteWizard.com, LLC, and Scott Peyree as the Securityholders</w:t>
              </w:r>
            </w:hyperlink>
          </w:p>
        </w:tc>
        <w:tc>
          <w:tcPr>
            <w:tcW w:w="40" w:type="dxa"/>
            <w:vAlign w:val="bottom"/>
            <w:tcBorders>
              <w:top w:val="single" w:sz="8" w:color="0000FF"/>
            </w:tcBorders>
          </w:tcPr>
          <w:p>
            <w:pPr>
              <w:spacing w:after="0"/>
              <w:rPr>
                <w:sz w:val="17"/>
                <w:szCs w:val="17"/>
                <w:color w:val="auto"/>
              </w:rPr>
            </w:pPr>
          </w:p>
        </w:tc>
        <w:tc>
          <w:tcPr>
            <w:tcW w:w="50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62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Representative. **</w:t>
              </w:r>
            </w:hyperlink>
          </w:p>
        </w:tc>
        <w:tc>
          <w:tcPr>
            <w:tcW w:w="5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2.15</w:t>
            </w:r>
          </w:p>
        </w:tc>
        <w:tc>
          <w:tcPr>
            <w:tcW w:w="1022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 xml:space="preserve">Stock Purchase Agreement dated as of December 20, 2018 by and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2.1 to the Registrant’s Current Report on Form 8-K filed</w:t>
            </w:r>
          </w:p>
        </w:tc>
      </w:tr>
      <w:tr>
        <w:trPr>
          <w:trHeight w:val="20"/>
        </w:trPr>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40" w:type="dxa"/>
            <w:vAlign w:val="bottom"/>
            <w:tcBorders>
              <w:left w:val="single" w:sz="8" w:color="CCEEFF"/>
            </w:tcBorders>
            <w:gridSpan w:val="2"/>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1022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 xml:space="preserve">among LendingTree, LLC, Value Holding Inc., all of the shareholders </w:t>
              </w:r>
            </w:hyperlink>
            <w:r>
              <w:rPr>
                <w:rFonts w:ascii="Times New Roman" w:cs="Times New Roman" w:eastAsia="Times New Roman" w:hAnsi="Times New Roman"/>
                <w:sz w:val="18"/>
                <w:szCs w:val="18"/>
                <w:color w:val="000000"/>
              </w:rPr>
              <w:t>December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27, 2018</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5180" w:type="dxa"/>
            <w:vAlign w:val="bottom"/>
            <w:tcBorders>
              <w:top w:val="single" w:sz="8" w:color="0000FF"/>
              <w:bottom w:val="single" w:sz="8" w:color="0000FF"/>
            </w:tcBorders>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of Value Holding Inc., and Jonathan Wu as the Sellers’ Representative.</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50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shd w:val="clear" w:color="auto" w:fill="CCEEFF"/>
          </w:tcPr>
          <w:p>
            <w:pPr>
              <w:spacing w:after="0" w:line="196" w:lineRule="exact"/>
              <w:rPr>
                <w:rFonts w:ascii="Times New Roman" w:cs="Times New Roman" w:eastAsia="Times New Roman" w:hAnsi="Times New Roman"/>
                <w:sz w:val="18"/>
                <w:szCs w:val="18"/>
                <w:color w:val="0000FF"/>
                <w:w w:val="88"/>
              </w:rPr>
            </w:pPr>
            <w:hyperlink r:id="rId34">
              <w:r>
                <w:rPr>
                  <w:rFonts w:ascii="Times New Roman" w:cs="Times New Roman" w:eastAsia="Times New Roman" w:hAnsi="Times New Roman"/>
                  <w:sz w:val="18"/>
                  <w:szCs w:val="18"/>
                  <w:color w:val="0000FF"/>
                  <w:w w:val="88"/>
                </w:rPr>
                <w:t>**</w:t>
              </w:r>
            </w:hyperlink>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3620" w:type="dxa"/>
            <w:vAlign w:val="bottom"/>
            <w:gridSpan w:val="11"/>
          </w:tcPr>
          <w:p>
            <w:pPr>
              <w:spacing w:after="0" w:line="202"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Amended   and   Restated   Certificate   of</w:t>
              </w:r>
            </w:hyperlink>
          </w:p>
        </w:tc>
        <w:tc>
          <w:tcPr>
            <w:tcW w:w="1200" w:type="dxa"/>
            <w:vAlign w:val="bottom"/>
            <w:gridSpan w:val="6"/>
          </w:tcPr>
          <w:p>
            <w:pPr>
              <w:ind w:left="180"/>
              <w:spacing w:after="0" w:line="202"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Incorporation</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20" w:type="dxa"/>
            <w:vAlign w:val="bottom"/>
            <w:gridSpan w:val="4"/>
          </w:tcPr>
          <w:p>
            <w:pPr>
              <w:ind w:left="40"/>
              <w:spacing w:after="0" w:line="202"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 xml:space="preserve">of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3.1 to the Registrant's Current Report on Form 8-K (No.</w:t>
            </w:r>
          </w:p>
        </w:tc>
      </w:tr>
      <w:tr>
        <w:trPr>
          <w:trHeight w:val="196"/>
        </w:trPr>
        <w:tc>
          <w:tcPr>
            <w:tcW w:w="1200" w:type="dxa"/>
            <w:vAlign w:val="bottom"/>
          </w:tcPr>
          <w:p>
            <w:pPr>
              <w:spacing w:after="0"/>
              <w:rPr>
                <w:sz w:val="17"/>
                <w:szCs w:val="17"/>
                <w:color w:val="auto"/>
              </w:rPr>
            </w:pPr>
          </w:p>
        </w:tc>
        <w:tc>
          <w:tcPr>
            <w:tcW w:w="362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LendingTree, Inc.</w:t>
              </w:r>
            </w:hyperlink>
          </w:p>
        </w:tc>
        <w:tc>
          <w:tcPr>
            <w:tcW w:w="5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001-34063) filed August 25, 2008</w:t>
            </w: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48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Fourth Amended and Restated By-laws of LendingTree, Inc.</w:t>
              </w:r>
            </w:hyperlink>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Exhibit 3.1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9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5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15, 2017</w:t>
            </w: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0220" w:type="dxa"/>
            <w:vAlign w:val="bottom"/>
            <w:gridSpan w:val="23"/>
          </w:tcPr>
          <w:p>
            <w:pPr>
              <w:spacing w:after="0" w:line="202"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 xml:space="preserve">Amended and Restated Restricted Share Grant and Shareholders'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10.8 to the Registrant's Registration Statement on Form S-1</w:t>
            </w:r>
          </w:p>
        </w:tc>
      </w:tr>
      <w:tr>
        <w:trPr>
          <w:trHeight w:val="20"/>
        </w:trPr>
        <w:tc>
          <w:tcPr>
            <w:tcW w:w="120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620" w:type="dxa"/>
            <w:vAlign w:val="bottom"/>
            <w:gridSpan w:val="11"/>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Agreement,  among  Forest  Merger  Corp.,</w:t>
              </w:r>
            </w:hyperlink>
          </w:p>
        </w:tc>
        <w:tc>
          <w:tcPr>
            <w:tcW w:w="1200" w:type="dxa"/>
            <w:vAlign w:val="bottom"/>
            <w:gridSpan w:val="6"/>
          </w:tcPr>
          <w:p>
            <w:pPr>
              <w:ind w:left="80"/>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LendingTree,</w:t>
              </w:r>
            </w:hyperlink>
          </w:p>
        </w:tc>
        <w:tc>
          <w:tcPr>
            <w:tcW w:w="5400" w:type="dxa"/>
            <w:vAlign w:val="bottom"/>
            <w:gridSpan w:val="6"/>
          </w:tcPr>
          <w:p>
            <w:pPr>
              <w:ind w:left="40"/>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 xml:space="preserve">Inc., </w:t>
              </w:r>
            </w:hyperlink>
            <w:r>
              <w:rPr>
                <w:rFonts w:ascii="Times New Roman" w:cs="Times New Roman" w:eastAsia="Times New Roman" w:hAnsi="Times New Roman"/>
                <w:sz w:val="18"/>
                <w:szCs w:val="18"/>
                <w:color w:val="000000"/>
              </w:rPr>
              <w:t>(No.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333-152700), filed August 1, 2008</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InterActiveCorp and the Grantees named therein, dated July 7, 2003*</w:t>
              </w:r>
            </w:hyperlink>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022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 xml:space="preserve">Registration Rights Agreement among Tree.com, Inc., Liberty Media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10.5 to the Registrant's Current Report on Form 8-K (No.</w:t>
            </w:r>
          </w:p>
        </w:tc>
      </w:tr>
      <w:tr>
        <w:trPr>
          <w:trHeight w:val="244"/>
        </w:trPr>
        <w:tc>
          <w:tcPr>
            <w:tcW w:w="1200" w:type="dxa"/>
            <w:vAlign w:val="bottom"/>
            <w:tcBorders>
              <w:top w:val="single" w:sz="8" w:color="CCEEFF"/>
            </w:tcBorders>
            <w:shd w:val="clear" w:color="auto" w:fill="CCEEFF"/>
          </w:tcPr>
          <w:p>
            <w:pPr>
              <w:spacing w:after="0"/>
              <w:rPr>
                <w:sz w:val="21"/>
                <w:szCs w:val="21"/>
                <w:color w:val="auto"/>
              </w:rPr>
            </w:pPr>
          </w:p>
        </w:tc>
        <w:tc>
          <w:tcPr>
            <w:tcW w:w="5180" w:type="dxa"/>
            <w:vAlign w:val="bottom"/>
            <w:tcBorders>
              <w:top w:val="single" w:sz="8" w:color="0000FF"/>
            </w:tcBorders>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Corporation and Liberty USA Holdings, LLC, dated August 20, 2008.</w:t>
              </w:r>
            </w:hyperlink>
          </w:p>
        </w:tc>
        <w:tc>
          <w:tcPr>
            <w:tcW w:w="40" w:type="dxa"/>
            <w:vAlign w:val="bottom"/>
            <w:tcBorders>
              <w:top w:val="single" w:sz="8" w:color="CCEEFF"/>
              <w:left w:val="single" w:sz="8" w:color="CCEEFF"/>
            </w:tcBorders>
            <w:shd w:val="clear" w:color="auto" w:fill="CCEEFF"/>
          </w:tcPr>
          <w:p>
            <w:pPr>
              <w:spacing w:after="0"/>
              <w:rPr>
                <w:sz w:val="21"/>
                <w:szCs w:val="21"/>
                <w:color w:val="auto"/>
              </w:rPr>
            </w:pPr>
          </w:p>
        </w:tc>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001-34063) filed August 25, 2008</w:t>
            </w:r>
          </w:p>
        </w:tc>
      </w:tr>
      <w:tr>
        <w:trPr>
          <w:trHeight w:val="203"/>
        </w:trPr>
        <w:tc>
          <w:tcPr>
            <w:tcW w:w="1200" w:type="dxa"/>
            <w:vAlign w:val="bottom"/>
            <w:tcBorders>
              <w:top w:val="single" w:sz="8" w:color="CCEEFF"/>
            </w:tcBorders>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4820" w:type="dxa"/>
            <w:vAlign w:val="bottom"/>
            <w:tcBorders>
              <w:top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Indenture for .0625% Convertible Senior Notes due 2022</w:t>
              </w:r>
            </w:hyperlink>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0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Exhibit 4.1 to the Registrant's Current Report on Form 8-K filed</w:t>
            </w:r>
          </w:p>
        </w:tc>
      </w:tr>
      <w:tr>
        <w:trPr>
          <w:trHeight w:val="237"/>
        </w:trPr>
        <w:tc>
          <w:tcPr>
            <w:tcW w:w="120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31, 2017</w:t>
            </w:r>
          </w:p>
        </w:tc>
      </w:tr>
      <w:tr>
        <w:trPr>
          <w:trHeight w:val="27"/>
        </w:trPr>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5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Purchase Agreement for .0625% Convertible Senior Notes due 2022</w:t>
              </w:r>
            </w:hyperlink>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Exhibit 99.1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9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5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31, 2017</w:t>
            </w: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3620" w:type="dxa"/>
            <w:vAlign w:val="bottom"/>
            <w:gridSpan w:val="11"/>
          </w:tcPr>
          <w:p>
            <w:pPr>
              <w:spacing w:after="0" w:line="202"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Base Issuer Warrant Transaction</w:t>
              </w:r>
            </w:hyperlink>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Exhibit 99.4 to the Registrant's Current Report on Form 8-K filed</w:t>
            </w:r>
          </w:p>
        </w:tc>
      </w:tr>
      <w:tr>
        <w:trPr>
          <w:trHeight w:val="237"/>
        </w:trPr>
        <w:tc>
          <w:tcPr>
            <w:tcW w:w="120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31, 2017</w:t>
            </w:r>
          </w:p>
        </w:tc>
      </w:tr>
      <w:tr>
        <w:trPr>
          <w:trHeight w:val="27"/>
        </w:trPr>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3620" w:type="dxa"/>
            <w:vAlign w:val="bottom"/>
            <w:gridSpan w:val="11"/>
            <w:shd w:val="clear" w:color="auto" w:fill="CCEEFF"/>
          </w:tcPr>
          <w:p>
            <w:pPr>
              <w:spacing w:after="0" w:line="202"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Additional Issuer Warrant Transaction</w:t>
              </w:r>
            </w:hyperlink>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Exhibit 99.5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9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31, 2017</w:t>
            </w: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23"/>
          </w:tcPr>
          <w:p>
            <w:pPr>
              <w:spacing w:after="0" w:line="202"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 xml:space="preserve">Amendment No. 1 to the Restricted Share Grant and Stockholder's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10.4 to the Registrant's Quarterly Report on Form 10-Q (No.</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Agreement between Tree.com, Inc., LendingTree Holdings Corp. and</w:t>
              </w:r>
            </w:hyperlink>
          </w:p>
        </w:tc>
        <w:tc>
          <w:tcPr>
            <w:tcW w:w="40" w:type="dxa"/>
            <w:vAlign w:val="bottom"/>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001-34063) filed November 12, 2010</w:t>
            </w:r>
          </w:p>
        </w:tc>
      </w:tr>
      <w:tr>
        <w:trPr>
          <w:trHeight w:val="196"/>
        </w:trPr>
        <w:tc>
          <w:tcPr>
            <w:tcW w:w="1200" w:type="dxa"/>
            <w:vAlign w:val="bottom"/>
          </w:tcPr>
          <w:p>
            <w:pPr>
              <w:spacing w:after="0"/>
              <w:rPr>
                <w:sz w:val="17"/>
                <w:szCs w:val="17"/>
                <w:color w:val="auto"/>
              </w:rPr>
            </w:pPr>
          </w:p>
        </w:tc>
        <w:tc>
          <w:tcPr>
            <w:tcW w:w="3620" w:type="dxa"/>
            <w:vAlign w:val="bottom"/>
            <w:gridSpan w:val="11"/>
          </w:tcPr>
          <w:p>
            <w:pPr>
              <w:spacing w:after="0" w:line="19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Douglas R. Lebda, dated August 30, 2010*</w:t>
              </w:r>
            </w:hyperlink>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 xml:space="preserve">Stock Purchase Agreement between Tree.com, Inc. and Douglas R.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10.1 to the Registrant's Current Report on Form 8-K (No.</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2300" w:type="dxa"/>
            <w:vAlign w:val="bottom"/>
            <w:tcBorders>
              <w:top w:val="single" w:sz="8" w:color="0000FF"/>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Lebda, dated February 8, 2009*</w:t>
              </w:r>
            </w:hyperlink>
          </w:p>
        </w:tc>
        <w:tc>
          <w:tcPr>
            <w:tcW w:w="1320" w:type="dxa"/>
            <w:vAlign w:val="bottom"/>
            <w:tcBorders>
              <w:top w:val="single" w:sz="8" w:color="0000FF"/>
              <w:bottom w:val="single" w:sz="8" w:color="CCEEFF"/>
            </w:tcBorders>
            <w:gridSpan w:val="5"/>
            <w:shd w:val="clear" w:color="auto" w:fill="CCEEFF"/>
          </w:tcPr>
          <w:p>
            <w:pPr>
              <w:spacing w:after="0"/>
              <w:rPr>
                <w:sz w:val="21"/>
                <w:szCs w:val="21"/>
                <w:color w:val="auto"/>
              </w:rPr>
            </w:pPr>
          </w:p>
        </w:tc>
        <w:tc>
          <w:tcPr>
            <w:tcW w:w="5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001-34063) filed February 11, 2009</w:t>
            </w: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5180" w:type="dxa"/>
            <w:vAlign w:val="bottom"/>
            <w:gridSpan w:val="21"/>
          </w:tcPr>
          <w:p>
            <w:pPr>
              <w:spacing w:after="0" w:line="202"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Amendment No. 1 to the Stock Option Award Agreement between</w:t>
              </w:r>
            </w:hyperlink>
          </w:p>
        </w:tc>
        <w:tc>
          <w:tcPr>
            <w:tcW w:w="40" w:type="dxa"/>
            <w:vAlign w:val="bottom"/>
          </w:tcPr>
          <w:p>
            <w:pPr>
              <w:spacing w:after="0"/>
              <w:rPr>
                <w:sz w:val="17"/>
                <w:szCs w:val="17"/>
                <w:color w:val="auto"/>
              </w:rPr>
            </w:pPr>
          </w:p>
        </w:tc>
        <w:tc>
          <w:tcPr>
            <w:tcW w:w="5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Exhibit 10.15 to the Registrant's Quarterly Report on Form 10-Q</w:t>
            </w:r>
          </w:p>
        </w:tc>
      </w:tr>
      <w:tr>
        <w:trPr>
          <w:trHeight w:val="196"/>
        </w:trPr>
        <w:tc>
          <w:tcPr>
            <w:tcW w:w="1200" w:type="dxa"/>
            <w:vAlign w:val="bottom"/>
          </w:tcPr>
          <w:p>
            <w:pPr>
              <w:spacing w:after="0"/>
              <w:rPr>
                <w:sz w:val="17"/>
                <w:szCs w:val="17"/>
                <w:color w:val="auto"/>
              </w:rPr>
            </w:pPr>
          </w:p>
        </w:tc>
        <w:tc>
          <w:tcPr>
            <w:tcW w:w="482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Douglas R. Lebda and Tree.com, Inc., dated May 10, 2010*</w:t>
              </w:r>
            </w:hyperlink>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(No. 001-34063) filed May 12, 2010</w:t>
            </w: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51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Amendment No. 1 to Stock Purchase Agreement between Tree.com,</w:t>
              </w:r>
            </w:hyperlink>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Exhibit 10.2 to the Registrant's Quarterly Report on Form 10-Q (No.</w:t>
            </w:r>
          </w:p>
        </w:tc>
      </w:tr>
      <w:tr>
        <w:trPr>
          <w:trHeight w:val="244"/>
        </w:trPr>
        <w:tc>
          <w:tcPr>
            <w:tcW w:w="1200" w:type="dxa"/>
            <w:vAlign w:val="bottom"/>
            <w:tcBorders>
              <w:top w:val="single" w:sz="8" w:color="CCEEFF"/>
            </w:tcBorders>
            <w:shd w:val="clear" w:color="auto" w:fill="CCEEFF"/>
          </w:tcPr>
          <w:p>
            <w:pPr>
              <w:spacing w:after="0"/>
              <w:rPr>
                <w:sz w:val="21"/>
                <w:szCs w:val="21"/>
                <w:color w:val="auto"/>
              </w:rPr>
            </w:pPr>
          </w:p>
        </w:tc>
        <w:tc>
          <w:tcPr>
            <w:tcW w:w="3620" w:type="dxa"/>
            <w:vAlign w:val="bottom"/>
            <w:tcBorders>
              <w:top w:val="single" w:sz="8" w:color="0000FF"/>
            </w:tcBorders>
            <w:gridSpan w:val="11"/>
            <w:shd w:val="clear" w:color="auto" w:fill="CCEEFF"/>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Inc. and Douglas R. Lebda, dated May 10, 2010*</w:t>
              </w:r>
            </w:hyperlink>
          </w:p>
        </w:tc>
        <w:tc>
          <w:tcPr>
            <w:tcW w:w="500" w:type="dxa"/>
            <w:vAlign w:val="bottom"/>
            <w:tcBorders>
              <w:top w:val="single" w:sz="8" w:color="0000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0000FF"/>
            </w:tcBorders>
            <w:shd w:val="clear" w:color="auto" w:fill="CCEEFF"/>
          </w:tcPr>
          <w:p>
            <w:pPr>
              <w:spacing w:after="0"/>
              <w:rPr>
                <w:sz w:val="21"/>
                <w:szCs w:val="21"/>
                <w:color w:val="auto"/>
              </w:rPr>
            </w:pPr>
          </w:p>
        </w:tc>
        <w:tc>
          <w:tcPr>
            <w:tcW w:w="32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0000FF"/>
            </w:tcBorders>
            <w:shd w:val="clear" w:color="auto" w:fill="CCEEFF"/>
          </w:tcPr>
          <w:p>
            <w:pPr>
              <w:spacing w:after="0"/>
              <w:rPr>
                <w:sz w:val="21"/>
                <w:szCs w:val="21"/>
                <w:color w:val="auto"/>
              </w:rPr>
            </w:pPr>
          </w:p>
        </w:tc>
        <w:tc>
          <w:tcPr>
            <w:tcW w:w="120" w:type="dxa"/>
            <w:vAlign w:val="bottom"/>
            <w:tcBorders>
              <w:top w:val="single" w:sz="8" w:color="0000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12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CCEEFF"/>
              <w:left w:val="single" w:sz="8" w:color="CCEEFF"/>
            </w:tcBorders>
            <w:shd w:val="clear" w:color="auto" w:fill="CCEEFF"/>
          </w:tcPr>
          <w:p>
            <w:pPr>
              <w:spacing w:after="0"/>
              <w:rPr>
                <w:sz w:val="21"/>
                <w:szCs w:val="21"/>
                <w:color w:val="auto"/>
              </w:rPr>
            </w:pPr>
          </w:p>
        </w:tc>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001-34063) filed May 12, 2010</w:t>
            </w:r>
          </w:p>
        </w:tc>
      </w:tr>
      <w:tr>
        <w:trPr>
          <w:trHeight w:val="459"/>
        </w:trPr>
        <w:tc>
          <w:tcPr>
            <w:tcW w:w="120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00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60"/>
        <w:spacing w:after="0"/>
        <w:tabs>
          <w:tab w:leader="none" w:pos="3320" w:val="left"/>
          <w:tab w:leader="none" w:pos="85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7"/>
          <w:szCs w:val="17"/>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p>
      <w:pPr>
        <w:spacing w:after="0" w:line="58" w:lineRule="exact"/>
        <w:rPr>
          <w:sz w:val="20"/>
          <w:szCs w:val="20"/>
          <w:color w:val="auto"/>
        </w:rPr>
      </w:pPr>
    </w:p>
    <w:p>
      <w:pPr>
        <w:ind w:left="1200" w:hanging="462"/>
        <w:spacing w:after="0" w:line="27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48">
        <w:r>
          <w:rPr>
            <w:rFonts w:ascii="Times New Roman" w:cs="Times New Roman" w:eastAsia="Times New Roman" w:hAnsi="Times New Roman"/>
            <w:sz w:val="18"/>
            <w:szCs w:val="18"/>
            <w:u w:val="single" w:color="auto"/>
            <w:color w:val="0000FF"/>
          </w:rPr>
          <w:t>Form of Amendment to Restricted Stock Awards for Douglas</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Lebda*</w:t>
        </w:r>
      </w:hyperlink>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236" w:right="40" w:hanging="236"/>
        <w:spacing w:after="0" w:line="276" w:lineRule="auto"/>
        <w:tabs>
          <w:tab w:leader="none" w:pos="236" w:val="left"/>
        </w:tabs>
        <w:numPr>
          <w:ilvl w:val="0"/>
          <w:numId w:val="4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Exhibit 10.4 to the Registrant's Quarterly Report on Form 10-Q filed May 12, 2010</w:t>
      </w:r>
    </w:p>
    <w:p>
      <w:pPr>
        <w:spacing w:after="0" w:line="1" w:lineRule="exact"/>
        <w:rPr>
          <w:sz w:val="20"/>
          <w:szCs w:val="20"/>
          <w:color w:val="auto"/>
        </w:rPr>
      </w:pPr>
    </w:p>
    <w:p>
      <w:pPr>
        <w:sectPr>
          <w:pgSz w:w="11900" w:h="16838" w:orient="portrait"/>
          <w:cols w:equalWidth="0" w:num="2">
            <w:col w:w="6100" w:space="104"/>
            <w:col w:w="5216"/>
          </w:cols>
          <w:pgMar w:left="240" w:top="522" w:right="2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00" w:type="dxa"/>
            <w:vAlign w:val="bottom"/>
            <w:shd w:val="clear" w:color="auto" w:fill="CCEEFF"/>
          </w:tcPr>
          <w:p>
            <w:pPr>
              <w:jc w:val="right"/>
              <w:ind w:right="70"/>
              <w:spacing w:after="0" w:line="204" w:lineRule="exact"/>
              <w:rPr>
                <w:sz w:val="20"/>
                <w:szCs w:val="20"/>
                <w:color w:val="auto"/>
              </w:rPr>
            </w:pPr>
            <w:r>
              <w:rPr>
                <w:rFonts w:ascii="Times New Roman" w:cs="Times New Roman" w:eastAsia="Times New Roman" w:hAnsi="Times New Roman"/>
                <w:sz w:val="18"/>
                <w:szCs w:val="18"/>
                <w:color w:val="auto"/>
              </w:rPr>
              <w:t>10.6</w:t>
            </w:r>
          </w:p>
        </w:tc>
        <w:tc>
          <w:tcPr>
            <w:tcW w:w="5780" w:type="dxa"/>
            <w:vAlign w:val="bottom"/>
            <w:gridSpan w:val="18"/>
            <w:shd w:val="clear" w:color="auto" w:fill="CCEEFF"/>
          </w:tcPr>
          <w:p>
            <w:pPr>
              <w:spacing w:after="0" w:line="204"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 xml:space="preserve">Amendment No. 1 to the Restricted Share Grant and Stockholder's </w:t>
              </w:r>
            </w:hyperlink>
            <w:r>
              <w:rPr>
                <w:rFonts w:ascii="Times New Roman" w:cs="Times New Roman" w:eastAsia="Times New Roman" w:hAnsi="Times New Roman"/>
                <w:sz w:val="18"/>
                <w:szCs w:val="18"/>
                <w:color w:val="000000"/>
              </w:rPr>
              <w:t>Exhibit</w:t>
            </w:r>
          </w:p>
        </w:tc>
        <w:tc>
          <w:tcPr>
            <w:tcW w:w="4440" w:type="dxa"/>
            <w:vAlign w:val="bottom"/>
            <w:shd w:val="clear" w:color="auto" w:fill="CCEEFF"/>
          </w:tcPr>
          <w:p>
            <w:pPr>
              <w:ind w:left="40"/>
              <w:spacing w:after="0" w:line="204" w:lineRule="exact"/>
              <w:rPr>
                <w:sz w:val="20"/>
                <w:szCs w:val="20"/>
                <w:color w:val="auto"/>
              </w:rPr>
            </w:pPr>
            <w:r>
              <w:rPr>
                <w:rFonts w:ascii="Times New Roman" w:cs="Times New Roman" w:eastAsia="Times New Roman" w:hAnsi="Times New Roman"/>
                <w:sz w:val="18"/>
                <w:szCs w:val="18"/>
                <w:color w:val="auto"/>
              </w:rPr>
              <w:t>10.4 to the Registrant's Quarterly Report on Form 10-Q (No.</w:t>
            </w:r>
          </w:p>
        </w:tc>
      </w:tr>
      <w:tr>
        <w:trPr>
          <w:trHeight w:val="20"/>
        </w:trPr>
        <w:tc>
          <w:tcPr>
            <w:tcW w:w="1200" w:type="dxa"/>
            <w:vAlign w:val="bottom"/>
            <w:shd w:val="clear" w:color="auto" w:fill="CCEE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gridSpan w:val="2"/>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1022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 xml:space="preserve">Agreement between Tree.com, Inc., LendingTree Holdings Corp. and </w:t>
              </w:r>
            </w:hyperlink>
            <w:r>
              <w:rPr>
                <w:rFonts w:ascii="Times New Roman" w:cs="Times New Roman" w:eastAsia="Times New Roman" w:hAnsi="Times New Roman"/>
                <w:sz w:val="18"/>
                <w:szCs w:val="18"/>
                <w:color w:val="000000"/>
              </w:rPr>
              <w:t>001-34063) filed November 12, 2010</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3120" w:type="dxa"/>
            <w:vAlign w:val="bottom"/>
            <w:tcBorders>
              <w:top w:val="single" w:sz="8" w:color="0000FF"/>
              <w:bottom w:val="single" w:sz="8" w:color="0000FF"/>
            </w:tcBorders>
            <w:gridSpan w:val="11"/>
            <w:shd w:val="clear" w:color="auto" w:fill="CCEEFF"/>
          </w:tcPr>
          <w:p>
            <w:pPr>
              <w:spacing w:after="0" w:line="196"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Douglas R. Lebda, dated August 30, 2010*</w:t>
              </w:r>
            </w:hyperlink>
          </w:p>
        </w:tc>
        <w:tc>
          <w:tcPr>
            <w:tcW w:w="2060" w:type="dxa"/>
            <w:vAlign w:val="bottom"/>
            <w:tcBorders>
              <w:top w:val="single" w:sz="8" w:color="0000FF"/>
              <w:bottom w:val="single" w:sz="8" w:color="CCEEFF"/>
              <w:right w:val="single" w:sz="8" w:color="CCEEFF"/>
            </w:tcBorders>
            <w:gridSpan w:val="6"/>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10220" w:type="dxa"/>
            <w:vAlign w:val="bottom"/>
            <w:gridSpan w:val="19"/>
          </w:tcPr>
          <w:p>
            <w:pPr>
              <w:spacing w:after="0" w:line="20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 xml:space="preserve">Employment Agreement between Douglas Lebda and the Company,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10.3 to the Registrant's Quarterly Report on Form 10-Q filed</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dated September 20, 2017*</w:t>
              </w:r>
            </w:hyperlink>
          </w:p>
        </w:tc>
        <w:tc>
          <w:tcPr>
            <w:tcW w:w="50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October 26, 2017</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10.8</w:t>
            </w:r>
          </w:p>
        </w:tc>
        <w:tc>
          <w:tcPr>
            <w:tcW w:w="1022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 xml:space="preserve">Letter Agreement between Tree.com, Inc. and Carla Shumate, dated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10.1 to the Registrant's Annual Report on Form 10-K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0000FF"/>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December 11, 2012*</w:t>
              </w:r>
            </w:hyperlink>
          </w:p>
        </w:tc>
        <w:tc>
          <w:tcPr>
            <w:tcW w:w="3680" w:type="dxa"/>
            <w:vAlign w:val="bottom"/>
            <w:tcBorders>
              <w:top w:val="single" w:sz="8" w:color="0000FF"/>
              <w:bottom w:val="single" w:sz="8" w:color="CCEEFF"/>
              <w:right w:val="single" w:sz="8" w:color="CCEEFF"/>
            </w:tcBorders>
            <w:gridSpan w:val="14"/>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April 1, 2013</w:t>
            </w: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10.9</w:t>
            </w:r>
          </w:p>
        </w:tc>
        <w:tc>
          <w:tcPr>
            <w:tcW w:w="10220" w:type="dxa"/>
            <w:vAlign w:val="bottom"/>
            <w:gridSpan w:val="19"/>
          </w:tcPr>
          <w:p>
            <w:pPr>
              <w:spacing w:after="0" w:line="20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 xml:space="preserve">Letter Agreement between LendingTree, Inc. and Carla Shumate, dated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10.1 to the Registrant's Quarterly Report on Form 10-Q filed</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March 11, 2015*</w:t>
              </w:r>
            </w:hyperlink>
          </w:p>
        </w:tc>
        <w:tc>
          <w:tcPr>
            <w:tcW w:w="50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April 30, 2015</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10.10</w:t>
            </w:r>
          </w:p>
        </w:tc>
        <w:tc>
          <w:tcPr>
            <w:tcW w:w="1022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 xml:space="preserve">Letter Agreement between LendingTree, Inc. and Carla Shumate, dated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10.6 to the Registrant's Annual Report on Form 10-K filed</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0000FF"/>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December 31, 2015*</w:t>
              </w:r>
            </w:hyperlink>
          </w:p>
        </w:tc>
        <w:tc>
          <w:tcPr>
            <w:tcW w:w="5040" w:type="dxa"/>
            <w:vAlign w:val="bottom"/>
            <w:tcBorders>
              <w:top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March 1, 2016</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44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10.11</w:t>
            </w:r>
          </w:p>
        </w:tc>
        <w:tc>
          <w:tcPr>
            <w:tcW w:w="10220" w:type="dxa"/>
            <w:vAlign w:val="bottom"/>
            <w:gridSpan w:val="19"/>
          </w:tcPr>
          <w:p>
            <w:pPr>
              <w:spacing w:after="0" w:line="202"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 xml:space="preserve">Fifth Amended and Restated Tree.com, Inc. 2008 Stock and Annual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4.3(A) to the Registrant's Registration Statement on Form S-</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Incentive Plan*</w:t>
              </w:r>
            </w:hyperlink>
          </w:p>
        </w:tc>
        <w:tc>
          <w:tcPr>
            <w:tcW w:w="50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8 (No. 333-218747), filed June 14, 2017</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10.12</w:t>
            </w:r>
          </w:p>
        </w:tc>
        <w:tc>
          <w:tcPr>
            <w:tcW w:w="1022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 xml:space="preserve">Form of Notice of Stock Option Award Granted Under the 2008 Stock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10.6 to the Registrant's Current Report on Form 8-K (No.</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0000FF"/>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and Annual Incentive Plan*</w:t>
              </w:r>
            </w:hyperlink>
          </w:p>
        </w:tc>
        <w:tc>
          <w:tcPr>
            <w:tcW w:w="5040" w:type="dxa"/>
            <w:vAlign w:val="bottom"/>
            <w:tcBorders>
              <w:top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001-34063) filed March 27, 2009</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44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10.13</w:t>
            </w:r>
          </w:p>
        </w:tc>
        <w:tc>
          <w:tcPr>
            <w:tcW w:w="5180" w:type="dxa"/>
            <w:vAlign w:val="bottom"/>
            <w:gridSpan w:val="17"/>
          </w:tcPr>
          <w:p>
            <w:pPr>
              <w:spacing w:after="0" w:line="20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Form of Notice of Restricted Stock Unit Award*</w:t>
              </w:r>
            </w:hyperlink>
          </w:p>
        </w:tc>
        <w:tc>
          <w:tcPr>
            <w:tcW w:w="50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Exhibit 10.3 to the Registrant's Quarterly Report on Form 10-Q filed</w:t>
            </w:r>
          </w:p>
        </w:tc>
      </w:tr>
      <w:tr>
        <w:trPr>
          <w:trHeight w:val="237"/>
        </w:trPr>
        <w:tc>
          <w:tcPr>
            <w:tcW w:w="1200" w:type="dxa"/>
            <w:vAlign w:val="bottom"/>
          </w:tcPr>
          <w:p>
            <w:pPr>
              <w:spacing w:after="0"/>
              <w:rPr>
                <w:sz w:val="20"/>
                <w:szCs w:val="20"/>
                <w:color w:val="auto"/>
              </w:rPr>
            </w:pPr>
          </w:p>
        </w:tc>
        <w:tc>
          <w:tcPr>
            <w:tcW w:w="1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May 7, 2014</w:t>
            </w:r>
          </w:p>
        </w:tc>
      </w:tr>
      <w:tr>
        <w:trPr>
          <w:trHeight w:val="27"/>
        </w:trPr>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10.14</w:t>
            </w:r>
          </w:p>
        </w:tc>
        <w:tc>
          <w:tcPr>
            <w:tcW w:w="5180" w:type="dxa"/>
            <w:vAlign w:val="bottom"/>
            <w:tcBorders>
              <w:right w:val="single" w:sz="8" w:color="CCEEFF"/>
            </w:tcBorders>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of Notice of Restricted Stock Award*</w:t>
              </w:r>
            </w:hyperlink>
          </w:p>
        </w:tc>
        <w:tc>
          <w:tcPr>
            <w:tcW w:w="50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Exhibit 10.4 to the Registrant's Quarterly Report on Form 10-Q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May 7, 2014</w:t>
            </w: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10.15</w:t>
            </w:r>
          </w:p>
        </w:tc>
        <w:tc>
          <w:tcPr>
            <w:tcW w:w="10220" w:type="dxa"/>
            <w:vAlign w:val="bottom"/>
            <w:gridSpan w:val="19"/>
          </w:tcPr>
          <w:p>
            <w:pPr>
              <w:spacing w:after="0" w:line="20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 xml:space="preserve">Form of Notice of Stock Option Award Granted Under the 2008 Stock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10.5 to the Registrant's Quarterly Report on Form 10-Q filed</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and Annual Incentive Plan*</w:t>
              </w:r>
            </w:hyperlink>
          </w:p>
        </w:tc>
        <w:tc>
          <w:tcPr>
            <w:tcW w:w="50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May 7, 2014</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10.16</w:t>
            </w:r>
          </w:p>
        </w:tc>
        <w:tc>
          <w:tcPr>
            <w:tcW w:w="5180" w:type="dxa"/>
            <w:vAlign w:val="bottom"/>
            <w:tcBorders>
              <w:right w:val="single" w:sz="8" w:color="CCEEFF"/>
            </w:tcBorders>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LendingTree, Inc. 2017 Inducement Grant Plan*</w:t>
              </w:r>
            </w:hyperlink>
          </w:p>
        </w:tc>
        <w:tc>
          <w:tcPr>
            <w:tcW w:w="50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Exhibit 4.4(A) to the Registrant's Registration Statement on Form S-</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 (No. 333-218747), filed June 14, 2017</w:t>
            </w: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10.17</w:t>
            </w:r>
          </w:p>
        </w:tc>
        <w:tc>
          <w:tcPr>
            <w:tcW w:w="10220" w:type="dxa"/>
            <w:vAlign w:val="bottom"/>
            <w:gridSpan w:val="19"/>
          </w:tcPr>
          <w:p>
            <w:pPr>
              <w:spacing w:after="0" w:line="20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 xml:space="preserve">Notice of Restricted Stock Unit Award Granted Under the LendingTree,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4.4(B) to the Registrant's Registration Statement on Form S-</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Inc. 2017 Inducement Plan*</w:t>
              </w:r>
            </w:hyperlink>
          </w:p>
        </w:tc>
        <w:tc>
          <w:tcPr>
            <w:tcW w:w="50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8 (No. 333-218747), filed June 14, 2017</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10.18</w:t>
            </w:r>
          </w:p>
        </w:tc>
        <w:tc>
          <w:tcPr>
            <w:tcW w:w="5180" w:type="dxa"/>
            <w:vAlign w:val="bottom"/>
            <w:tcBorders>
              <w:right w:val="single" w:sz="8" w:color="CCEEFF"/>
            </w:tcBorders>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Restricted Stock Award Agreement*</w:t>
              </w:r>
            </w:hyperlink>
          </w:p>
        </w:tc>
        <w:tc>
          <w:tcPr>
            <w:tcW w:w="50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Exhibit 4.4(C) to the Registrant's Registration Statement on Form S-</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 (No. 333-218747), filed June 14, 2017</w:t>
            </w: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10.19</w:t>
            </w:r>
          </w:p>
        </w:tc>
        <w:tc>
          <w:tcPr>
            <w:tcW w:w="10220" w:type="dxa"/>
            <w:vAlign w:val="bottom"/>
            <w:gridSpan w:val="19"/>
          </w:tcPr>
          <w:p>
            <w:pPr>
              <w:spacing w:after="0" w:line="20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 xml:space="preserve">Notice of [year] Stock Option Award Granted Under the LendingTree,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4.4(D) to the Registrant's Registration Statement on Form S-</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Inc. 2017 Inducement Grant Plan*</w:t>
              </w:r>
            </w:hyperlink>
          </w:p>
        </w:tc>
        <w:tc>
          <w:tcPr>
            <w:tcW w:w="50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8 (No. 333-218747), filed June 14, 2017</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10.20</w:t>
            </w:r>
          </w:p>
        </w:tc>
        <w:tc>
          <w:tcPr>
            <w:tcW w:w="5180" w:type="dxa"/>
            <w:vAlign w:val="bottom"/>
            <w:tcBorders>
              <w:right w:val="single" w:sz="8" w:color="CCEEFF"/>
            </w:tcBorders>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2011 Deferred Compensation Plan for Non-Employee Directors*</w:t>
              </w:r>
            </w:hyperlink>
          </w:p>
        </w:tc>
        <w:tc>
          <w:tcPr>
            <w:tcW w:w="50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Exhibit 10.2 to the Registrant's Quarterly Report on Form 10-Q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April 30, 2015</w:t>
            </w: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10.21</w:t>
            </w:r>
          </w:p>
        </w:tc>
        <w:tc>
          <w:tcPr>
            <w:tcW w:w="5180" w:type="dxa"/>
            <w:vAlign w:val="bottom"/>
            <w:gridSpan w:val="17"/>
          </w:tcPr>
          <w:p>
            <w:pPr>
              <w:spacing w:after="0" w:line="20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Deferred Compensation Plan for Non-Employee Directors*</w:t>
              </w:r>
            </w:hyperlink>
          </w:p>
        </w:tc>
        <w:tc>
          <w:tcPr>
            <w:tcW w:w="50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Exhibit 10.15 to the Registrant's Registration Statement on Form S-</w:t>
            </w:r>
          </w:p>
        </w:tc>
      </w:tr>
      <w:tr>
        <w:trPr>
          <w:trHeight w:val="237"/>
        </w:trPr>
        <w:tc>
          <w:tcPr>
            <w:tcW w:w="1200" w:type="dxa"/>
            <w:vAlign w:val="bottom"/>
          </w:tcPr>
          <w:p>
            <w:pPr>
              <w:spacing w:after="0"/>
              <w:rPr>
                <w:sz w:val="20"/>
                <w:szCs w:val="20"/>
                <w:color w:val="auto"/>
              </w:rPr>
            </w:pPr>
          </w:p>
        </w:tc>
        <w:tc>
          <w:tcPr>
            <w:tcW w:w="1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 (No. 333-152700), filed August 1, 2008</w:t>
            </w:r>
          </w:p>
        </w:tc>
      </w:tr>
      <w:tr>
        <w:trPr>
          <w:trHeight w:val="27"/>
        </w:trPr>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10.22</w:t>
            </w:r>
          </w:p>
        </w:tc>
        <w:tc>
          <w:tcPr>
            <w:tcW w:w="1022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 xml:space="preserve">Standard Terms and Conditions to Restricted Stock Award Letters of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10.2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0000FF"/>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Tree.com BU Holding Company, Inc.*</w:t>
              </w:r>
            </w:hyperlink>
          </w:p>
        </w:tc>
        <w:tc>
          <w:tcPr>
            <w:tcW w:w="2380" w:type="dxa"/>
            <w:vAlign w:val="bottom"/>
            <w:tcBorders>
              <w:top w:val="single" w:sz="8" w:color="0000FF"/>
              <w:bottom w:val="single" w:sz="8" w:color="CCEEFF"/>
              <w:right w:val="single" w:sz="8" w:color="CCEEFF"/>
            </w:tcBorders>
            <w:gridSpan w:val="7"/>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February 3, 2011</w:t>
            </w: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10.23</w:t>
            </w:r>
          </w:p>
        </w:tc>
        <w:tc>
          <w:tcPr>
            <w:tcW w:w="5180" w:type="dxa"/>
            <w:vAlign w:val="bottom"/>
            <w:gridSpan w:val="17"/>
          </w:tcPr>
          <w:p>
            <w:pPr>
              <w:spacing w:after="0" w:line="20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Form of Notice of Restricted Stock Unit Award*</w:t>
              </w:r>
            </w:hyperlink>
          </w:p>
        </w:tc>
        <w:tc>
          <w:tcPr>
            <w:tcW w:w="50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Exhibit 10.86(b) to the Registrant's Post-Effective Amendment to its</w:t>
            </w:r>
          </w:p>
        </w:tc>
      </w:tr>
      <w:tr>
        <w:trPr>
          <w:trHeight w:val="218"/>
        </w:trPr>
        <w:tc>
          <w:tcPr>
            <w:tcW w:w="1200" w:type="dxa"/>
            <w:vAlign w:val="bottom"/>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Registration  Statement  on  Form  S-1  (No.  333-152700),  filed</w:t>
            </w:r>
          </w:p>
        </w:tc>
      </w:tr>
      <w:tr>
        <w:trPr>
          <w:trHeight w:val="234"/>
        </w:trPr>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July 13, 2012</w:t>
            </w:r>
          </w:p>
        </w:tc>
      </w:tr>
      <w:tr>
        <w:trPr>
          <w:trHeight w:val="27"/>
        </w:trPr>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10.24</w:t>
            </w:r>
          </w:p>
        </w:tc>
        <w:tc>
          <w:tcPr>
            <w:tcW w:w="5180" w:type="dxa"/>
            <w:vAlign w:val="bottom"/>
            <w:tcBorders>
              <w:right w:val="single" w:sz="8" w:color="CCEEFF"/>
            </w:tcBorders>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Form of Restricted Stock Award*</w:t>
              </w:r>
            </w:hyperlink>
          </w:p>
        </w:tc>
        <w:tc>
          <w:tcPr>
            <w:tcW w:w="50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Exhibit 10.86(c) to the Registrant's Post-Effective Amendment to its</w:t>
            </w:r>
          </w:p>
        </w:tc>
      </w:tr>
      <w:tr>
        <w:trPr>
          <w:trHeight w:val="218"/>
        </w:trPr>
        <w:tc>
          <w:tcPr>
            <w:tcW w:w="1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50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Registration  Statement  on  Form  S-1  (No.  333-152700),  filed</w:t>
            </w:r>
          </w:p>
        </w:tc>
      </w:tr>
      <w:tr>
        <w:trPr>
          <w:trHeight w:val="241"/>
        </w:trPr>
        <w:tc>
          <w:tcPr>
            <w:tcW w:w="1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July 13, 2012</w:t>
            </w: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10.25</w:t>
            </w:r>
          </w:p>
        </w:tc>
        <w:tc>
          <w:tcPr>
            <w:tcW w:w="10220" w:type="dxa"/>
            <w:vAlign w:val="bottom"/>
            <w:gridSpan w:val="19"/>
          </w:tcPr>
          <w:p>
            <w:pPr>
              <w:spacing w:after="0" w:line="202"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 xml:space="preserve">Form of Notice of Stock Option Award Granted Under the Amended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10.86(d) to the Registrant's Post-Effective Amendment to its</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and Restated 2008 Stock and Annual Incentive Plan*</w:t>
              </w:r>
            </w:hyperlink>
          </w:p>
        </w:tc>
        <w:tc>
          <w:tcPr>
            <w:tcW w:w="50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Registration  Statement  on  Form  S-1  (No.  333-152700),  filed</w:t>
            </w:r>
          </w:p>
        </w:tc>
      </w:tr>
      <w:tr>
        <w:trPr>
          <w:trHeight w:val="237"/>
        </w:trPr>
        <w:tc>
          <w:tcPr>
            <w:tcW w:w="1200" w:type="dxa"/>
            <w:vAlign w:val="bottom"/>
          </w:tcPr>
          <w:p>
            <w:pPr>
              <w:spacing w:after="0"/>
              <w:rPr>
                <w:sz w:val="20"/>
                <w:szCs w:val="20"/>
                <w:color w:val="auto"/>
              </w:rPr>
            </w:pPr>
          </w:p>
        </w:tc>
        <w:tc>
          <w:tcPr>
            <w:tcW w:w="1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July 13,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6" w:lineRule="exact"/>
        <w:rPr>
          <w:sz w:val="20"/>
          <w:szCs w:val="20"/>
          <w:color w:val="auto"/>
        </w:rPr>
      </w:pPr>
    </w:p>
    <w:p>
      <w:pPr>
        <w:ind w:left="640"/>
        <w:spacing w:after="0"/>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69">
        <w:r>
          <w:rPr>
            <w:rFonts w:ascii="Times New Roman" w:cs="Times New Roman" w:eastAsia="Times New Roman" w:hAnsi="Times New Roman"/>
            <w:sz w:val="18"/>
            <w:szCs w:val="18"/>
            <w:u w:val="single" w:color="auto"/>
            <w:color w:val="0000FF"/>
          </w:rPr>
          <w:t xml:space="preserve">Form of Notice of Stock Option Award Granted Under the Second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10.13 to the Registrant's Quarterly Report on Form 10-Q</w:t>
      </w:r>
    </w:p>
    <w:tbl>
      <w:tblPr>
        <w:tblLayout w:type="fixed"/>
        <w:tblInd w:w="1200" w:type="dxa"/>
        <w:tblCellMar>
          <w:top w:w="0" w:type="dxa"/>
          <w:left w:w="0" w:type="dxa"/>
          <w:bottom w:w="0" w:type="dxa"/>
          <w:right w:w="0" w:type="dxa"/>
        </w:tblCellMar>
      </w:tblPr>
      <w:tr>
        <w:trPr>
          <w:trHeight w:val="203"/>
        </w:trPr>
        <w:tc>
          <w:tcPr>
            <w:tcW w:w="4580" w:type="dxa"/>
            <w:vAlign w:val="bottom"/>
            <w:tcBorders>
              <w:bottom w:val="single" w:sz="8" w:color="0000FF"/>
            </w:tcBorders>
          </w:tcPr>
          <w:p>
            <w:pPr>
              <w:spacing w:after="0" w:line="203"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Amended and Restated 2008 Stock and Annual Incentive Plan*</w:t>
              </w:r>
            </w:hyperlink>
          </w:p>
        </w:tc>
        <w:tc>
          <w:tcPr>
            <w:tcW w:w="360" w:type="dxa"/>
            <w:vAlign w:val="bottom"/>
          </w:tcPr>
          <w:p>
            <w:pPr>
              <w:spacing w:after="0"/>
              <w:rPr>
                <w:sz w:val="17"/>
                <w:szCs w:val="17"/>
                <w:color w:val="auto"/>
              </w:rPr>
            </w:pPr>
          </w:p>
        </w:tc>
        <w:tc>
          <w:tcPr>
            <w:tcW w:w="2940" w:type="dxa"/>
            <w:vAlign w:val="bottom"/>
          </w:tcPr>
          <w:p>
            <w:pPr>
              <w:ind w:left="300"/>
              <w:spacing w:after="0" w:line="203" w:lineRule="exact"/>
              <w:rPr>
                <w:sz w:val="20"/>
                <w:szCs w:val="20"/>
                <w:color w:val="auto"/>
              </w:rPr>
            </w:pPr>
            <w:r>
              <w:rPr>
                <w:rFonts w:ascii="Times New Roman" w:cs="Times New Roman" w:eastAsia="Times New Roman" w:hAnsi="Times New Roman"/>
                <w:sz w:val="18"/>
                <w:szCs w:val="18"/>
                <w:color w:val="auto"/>
                <w:w w:val="99"/>
              </w:rPr>
              <w:t>(No. 001-34063) filed May 12, 2010</w:t>
            </w:r>
          </w:p>
        </w:tc>
      </w:tr>
      <w:tr>
        <w:trPr>
          <w:trHeight w:val="507"/>
        </w:trPr>
        <w:tc>
          <w:tcPr>
            <w:tcW w:w="4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w:t>
            </w:r>
          </w:p>
        </w:tc>
        <w:tc>
          <w:tcPr>
            <w:tcW w:w="294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type w:val="continuous"/>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8"/>
        </w:trPr>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60" w:type="dxa"/>
            <w:vAlign w:val="bottom"/>
            <w:gridSpan w:val="10"/>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02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7"/>
        </w:trPr>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196"/>
        </w:trPr>
        <w:tc>
          <w:tcPr>
            <w:tcW w:w="120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5200" w:type="dxa"/>
            <w:vAlign w:val="bottom"/>
            <w:gridSpan w:val="16"/>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Base Convertible Bond Hedge Transaction</w:t>
              </w:r>
            </w:hyperlink>
          </w:p>
        </w:tc>
        <w:tc>
          <w:tcPr>
            <w:tcW w:w="50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Exhibit 99.2 to the Registrant's Current Report on Form 8-K filed</w:t>
            </w:r>
          </w:p>
        </w:tc>
      </w:tr>
      <w:tr>
        <w:trPr>
          <w:trHeight w:val="237"/>
        </w:trPr>
        <w:tc>
          <w:tcPr>
            <w:tcW w:w="12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31, 2017</w:t>
            </w:r>
          </w:p>
        </w:tc>
      </w:tr>
      <w:tr>
        <w:trPr>
          <w:trHeight w:val="27"/>
        </w:trPr>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10.28</w:t>
            </w:r>
          </w:p>
        </w:tc>
        <w:tc>
          <w:tcPr>
            <w:tcW w:w="520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Additional Convertible Bond Hedge Transaction</w:t>
              </w:r>
            </w:hyperlink>
          </w:p>
        </w:tc>
        <w:tc>
          <w:tcPr>
            <w:tcW w:w="50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Exhibit 99.3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960" w:type="dxa"/>
            <w:vAlign w:val="bottom"/>
            <w:tcBorders>
              <w:top w:val="single" w:sz="8" w:color="0000FF"/>
              <w:bottom w:val="single" w:sz="8" w:color="CCEEFF"/>
            </w:tcBorders>
            <w:shd w:val="clear" w:color="auto" w:fill="CCEEFF"/>
          </w:tcPr>
          <w:p>
            <w:pPr>
              <w:spacing w:after="0"/>
              <w:rPr>
                <w:sz w:val="21"/>
                <w:szCs w:val="21"/>
                <w:color w:val="auto"/>
              </w:rPr>
            </w:pPr>
          </w:p>
        </w:tc>
        <w:tc>
          <w:tcPr>
            <w:tcW w:w="6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31, 2017</w:t>
            </w: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10.29</w:t>
            </w:r>
          </w:p>
        </w:tc>
        <w:tc>
          <w:tcPr>
            <w:tcW w:w="10220" w:type="dxa"/>
            <w:vAlign w:val="bottom"/>
            <w:gridSpan w:val="17"/>
          </w:tcPr>
          <w:p>
            <w:pPr>
              <w:spacing w:after="0" w:line="20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 xml:space="preserve">Amended and Restated Credit Agreement, dated as of November 21,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10.38 to the Registrant's Annual Report on Form 10-K filed</w:t>
            </w:r>
          </w:p>
        </w:tc>
      </w:tr>
      <w:tr>
        <w:trPr>
          <w:trHeight w:val="196"/>
        </w:trPr>
        <w:tc>
          <w:tcPr>
            <w:tcW w:w="1200" w:type="dxa"/>
            <w:vAlign w:val="bottom"/>
          </w:tcPr>
          <w:p>
            <w:pPr>
              <w:spacing w:after="0"/>
              <w:rPr>
                <w:sz w:val="17"/>
                <w:szCs w:val="17"/>
                <w:color w:val="auto"/>
              </w:rPr>
            </w:pPr>
          </w:p>
        </w:tc>
        <w:tc>
          <w:tcPr>
            <w:tcW w:w="46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5"/>
              </w:rPr>
            </w:pPr>
            <w:hyperlink r:id="rId72">
              <w:r>
                <w:rPr>
                  <w:rFonts w:ascii="Times New Roman" w:cs="Times New Roman" w:eastAsia="Times New Roman" w:hAnsi="Times New Roman"/>
                  <w:sz w:val="18"/>
                  <w:szCs w:val="18"/>
                  <w:color w:val="0000FF"/>
                  <w:w w:val="95"/>
                </w:rPr>
                <w:t>2017+</w:t>
              </w:r>
            </w:hyperlink>
          </w:p>
        </w:tc>
        <w:tc>
          <w:tcPr>
            <w:tcW w:w="4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February 26, 2018</w:t>
            </w:r>
          </w:p>
        </w:tc>
      </w:tr>
      <w:tr>
        <w:trPr>
          <w:trHeight w:val="48"/>
        </w:trPr>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2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10.30</w:t>
            </w:r>
          </w:p>
        </w:tc>
        <w:tc>
          <w:tcPr>
            <w:tcW w:w="102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FF"/>
              </w:rPr>
            </w:pPr>
            <w:hyperlink w:anchor="page111">
              <w:r>
                <w:rPr>
                  <w:rFonts w:ascii="Times New Roman" w:cs="Times New Roman" w:eastAsia="Times New Roman" w:hAnsi="Times New Roman"/>
                  <w:sz w:val="18"/>
                  <w:szCs w:val="18"/>
                  <w:color w:val="0000FF"/>
                </w:rPr>
                <w:t xml:space="preserve">Joinder to Amended and Restated Credit Agreement, dated as of </w:t>
              </w:r>
            </w:hyperlink>
            <w:r>
              <w:rPr>
                <w:rFonts w:ascii="Times New Roman" w:cs="Times New Roman" w:eastAsia="Times New Roman" w:hAnsi="Times New Roman"/>
                <w:sz w:val="18"/>
                <w:szCs w:val="18"/>
                <w:color w:val="000000"/>
              </w:rPr>
              <w:t>†+</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0000FF"/>
              <w:bottom w:val="single" w:sz="8" w:color="0000FF"/>
            </w:tcBorders>
            <w:gridSpan w:val="5"/>
            <w:shd w:val="clear" w:color="auto" w:fill="CCEEFF"/>
          </w:tcPr>
          <w:p>
            <w:pPr>
              <w:spacing w:after="0" w:line="196" w:lineRule="exact"/>
              <w:rPr>
                <w:rFonts w:ascii="Times New Roman" w:cs="Times New Roman" w:eastAsia="Times New Roman" w:hAnsi="Times New Roman"/>
                <w:sz w:val="18"/>
                <w:szCs w:val="18"/>
                <w:color w:val="0000FF"/>
                <w:w w:val="98"/>
              </w:rPr>
            </w:pPr>
            <w:hyperlink w:anchor="page111">
              <w:r>
                <w:rPr>
                  <w:rFonts w:ascii="Times New Roman" w:cs="Times New Roman" w:eastAsia="Times New Roman" w:hAnsi="Times New Roman"/>
                  <w:sz w:val="18"/>
                  <w:szCs w:val="18"/>
                  <w:color w:val="0000FF"/>
                  <w:w w:val="98"/>
                </w:rPr>
                <w:t>October 26, 2018</w:t>
              </w:r>
            </w:hyperlink>
          </w:p>
        </w:tc>
        <w:tc>
          <w:tcPr>
            <w:tcW w:w="3920" w:type="dxa"/>
            <w:vAlign w:val="bottom"/>
            <w:tcBorders>
              <w:top w:val="single" w:sz="8" w:color="0000FF"/>
              <w:bottom w:val="single" w:sz="8" w:color="CCEEFF"/>
            </w:tcBorders>
            <w:gridSpan w:val="10"/>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10.31</w:t>
            </w:r>
          </w:p>
        </w:tc>
        <w:tc>
          <w:tcPr>
            <w:tcW w:w="10220" w:type="dxa"/>
            <w:vAlign w:val="bottom"/>
            <w:gridSpan w:val="17"/>
          </w:tcPr>
          <w:p>
            <w:pPr>
              <w:spacing w:after="0" w:line="20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 xml:space="preserve">Agreement of Purchase and Sale, by and among LendingTree, LLC and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10.31 to the Registrant's Annual Report on Form 10-K filed</w:t>
            </w:r>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 xml:space="preserve">an affiliate of Greenstreet Real Estate Partners, L.P., dated October 17, </w:t>
              </w:r>
            </w:hyperlink>
            <w:r>
              <w:rPr>
                <w:rFonts w:ascii="Times New Roman" w:cs="Times New Roman" w:eastAsia="Times New Roman" w:hAnsi="Times New Roman"/>
                <w:sz w:val="18"/>
                <w:szCs w:val="18"/>
                <w:color w:val="000000"/>
              </w:rPr>
              <w:t>February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28, 2017</w:t>
            </w:r>
          </w:p>
        </w:tc>
      </w:tr>
      <w:tr>
        <w:trPr>
          <w:trHeight w:val="196"/>
        </w:trPr>
        <w:tc>
          <w:tcPr>
            <w:tcW w:w="1200" w:type="dxa"/>
            <w:vAlign w:val="bottom"/>
          </w:tcPr>
          <w:p>
            <w:pPr>
              <w:spacing w:after="0"/>
              <w:rPr>
                <w:sz w:val="17"/>
                <w:szCs w:val="17"/>
                <w:color w:val="auto"/>
              </w:rPr>
            </w:pPr>
          </w:p>
        </w:tc>
        <w:tc>
          <w:tcPr>
            <w:tcW w:w="46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2016</w:t>
              </w:r>
            </w:hyperlink>
          </w:p>
        </w:tc>
        <w:tc>
          <w:tcPr>
            <w:tcW w:w="4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2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10.32</w:t>
            </w:r>
          </w:p>
        </w:tc>
        <w:tc>
          <w:tcPr>
            <w:tcW w:w="102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 xml:space="preserve">First Amendment to Purchase and Sale, by and among LendingTree,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10.32 to the Registrant's Annual Report on Form 10-K filed</w:t>
            </w:r>
          </w:p>
        </w:tc>
      </w:tr>
      <w:tr>
        <w:trPr>
          <w:trHeight w:val="20"/>
        </w:trPr>
        <w:tc>
          <w:tcPr>
            <w:tcW w:w="1200" w:type="dxa"/>
            <w:vAlign w:val="bottom"/>
            <w:shd w:val="clear" w:color="auto" w:fill="CCEE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40" w:type="dxa"/>
            <w:vAlign w:val="bottom"/>
            <w:gridSpan w:val="2"/>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102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 xml:space="preserve">LLC and an affiliate of Greenstreet Real Estate Partners, L.P., dated </w:t>
              </w:r>
            </w:hyperlink>
            <w:r>
              <w:rPr>
                <w:rFonts w:ascii="Times New Roman" w:cs="Times New Roman" w:eastAsia="Times New Roman" w:hAnsi="Times New Roman"/>
                <w:sz w:val="18"/>
                <w:szCs w:val="18"/>
                <w:color w:val="000000"/>
              </w:rPr>
              <w:t>February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28, 2017</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0000FF"/>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w w:val="98"/>
              </w:rPr>
            </w:pPr>
            <w:hyperlink r:id="rId74">
              <w:r>
                <w:rPr>
                  <w:rFonts w:ascii="Times New Roman" w:cs="Times New Roman" w:eastAsia="Times New Roman" w:hAnsi="Times New Roman"/>
                  <w:sz w:val="18"/>
                  <w:szCs w:val="18"/>
                  <w:color w:val="0000FF"/>
                  <w:w w:val="98"/>
                </w:rPr>
                <w:t>November 28, 2016</w:t>
              </w:r>
            </w:hyperlink>
          </w:p>
        </w:tc>
        <w:tc>
          <w:tcPr>
            <w:tcW w:w="3740" w:type="dxa"/>
            <w:vAlign w:val="bottom"/>
            <w:tcBorders>
              <w:top w:val="single" w:sz="8" w:color="0000FF"/>
              <w:bottom w:val="single" w:sz="8" w:color="CCEEFF"/>
            </w:tcBorders>
            <w:gridSpan w:val="9"/>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10.33</w:t>
            </w:r>
          </w:p>
        </w:tc>
        <w:tc>
          <w:tcPr>
            <w:tcW w:w="10220" w:type="dxa"/>
            <w:vAlign w:val="bottom"/>
            <w:gridSpan w:val="17"/>
          </w:tcPr>
          <w:p>
            <w:pPr>
              <w:spacing w:after="0" w:line="20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 xml:space="preserve">Employment Agreement dated December 21, 2017, among John David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10.1 to the Registrant’s Quarterly Report on Form 10-Q</w:t>
            </w:r>
          </w:p>
        </w:tc>
      </w:tr>
      <w:tr>
        <w:trPr>
          <w:trHeight w:val="196"/>
        </w:trPr>
        <w:tc>
          <w:tcPr>
            <w:tcW w:w="1200" w:type="dxa"/>
            <w:vAlign w:val="bottom"/>
          </w:tcPr>
          <w:p>
            <w:pPr>
              <w:spacing w:after="0"/>
              <w:rPr>
                <w:sz w:val="17"/>
                <w:szCs w:val="17"/>
                <w:color w:val="auto"/>
              </w:rPr>
            </w:pPr>
          </w:p>
        </w:tc>
        <w:tc>
          <w:tcPr>
            <w:tcW w:w="520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Moriarty, LendingTree, Inc., and LendingTree, LLC.*</w:t>
              </w:r>
            </w:hyperlink>
          </w:p>
        </w:tc>
        <w:tc>
          <w:tcPr>
            <w:tcW w:w="50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filed April 27, 2018</w:t>
            </w:r>
          </w:p>
        </w:tc>
      </w:tr>
      <w:tr>
        <w:trPr>
          <w:trHeight w:val="48"/>
        </w:trPr>
        <w:tc>
          <w:tcPr>
            <w:tcW w:w="12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2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10.34</w:t>
            </w:r>
          </w:p>
        </w:tc>
        <w:tc>
          <w:tcPr>
            <w:tcW w:w="5180" w:type="dxa"/>
            <w:vAlign w:val="bottom"/>
            <w:tcBorders>
              <w:bottom w:val="single" w:sz="8" w:color="0000FF"/>
            </w:tcBorders>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Employment Agreement, dated January 2, 2018, among Neil Salvage,</w:t>
              </w:r>
            </w:hyperlink>
          </w:p>
        </w:tc>
        <w:tc>
          <w:tcPr>
            <w:tcW w:w="20" w:type="dxa"/>
            <w:vAlign w:val="bottom"/>
            <w:tcBorders>
              <w:bottom w:val="single" w:sz="8" w:color="CCEEFF"/>
            </w:tcBorders>
            <w:shd w:val="clear" w:color="auto" w:fill="CCEEFF"/>
          </w:tcPr>
          <w:p>
            <w:pPr>
              <w:spacing w:after="0"/>
              <w:rPr>
                <w:sz w:val="17"/>
                <w:szCs w:val="17"/>
                <w:color w:val="auto"/>
              </w:rPr>
            </w:pPr>
          </w:p>
        </w:tc>
        <w:tc>
          <w:tcPr>
            <w:tcW w:w="50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Exhibit 10.2 to the Registrant’s Quarterly Report on Form 10-Q</w:t>
            </w:r>
          </w:p>
        </w:tc>
      </w:tr>
      <w:tr>
        <w:trPr>
          <w:trHeight w:val="196"/>
        </w:trPr>
        <w:tc>
          <w:tcPr>
            <w:tcW w:w="1200" w:type="dxa"/>
            <w:vAlign w:val="bottom"/>
            <w:shd w:val="clear" w:color="auto" w:fill="CCEEFF"/>
          </w:tcPr>
          <w:p>
            <w:pPr>
              <w:spacing w:after="0"/>
              <w:rPr>
                <w:sz w:val="17"/>
                <w:szCs w:val="17"/>
                <w:color w:val="auto"/>
              </w:rPr>
            </w:pPr>
          </w:p>
        </w:tc>
        <w:tc>
          <w:tcPr>
            <w:tcW w:w="52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LendingTree, Inc., and LendingTree, LLC*</w:t>
              </w:r>
            </w:hyperlink>
          </w:p>
        </w:tc>
        <w:tc>
          <w:tcPr>
            <w:tcW w:w="502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filed April 27, 2018</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2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10.35</w:t>
            </w:r>
          </w:p>
        </w:tc>
        <w:tc>
          <w:tcPr>
            <w:tcW w:w="518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Employment Agreement, dated March 27, 2018, among Nikul Patel,</w:t>
              </w:r>
            </w:hyperlink>
          </w:p>
        </w:tc>
        <w:tc>
          <w:tcPr>
            <w:tcW w:w="20" w:type="dxa"/>
            <w:vAlign w:val="bottom"/>
          </w:tcPr>
          <w:p>
            <w:pPr>
              <w:spacing w:after="0"/>
              <w:rPr>
                <w:sz w:val="17"/>
                <w:szCs w:val="17"/>
                <w:color w:val="auto"/>
              </w:rPr>
            </w:pPr>
          </w:p>
        </w:tc>
        <w:tc>
          <w:tcPr>
            <w:tcW w:w="50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Exhibit 10.3 to the Registrant’s Quarterly Report on Form 10-Q</w:t>
            </w:r>
          </w:p>
        </w:tc>
      </w:tr>
      <w:tr>
        <w:trPr>
          <w:trHeight w:val="196"/>
        </w:trPr>
        <w:tc>
          <w:tcPr>
            <w:tcW w:w="1200" w:type="dxa"/>
            <w:vAlign w:val="bottom"/>
          </w:tcPr>
          <w:p>
            <w:pPr>
              <w:spacing w:after="0"/>
              <w:rPr>
                <w:sz w:val="17"/>
                <w:szCs w:val="17"/>
                <w:color w:val="auto"/>
              </w:rPr>
            </w:pPr>
          </w:p>
        </w:tc>
        <w:tc>
          <w:tcPr>
            <w:tcW w:w="5200" w:type="dxa"/>
            <w:vAlign w:val="bottom"/>
            <w:gridSpan w:val="16"/>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LendingTree, Inc., and LendingTree, LLC.*</w:t>
              </w:r>
            </w:hyperlink>
          </w:p>
        </w:tc>
        <w:tc>
          <w:tcPr>
            <w:tcW w:w="50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filed April 27, 2018</w:t>
            </w:r>
          </w:p>
        </w:tc>
      </w:tr>
      <w:tr>
        <w:trPr>
          <w:trHeight w:val="48"/>
        </w:trPr>
        <w:tc>
          <w:tcPr>
            <w:tcW w:w="12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2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21.1</w:t>
            </w:r>
          </w:p>
        </w:tc>
        <w:tc>
          <w:tcPr>
            <w:tcW w:w="520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w:anchor="page124">
              <w:r>
                <w:rPr>
                  <w:rFonts w:ascii="Times New Roman" w:cs="Times New Roman" w:eastAsia="Times New Roman" w:hAnsi="Times New Roman"/>
                  <w:sz w:val="18"/>
                  <w:szCs w:val="18"/>
                  <w:color w:val="0000FF"/>
                </w:rPr>
                <w:t>Subsidiaries of LendingTree, Inc.</w:t>
              </w:r>
            </w:hyperlink>
          </w:p>
        </w:tc>
        <w:tc>
          <w:tcPr>
            <w:tcW w:w="50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2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5200" w:type="dxa"/>
            <w:vAlign w:val="bottom"/>
            <w:gridSpan w:val="16"/>
          </w:tcPr>
          <w:p>
            <w:pPr>
              <w:spacing w:after="0" w:line="202" w:lineRule="exact"/>
              <w:rPr>
                <w:rFonts w:ascii="Times New Roman" w:cs="Times New Roman" w:eastAsia="Times New Roman" w:hAnsi="Times New Roman"/>
                <w:sz w:val="18"/>
                <w:szCs w:val="18"/>
                <w:color w:val="0000FF"/>
              </w:rPr>
            </w:pPr>
            <w:hyperlink w:anchor="page125">
              <w:r>
                <w:rPr>
                  <w:rFonts w:ascii="Times New Roman" w:cs="Times New Roman" w:eastAsia="Times New Roman" w:hAnsi="Times New Roman"/>
                  <w:sz w:val="18"/>
                  <w:szCs w:val="18"/>
                  <w:color w:val="0000FF"/>
                </w:rPr>
                <w:t>Consent of independent registered public accounting firm.</w:t>
              </w:r>
            </w:hyperlink>
          </w:p>
        </w:tc>
        <w:tc>
          <w:tcPr>
            <w:tcW w:w="50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48"/>
        </w:trPr>
        <w:tc>
          <w:tcPr>
            <w:tcW w:w="12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2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24.1</w:t>
            </w:r>
          </w:p>
        </w:tc>
        <w:tc>
          <w:tcPr>
            <w:tcW w:w="102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 xml:space="preserve">Power of Attorney (included on signature page of this Annual Report </w:t>
              </w:r>
            </w:hyperlink>
            <w:r>
              <w:rPr>
                <w:rFonts w:ascii="Times New Roman" w:cs="Times New Roman" w:eastAsia="Times New Roman" w:hAnsi="Times New Roman"/>
                <w:sz w:val="18"/>
                <w:szCs w:val="18"/>
                <w:color w:val="000000"/>
              </w:rPr>
              <w:t>†</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on Form 10-K)</w:t>
              </w:r>
            </w:hyperlink>
          </w:p>
        </w:tc>
        <w:tc>
          <w:tcPr>
            <w:tcW w:w="20" w:type="dxa"/>
            <w:vAlign w:val="bottom"/>
            <w:tcBorders>
              <w:top w:val="single" w:sz="8" w:color="CCEEFF"/>
            </w:tcBorders>
            <w:shd w:val="clear" w:color="auto" w:fill="CCEEFF"/>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2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0220" w:type="dxa"/>
            <w:vAlign w:val="bottom"/>
            <w:gridSpan w:val="17"/>
          </w:tcPr>
          <w:p>
            <w:pPr>
              <w:spacing w:after="0" w:line="202" w:lineRule="exact"/>
              <w:rPr>
                <w:rFonts w:ascii="Times New Roman" w:cs="Times New Roman" w:eastAsia="Times New Roman" w:hAnsi="Times New Roman"/>
                <w:sz w:val="18"/>
                <w:szCs w:val="18"/>
                <w:color w:val="0000FF"/>
              </w:rPr>
            </w:pPr>
            <w:hyperlink w:anchor="page126">
              <w:r>
                <w:rPr>
                  <w:rFonts w:ascii="Times New Roman" w:cs="Times New Roman" w:eastAsia="Times New Roman" w:hAnsi="Times New Roman"/>
                  <w:sz w:val="18"/>
                  <w:szCs w:val="18"/>
                  <w:color w:val="0000FF"/>
                </w:rPr>
                <w:t xml:space="preserve">Certification of the Chief Executive Officer pursuant to Rule 13a-14(a) </w:t>
              </w:r>
            </w:hyperlink>
            <w:r>
              <w:rPr>
                <w:rFonts w:ascii="Times New Roman" w:cs="Times New Roman" w:eastAsia="Times New Roman" w:hAnsi="Times New Roman"/>
                <w:sz w:val="18"/>
                <w:szCs w:val="18"/>
                <w:color w:val="000000"/>
              </w:rPr>
              <w:t>†</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w:anchor="page126">
              <w:r>
                <w:rPr>
                  <w:rFonts w:ascii="Times New Roman" w:cs="Times New Roman" w:eastAsia="Times New Roman" w:hAnsi="Times New Roman"/>
                  <w:sz w:val="18"/>
                  <w:szCs w:val="18"/>
                  <w:color w:val="0000FF"/>
                </w:rPr>
                <w:t>or Rule 15d-14(a) of the Securities Exchange Act of 1934 as adopted</w:t>
              </w:r>
            </w:hyperlink>
          </w:p>
        </w:tc>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200" w:type="dxa"/>
            <w:vAlign w:val="bottom"/>
            <w:gridSpan w:val="16"/>
          </w:tcPr>
          <w:p>
            <w:pPr>
              <w:spacing w:after="0" w:line="196" w:lineRule="exact"/>
              <w:rPr>
                <w:rFonts w:ascii="Times New Roman" w:cs="Times New Roman" w:eastAsia="Times New Roman" w:hAnsi="Times New Roman"/>
                <w:sz w:val="18"/>
                <w:szCs w:val="18"/>
                <w:color w:val="0000FF"/>
              </w:rPr>
            </w:pPr>
            <w:hyperlink w:anchor="page126">
              <w:r>
                <w:rPr>
                  <w:rFonts w:ascii="Times New Roman" w:cs="Times New Roman" w:eastAsia="Times New Roman" w:hAnsi="Times New Roman"/>
                  <w:sz w:val="18"/>
                  <w:szCs w:val="18"/>
                  <w:color w:val="0000FF"/>
                </w:rPr>
                <w:t>pursuant to Section 302 of the Sarbanes-Oxley Act of 2002</w:t>
              </w:r>
            </w:hyperlink>
          </w:p>
        </w:tc>
        <w:tc>
          <w:tcPr>
            <w:tcW w:w="502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2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02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FF"/>
              </w:rPr>
            </w:pPr>
            <w:hyperlink w:anchor="page127">
              <w:r>
                <w:rPr>
                  <w:rFonts w:ascii="Times New Roman" w:cs="Times New Roman" w:eastAsia="Times New Roman" w:hAnsi="Times New Roman"/>
                  <w:sz w:val="18"/>
                  <w:szCs w:val="18"/>
                  <w:color w:val="0000FF"/>
                </w:rPr>
                <w:t xml:space="preserve">Certification of the Chief Financial Officer pursuant to Rule 13a-14(a) </w:t>
              </w:r>
            </w:hyperlink>
            <w:r>
              <w:rPr>
                <w:rFonts w:ascii="Times New Roman" w:cs="Times New Roman" w:eastAsia="Times New Roman" w:hAnsi="Times New Roman"/>
                <w:sz w:val="18"/>
                <w:szCs w:val="18"/>
                <w:color w:val="000000"/>
              </w:rPr>
              <w:t>†</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5180" w:type="dxa"/>
            <w:vAlign w:val="bottom"/>
            <w:tcBorders>
              <w:top w:val="single" w:sz="8" w:color="0000FF"/>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w:anchor="page127">
              <w:r>
                <w:rPr>
                  <w:rFonts w:ascii="Times New Roman" w:cs="Times New Roman" w:eastAsia="Times New Roman" w:hAnsi="Times New Roman"/>
                  <w:sz w:val="18"/>
                  <w:szCs w:val="18"/>
                  <w:color w:val="0000FF"/>
                </w:rPr>
                <w:t>or Rule 15d-14(a) of the Securities Exchange Act of 1934 as adopted</w:t>
              </w:r>
            </w:hyperlink>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0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52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w:anchor="page127">
              <w:r>
                <w:rPr>
                  <w:rFonts w:ascii="Times New Roman" w:cs="Times New Roman" w:eastAsia="Times New Roman" w:hAnsi="Times New Roman"/>
                  <w:sz w:val="18"/>
                  <w:szCs w:val="18"/>
                  <w:color w:val="0000FF"/>
                </w:rPr>
                <w:t>pursuant to Section 302 of the Sarbanes-Oxley Act of 2002</w:t>
              </w:r>
            </w:hyperlink>
          </w:p>
        </w:tc>
        <w:tc>
          <w:tcPr>
            <w:tcW w:w="5020" w:type="dxa"/>
            <w:vAlign w:val="bottom"/>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2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220" w:type="dxa"/>
            <w:vAlign w:val="bottom"/>
            <w:gridSpan w:val="17"/>
          </w:tcPr>
          <w:p>
            <w:pPr>
              <w:spacing w:after="0" w:line="202" w:lineRule="exact"/>
              <w:rPr>
                <w:rFonts w:ascii="Times New Roman" w:cs="Times New Roman" w:eastAsia="Times New Roman" w:hAnsi="Times New Roman"/>
                <w:sz w:val="18"/>
                <w:szCs w:val="18"/>
                <w:color w:val="0000FF"/>
              </w:rPr>
            </w:pPr>
            <w:hyperlink w:anchor="page128">
              <w:r>
                <w:rPr>
                  <w:rFonts w:ascii="Times New Roman" w:cs="Times New Roman" w:eastAsia="Times New Roman" w:hAnsi="Times New Roman"/>
                  <w:sz w:val="18"/>
                  <w:szCs w:val="18"/>
                  <w:color w:val="0000FF"/>
                </w:rPr>
                <w:t xml:space="preserve">Certification of the Chief Executive Officer pursuant to 18 U.S.C. </w:t>
              </w:r>
            </w:hyperlink>
            <w:r>
              <w:rPr>
                <w:rFonts w:ascii="Times New Roman" w:cs="Times New Roman" w:eastAsia="Times New Roman" w:hAnsi="Times New Roman"/>
                <w:sz w:val="18"/>
                <w:szCs w:val="18"/>
                <w:color w:val="000000"/>
              </w:rPr>
              <w:t>††</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w:anchor="page128">
              <w:r>
                <w:rPr>
                  <w:rFonts w:ascii="Times New Roman" w:cs="Times New Roman" w:eastAsia="Times New Roman" w:hAnsi="Times New Roman"/>
                  <w:sz w:val="18"/>
                  <w:szCs w:val="18"/>
                  <w:color w:val="0000FF"/>
                </w:rPr>
                <w:t>Section 1350 as adopted pursuant to Section 906 of the Sarbanes-Oxley</w:t>
              </w:r>
            </w:hyperlink>
          </w:p>
        </w:tc>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200" w:type="dxa"/>
            <w:vAlign w:val="bottom"/>
            <w:gridSpan w:val="16"/>
          </w:tcPr>
          <w:p>
            <w:pPr>
              <w:spacing w:after="0" w:line="196" w:lineRule="exact"/>
              <w:rPr>
                <w:rFonts w:ascii="Times New Roman" w:cs="Times New Roman" w:eastAsia="Times New Roman" w:hAnsi="Times New Roman"/>
                <w:sz w:val="18"/>
                <w:szCs w:val="18"/>
                <w:color w:val="0000FF"/>
              </w:rPr>
            </w:pPr>
            <w:hyperlink w:anchor="page128">
              <w:r>
                <w:rPr>
                  <w:rFonts w:ascii="Times New Roman" w:cs="Times New Roman" w:eastAsia="Times New Roman" w:hAnsi="Times New Roman"/>
                  <w:sz w:val="18"/>
                  <w:szCs w:val="18"/>
                  <w:color w:val="0000FF"/>
                </w:rPr>
                <w:t>Act of 2002</w:t>
              </w:r>
            </w:hyperlink>
          </w:p>
        </w:tc>
        <w:tc>
          <w:tcPr>
            <w:tcW w:w="502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2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02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FF"/>
              </w:rPr>
            </w:pPr>
            <w:hyperlink w:anchor="page129">
              <w:r>
                <w:rPr>
                  <w:rFonts w:ascii="Times New Roman" w:cs="Times New Roman" w:eastAsia="Times New Roman" w:hAnsi="Times New Roman"/>
                  <w:sz w:val="18"/>
                  <w:szCs w:val="18"/>
                  <w:color w:val="0000FF"/>
                </w:rPr>
                <w:t xml:space="preserve">Certification of the Chief Financial Officer pursuant to 18 U.S.C. </w:t>
              </w:r>
            </w:hyperlink>
            <w:r>
              <w:rPr>
                <w:rFonts w:ascii="Times New Roman" w:cs="Times New Roman" w:eastAsia="Times New Roman" w:hAnsi="Times New Roman"/>
                <w:sz w:val="18"/>
                <w:szCs w:val="18"/>
                <w:color w:val="000000"/>
              </w:rPr>
              <w:t>††</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5180" w:type="dxa"/>
            <w:vAlign w:val="bottom"/>
            <w:tcBorders>
              <w:top w:val="single" w:sz="8" w:color="0000FF"/>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w:anchor="page129">
              <w:r>
                <w:rPr>
                  <w:rFonts w:ascii="Times New Roman" w:cs="Times New Roman" w:eastAsia="Times New Roman" w:hAnsi="Times New Roman"/>
                  <w:sz w:val="18"/>
                  <w:szCs w:val="18"/>
                  <w:color w:val="0000FF"/>
                </w:rPr>
                <w:t>Section 1350 as adopted pursuant to Section 906 of the Sarbanes-Oxley</w:t>
              </w:r>
            </w:hyperlink>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50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7"/>
              </w:rPr>
            </w:pPr>
            <w:hyperlink w:anchor="page129">
              <w:r>
                <w:rPr>
                  <w:rFonts w:ascii="Times New Roman" w:cs="Times New Roman" w:eastAsia="Times New Roman" w:hAnsi="Times New Roman"/>
                  <w:sz w:val="18"/>
                  <w:szCs w:val="18"/>
                  <w:color w:val="0000FF"/>
                  <w:w w:val="97"/>
                </w:rPr>
                <w:t>Act of 2002</w:t>
              </w:r>
            </w:hyperlink>
          </w:p>
        </w:tc>
        <w:tc>
          <w:tcPr>
            <w:tcW w:w="4340" w:type="dxa"/>
            <w:vAlign w:val="bottom"/>
            <w:tcBorders>
              <w:bottom w:val="single" w:sz="8" w:color="CCEEFF"/>
            </w:tcBorders>
            <w:gridSpan w:val="13"/>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101.CAL</w:t>
            </w:r>
          </w:p>
        </w:tc>
        <w:tc>
          <w:tcPr>
            <w:tcW w:w="5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101.DEF</w:t>
            </w:r>
          </w:p>
        </w:tc>
        <w:tc>
          <w:tcPr>
            <w:tcW w:w="520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101.INS</w:t>
            </w:r>
          </w:p>
        </w:tc>
        <w:tc>
          <w:tcPr>
            <w:tcW w:w="5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101.LAB</w:t>
            </w:r>
          </w:p>
        </w:tc>
        <w:tc>
          <w:tcPr>
            <w:tcW w:w="520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101.PRE</w:t>
            </w:r>
          </w:p>
        </w:tc>
        <w:tc>
          <w:tcPr>
            <w:tcW w:w="5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101.SCH</w:t>
            </w:r>
          </w:p>
        </w:tc>
        <w:tc>
          <w:tcPr>
            <w:tcW w:w="5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44" w:lineRule="exact"/>
        <w:rPr>
          <w:sz w:val="20"/>
          <w:szCs w:val="20"/>
          <w:color w:val="auto"/>
        </w:rPr>
      </w:pPr>
    </w:p>
    <w:p>
      <w:pPr>
        <w:jc w:val="both"/>
        <w:ind w:firstLine="8"/>
        <w:spacing w:after="0" w:line="266" w:lineRule="auto"/>
        <w:tabs>
          <w:tab w:leader="none" w:pos="2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522" w:right="239" w:bottom="1440" w:gutter="0" w:footer="0" w:header="0"/>
        </w:sectPr>
      </w:pPr>
    </w:p>
    <w:bookmarkStart w:id="107" w:name="page108"/>
    <w:bookmarkEnd w:id="107"/>
    <w:p>
      <w:pPr>
        <w:jc w:val="both"/>
        <w:ind w:firstLine="8"/>
        <w:spacing w:after="0" w:line="266" w:lineRule="auto"/>
        <w:tabs>
          <w:tab w:leader="none" w:pos="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compensation plan or arrangement.</w:t>
      </w:r>
    </w:p>
    <w:p>
      <w:pPr>
        <w:spacing w:after="0" w:line="144" w:lineRule="exact"/>
        <w:rPr>
          <w:sz w:val="20"/>
          <w:szCs w:val="20"/>
          <w:color w:val="auto"/>
        </w:rPr>
      </w:pPr>
    </w:p>
    <w:p>
      <w:pPr>
        <w:ind w:firstLine="8"/>
        <w:spacing w:after="0" w:line="282" w:lineRule="auto"/>
        <w:tabs>
          <w:tab w:leader="none" w:pos="2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have been omitted pursuant to a request for confidential treatment and this exhibit has been submitted separately to the SEC.</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499" w:right="239" w:bottom="1440" w:gutter="0" w:footer="0" w:header="0"/>
        </w:sectPr>
      </w:pPr>
    </w:p>
    <w:bookmarkStart w:id="108" w:name="page109"/>
    <w:bookmarkEnd w:id="10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2019</w:t>
      </w:r>
    </w:p>
    <w:p>
      <w:pPr>
        <w:spacing w:after="0" w:line="3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LendingTree, Inc.</w:t>
      </w:r>
    </w:p>
    <w:p>
      <w:pPr>
        <w:spacing w:after="0" w:line="329" w:lineRule="exact"/>
        <w:rPr>
          <w:sz w:val="20"/>
          <w:szCs w:val="20"/>
          <w:color w:val="auto"/>
        </w:rPr>
      </w:pPr>
    </w:p>
    <w:p>
      <w:pPr>
        <w:ind w:left="564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36830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Douglas R. Lebda</w:t>
      </w:r>
    </w:p>
    <w:p>
      <w:pPr>
        <w:spacing w:after="0" w:line="6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114" w:right="239" w:bottom="1440" w:gutter="0" w:footer="0" w:header="0"/>
        </w:sectPr>
      </w:pPr>
    </w:p>
    <w:bookmarkStart w:id="109" w:name="page110"/>
    <w:bookmarkEnd w:id="10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each of J.D. Moriarty and Ryan Quinn as his or her true and lawful attorney and agent, with full power of substitution and resubstitution, for him or her and in his or her name, place and stead, in any and all capacities, to sign any and all amendments to the Registrant's Annual Report on Form 10-K for the fiscal year ended December 31, 2018,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or she might or could do in person, hereby ratifying and confirming all that said attorney and agent may lawfully do or cause to be done by virtue hereof.</w:t>
      </w:r>
    </w:p>
    <w:p>
      <w:pPr>
        <w:spacing w:after="0" w:line="10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760" w:type="dxa"/>
            <w:vAlign w:val="bottom"/>
          </w:tcPr>
          <w:p>
            <w:pPr>
              <w:spacing w:after="0"/>
              <w:rPr>
                <w:sz w:val="13"/>
                <w:szCs w:val="13"/>
                <w:color w:val="auto"/>
              </w:rPr>
            </w:pPr>
          </w:p>
        </w:tc>
        <w:tc>
          <w:tcPr>
            <w:tcW w:w="4460" w:type="dxa"/>
            <w:vAlign w:val="bottom"/>
            <w:gridSpan w:val="3"/>
          </w:tcPr>
          <w:p>
            <w:pPr>
              <w:ind w:left="23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8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 DOUGLAS R. LEBDA</w:t>
            </w:r>
          </w:p>
        </w:tc>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47"/>
        </w:trPr>
        <w:tc>
          <w:tcPr>
            <w:tcW w:w="17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4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Douglas R. Lebda</w:t>
            </w:r>
          </w:p>
        </w:tc>
        <w:tc>
          <w:tcPr>
            <w:tcW w:w="44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 J.D. MORIARTY</w:t>
            </w:r>
          </w:p>
        </w:tc>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47"/>
        </w:trPr>
        <w:tc>
          <w:tcPr>
            <w:tcW w:w="17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4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J.D. Moriarty</w:t>
            </w:r>
          </w:p>
        </w:tc>
        <w:tc>
          <w:tcPr>
            <w:tcW w:w="44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 CARLA SHUMATE</w:t>
            </w:r>
          </w:p>
        </w:tc>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47"/>
        </w:trPr>
        <w:tc>
          <w:tcPr>
            <w:tcW w:w="17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4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Carla Shumate</w:t>
            </w:r>
          </w:p>
        </w:tc>
        <w:tc>
          <w:tcPr>
            <w:tcW w:w="44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 GABRIEL DALPORTO</w:t>
            </w:r>
          </w:p>
        </w:tc>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Gabriel Dalporto</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 THOMAS DAVIDSON</w:t>
            </w:r>
          </w:p>
        </w:tc>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Thomas Davidson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 NEAL DERMER</w:t>
            </w:r>
          </w:p>
        </w:tc>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Neal Dermer</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 ROBIN HENDERSON</w:t>
            </w:r>
          </w:p>
        </w:tc>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Robin Henderson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 PETER HORAN</w:t>
            </w:r>
          </w:p>
        </w:tc>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Peter Horan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 STEVEN OZONIAN</w:t>
            </w:r>
          </w:p>
        </w:tc>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Steven Ozonian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 SARAS SARASVATHY</w:t>
            </w:r>
          </w:p>
        </w:tc>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Saras Sarasvathy</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 G. KENNEDY THOMPSON</w:t>
            </w:r>
          </w:p>
        </w:tc>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 Kennedy Thompson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 CRAIG TROYER</w:t>
            </w:r>
          </w:p>
        </w:tc>
        <w:tc>
          <w:tcPr>
            <w:tcW w:w="4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February 28, 2019</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Craig Troyer</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JOINDER TO AMENDED AND RESTATED CREDIT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JOINDER TO 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October 26, 2018, among LENDINGTREE,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LENDINGTREE,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each other Loan Party party hereto, each bank and other financial institution party hereto as a provider of Incremental Revolving Commitments (each, an “</w:t>
      </w:r>
      <w:r>
        <w:rPr>
          <w:rFonts w:ascii="Times New Roman" w:cs="Times New Roman" w:eastAsia="Times New Roman" w:hAnsi="Times New Roman"/>
          <w:sz w:val="18"/>
          <w:szCs w:val="18"/>
          <w:u w:val="single" w:color="auto"/>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Incremental Lenders</w:t>
      </w:r>
      <w:r>
        <w:rPr>
          <w:rFonts w:ascii="Times New Roman" w:cs="Times New Roman" w:eastAsia="Times New Roman" w:hAnsi="Times New Roman"/>
          <w:sz w:val="18"/>
          <w:szCs w:val="18"/>
          <w:color w:val="auto"/>
        </w:rPr>
        <w:t>”), and SUNTRUST BANK, as administrative agent under the Credit Agreement referred to below (in such capacity and together with its successors,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 the Parent, the Administrative Agent, and the Lenders from time to time party thereto are parties to that certain Amended and Restated Credit Agreement dated as of November 21, 2017 (as amended, restated, supplemented or otherwise modified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WHEREAS, in accordance with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of the Credit Agreement, the Borrower notified the Administrative Agent of its request for Incremental Revolving Commitments, and pursuant to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of the Credit Agreement, the Borrower hereby requests that the Incremental Lenders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make Incremental Revolving Commitments hereunder as additional revolving commitments (the “</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in an aggregate principal amount of $100,000,000 to the Borrower on the Incremental Effective Date (as defined below).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in accordance with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of the Credit Agreement, the Incremental Revolving Commitments shall be effected by, among other things, the execution of an instrument of joinder entered into among the Borrower, the Administrative Agent and the Incremental Lenders, in accordance with the terms and conditions of the Credit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each Incremental Lender is willing to make Incremental Revolving Commitments available to the Borrower on the Incremental Effective Date on the terms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in the Credit Agreement and subject to the conditions set forth herein and to become, if not already, a Lender for all purposes under the Credit Agreement and to bound by all of the terms and conditions thereof and of the Loan Documents.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 has also requested, and the Administrative Agent has agreed, to amend the Credit Agreement to give effect to the Incremental Revolving Commitments and certain mechanical changes necessary or advisable in connection therewith, all in accordance with the terms of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undertakings set forth herein and other good and valuable consideration, the receipt and sufficiency of which is hereby acknowledged, the parties hereto hereby agree as follows:</w:t>
      </w:r>
    </w:p>
    <w:p>
      <w:pPr>
        <w:spacing w:after="0" w:line="189"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defined herein, each capitalized term used in this Agreement (including the recitals) and not defined herein shall be defined in accordance with the Credit Agreement.</w:t>
      </w:r>
    </w:p>
    <w:p>
      <w:pPr>
        <w:spacing w:after="0" w:line="162" w:lineRule="exact"/>
        <w:rPr>
          <w:sz w:val="20"/>
          <w:szCs w:val="20"/>
          <w:color w:val="auto"/>
        </w:rPr>
      </w:pPr>
    </w:p>
    <w:p>
      <w:pPr>
        <w:ind w:left="660"/>
        <w:spacing w:after="0"/>
        <w:tabs>
          <w:tab w:leader="none" w:pos="266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Incremental Revolving Commitments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xml:space="preserve">. Each Incremental Lender hereby agrees, severally and not jointly, on the terms set forth herein and in the Credit Agreement and subject to the conditions set forth herein, to lend and relend to the Borrower, from time to time on any Business Day on or after the Incremental Effective Date and prior to the Revolving Commitment Termination Date, amounts which do not exceed such Incremental Lender’s Incremental Revolving Commitment (as set forth opposite such Incremental Lender’s name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as of such Business Day. The Incremental Revolving Commitments will be added to the existing Revolving Commitments. Subject to the terms and conditions set forth herein and in the Credit Agreement, on or after the Incremental Effective Date and prior to the Revolving Commitment Termination Date, Borrowings under the Incremental Revolving Commitments may be repaid and reborrowed from time to time on a revolving basis. Pursuant to Section 2.23 of the Credit Agreement, upon the effectiveness of the Incremental Revolving Commitments hereunder, the Commitments and Pro Rata Share of each Lender will be adjusted to give effect to the Incremental Revolving Commitments, and Schedule II to the Credit Agreement shall automatically be deemed amended as set forth on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attached hereto.</w:t>
      </w:r>
    </w:p>
    <w:p>
      <w:pPr>
        <w:sectPr>
          <w:pgSz w:w="11900" w:h="16838" w:orient="portrait"/>
          <w:cols w:equalWidth="0" w:num="1">
            <w:col w:w="11420"/>
          </w:cols>
          <w:pgMar w:left="240" w:top="576" w:right="239" w:bottom="1440" w:gutter="0" w:footer="0" w:header="0"/>
        </w:sectPr>
      </w:pPr>
    </w:p>
    <w:bookmarkStart w:id="111" w:name="page112"/>
    <w:bookmarkEnd w:id="111"/>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Terms of the Incremental Revolving Commitments Generally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expressly provided herein, the Incremental Revolving Commitments shall have identical terms as the existing Revolving Commitments (including, without limitation, with respect to interest rates, prepayments, and maturity) and shall otherwise be subject to the provisions, including any provisions restricting the rights, or regarding the obligations, of the Loan Parties or any provisions regarding the rights of the Lenders, of the Credit Agreement and the other Loan Documents. Immediately upon this Agreement becoming effective on the Incremental Effective Date, the Incremental Revolving Commitments shall constitute “Revolving Commitments” for all purposes under, and subject to the provisions of, the Loan Documents (and shall be fully fungible with the existing Revolving Commitments). Each reference to a “Revolving Commitment” or “Revolving Commitments” in the Credit Agreement or the other Loan Documents shall be deemed to include the Incremental Revolving Commitments and all other related terms will have correlative meanings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For the avoidance of doubt, any Borrowings under the Incremental Revolving Commitments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other Obligations and all collateral securing any such Borrowings shall secure all other Obligations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and such Borrowings shall be guaranteed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other Obligations.</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Lenders; Use of Proceeds; Tax Matters.</w:t>
            </w:r>
          </w:p>
        </w:tc>
      </w:tr>
      <w:tr>
        <w:trPr>
          <w:trHeight w:val="20"/>
        </w:trPr>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45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 Lenders. Each Incremental Lender that is not, prior to the effectiveness of this Agreement, a Lender under the Credit Agreement,</w:t>
            </w:r>
          </w:p>
        </w:tc>
      </w:tr>
      <w:tr>
        <w:trPr>
          <w:trHeight w:val="20"/>
        </w:trPr>
        <w:tc>
          <w:tcPr>
            <w:tcW w:w="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hereby agrees that upon, and subject to, the occurrence of the Incremental Effective Date, such Incremental Lender shall be deemed to be, and shall become, a “Lender” for all purposes of, and subject to all the obligations of a “Lender” under, the Credit Agreement and the other Loan Documents.</w:t>
      </w:r>
    </w:p>
    <w:p>
      <w:pPr>
        <w:spacing w:after="0" w:line="16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any Borrowings under the Incremental Revolving Commitments shall be used to finance working capital needs, including, without limitation, Permitted Acquisitions and other growth initiatives, capital expenditures, and for other general corporate purposes of the Borrower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proceeds shall not be used, directly or indirectly, for any purpose that would violate any rule or regulation of the Board of Governors of the Federal Reserve System, including Regulations T, U or X, or in a manner that would violate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of the Credit Agreement.</w:t>
      </w:r>
    </w:p>
    <w:p>
      <w:pPr>
        <w:spacing w:after="0" w:line="184"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The Borrower and each Lender party hereto hereby acknowledge and agree that the amendments to the Credit Agreement contemplated hereby do not constitute a “significant modification,” within the meaning of Section 1.1001-3 of the U.S. Treasury regulations, of the existing Loans for U.S. federal income tax purposes.</w:t>
      </w:r>
    </w:p>
    <w:p>
      <w:pPr>
        <w:spacing w:after="0" w:line="17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The effectiveness of this Agreement and the obligation of each Incremental Lender to make its Incremental Revolving Commitment available to the Borrower shall become effective on the Business Day on which the following conditions are satisfied or waived (the “</w:t>
      </w:r>
      <w:r>
        <w:rPr>
          <w:rFonts w:ascii="Times New Roman" w:cs="Times New Roman" w:eastAsia="Times New Roman" w:hAnsi="Times New Roman"/>
          <w:sz w:val="18"/>
          <w:szCs w:val="18"/>
          <w:u w:val="single" w:color="auto"/>
          <w:color w:val="auto"/>
        </w:rPr>
        <w:t>Incremental Effective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firstLine="645"/>
        <w:spacing w:after="0" w:line="329" w:lineRule="auto"/>
        <w:tabs>
          <w:tab w:leader="none" w:pos="21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counterparts of this Agreement that, when taken together, bear the signatures of (i) the Administrative Agent, (ii) each Incremental Lender, (iii) the Borrower, and (iv) each Guarantor;</w:t>
      </w:r>
    </w:p>
    <w:p>
      <w:pPr>
        <w:spacing w:after="0" w:line="161" w:lineRule="exact"/>
        <w:rPr>
          <w:rFonts w:ascii="Times New Roman" w:cs="Times New Roman" w:eastAsia="Times New Roman" w:hAnsi="Times New Roman"/>
          <w:sz w:val="18"/>
          <w:szCs w:val="18"/>
          <w:color w:val="auto"/>
        </w:rPr>
      </w:pPr>
    </w:p>
    <w:p>
      <w:pPr>
        <w:ind w:left="660" w:firstLine="645"/>
        <w:spacing w:after="0" w:line="329" w:lineRule="auto"/>
        <w:tabs>
          <w:tab w:leader="none" w:pos="216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this Agreement and the Incremental Revolving Commitments, no Default or Event of Default shall exist;</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21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302" w:lineRule="auto"/>
        <w:tabs>
          <w:tab w:leader="none" w:pos="216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its Subsidiaries shall be in compliance with the financial covenant set forth in Article VI of the Credit Agreement as of the last day of the most recently ended four Fiscal Quarter period for which financial statements are required to have been delivered pursuant to Section 5.1(a) or (b) of the Credit Agreement, calculated on a Pro Forma Basis and as if all such Incremental Revolving Commitments had been established (and fully funded) as of the first day of the relevant period for testing compliance (but calculated without including the cash proceeds of any Incremental Revolving Commitments in the amount of unrestricted cash and Cash Equivalents to be netted in the calculation of Consolidated Total Net Leverage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any Incremental Revolving Commitments established to finance a Material Acquisition, the Consolidated Total Net Leverage Ratio may be 0.50 greater than the otherwise applicable covenant level set forth in Article VI of the Credit Agreement;</w:t>
      </w:r>
    </w:p>
    <w:p>
      <w:pPr>
        <w:spacing w:after="0" w:line="185"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21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evidence of appropriate corporate authorization on the part of the Borrower with respect to the Incremental Revolving Commitments and such opinions of counsel for the Borrower with respect to such Incremental Revolving Commitments as the Administrative Agent may reasonably request;</w:t>
      </w:r>
    </w:p>
    <w:p>
      <w:pPr>
        <w:sectPr>
          <w:pgSz w:w="11900" w:h="16838" w:orient="portrait"/>
          <w:cols w:equalWidth="0" w:num="1">
            <w:col w:w="11420"/>
          </w:cols>
          <w:pgMar w:left="240" w:top="605" w:right="239" w:bottom="1440" w:gutter="0" w:footer="0" w:header="0"/>
        </w:sectPr>
      </w:pPr>
    </w:p>
    <w:bookmarkStart w:id="112" w:name="page113"/>
    <w:bookmarkEnd w:id="112"/>
    <w:p>
      <w:pPr>
        <w:ind w:left="660" w:right="20" w:firstLine="645"/>
        <w:spacing w:after="0" w:line="329" w:lineRule="auto"/>
        <w:tabs>
          <w:tab w:leader="none" w:pos="21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Borrower signed by a Responsible Officer, in form and substance reasonably acceptable to the Administrative Agent, certifying that each of the conditions in Section 2.23(a) of the Credit Agreement has been satisfied;</w:t>
      </w:r>
    </w:p>
    <w:p>
      <w:pPr>
        <w:spacing w:after="0" w:line="161" w:lineRule="exact"/>
        <w:rPr>
          <w:rFonts w:ascii="Times New Roman" w:cs="Times New Roman" w:eastAsia="Times New Roman" w:hAnsi="Times New Roman"/>
          <w:sz w:val="18"/>
          <w:szCs w:val="18"/>
          <w:color w:val="auto"/>
        </w:rPr>
      </w:pPr>
    </w:p>
    <w:p>
      <w:pPr>
        <w:ind w:left="660" w:firstLine="645"/>
        <w:spacing w:after="0" w:line="329" w:lineRule="auto"/>
        <w:tabs>
          <w:tab w:leader="none" w:pos="216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any Incremental Lender, executed promissory notes evidencing the Incremental Revolving Commitments issued by the Borrower in accordance with Section 2.10 of the Credit Agreement;</w:t>
      </w:r>
    </w:p>
    <w:p>
      <w:pPr>
        <w:spacing w:after="0" w:line="161" w:lineRule="exact"/>
        <w:rPr>
          <w:rFonts w:ascii="Times New Roman" w:cs="Times New Roman" w:eastAsia="Times New Roman" w:hAnsi="Times New Roman"/>
          <w:sz w:val="18"/>
          <w:szCs w:val="18"/>
          <w:color w:val="auto"/>
        </w:rPr>
      </w:pPr>
    </w:p>
    <w:p>
      <w:pPr>
        <w:ind w:left="660" w:firstLine="645"/>
        <w:spacing w:after="0" w:line="329" w:lineRule="auto"/>
        <w:tabs>
          <w:tab w:leader="none" w:pos="216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certificates or documents that the Administrative Agent shall reasonably request, in form and substance reasonably satisfactory to the Administrative Agent; and</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212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all fees and other amounts due and payable on or prior to the Incremental Effective Date, including reimbursement or payment of all out-of-pocket expenses (including reasonable fees, charges and disbursements of counsel to the Administrative Agent) required to be reimbursed or paid by the Borrower hereunder, under any fee letter, or under any other Loan Document.</w:t>
      </w:r>
    </w:p>
    <w:p>
      <w:pPr>
        <w:spacing w:after="0" w:line="176"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Acknowledgments and Affirmations of the Loan Parties</w:t>
      </w:r>
      <w:r>
        <w:rPr>
          <w:rFonts w:ascii="Times New Roman" w:cs="Times New Roman" w:eastAsia="Times New Roman" w:hAnsi="Times New Roman"/>
          <w:sz w:val="18"/>
          <w:szCs w:val="18"/>
          <w:color w:val="auto"/>
        </w:rPr>
        <w:t>. Each Loan Party hereby expressly acknowledges the terms of this Agreement and confirms and reaffirms, as of the date hereof, (i) the covenants and agreements contained in each Loan Document to which it is a party, including, in each case, such covenants and agreements as in effect immediately after giving effect to this Agreement and the transactions contemplated hereby and thereby, (ii) its guarantee of the Guaranteed Obligations (as defined in the Guaranty and Security Agreement) (including, without limitation, any Borrowings under the Incremental Revolving Commitments) and (iii) its grant of Liens on the Collateral to secure the Obligations (including, without limitation, the Obligations with respect to any Borrowings under the Incremental Revolving Commitments) pursuant to the Collateral Documents, all as provided in the Loan Documents as originally executed, and each Loan Party acknowledges and agrees that such guarantee, pledge and/or grant shall continue in full force and effect in respect of, and to secure, such Obligations under the Credit Agreement and the other Loan Documents. Each Loan Party hereby restates and renews each and every representation and warranty heretofore made by it in the Credit Agreement and the other Loan Documents as fully as if made on the date hereof and with specific reference to this Agreement and any other Loan Documents executed or delivered in connection herewith (except with respect to representations and warranties made as of an expressed date, in which case such representations and warranties shall be true and correct as of such date).</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266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left="80" w:firstLine="648"/>
        <w:spacing w:after="0" w:line="30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Loan Document; Effect of Agreement</w:t>
      </w:r>
      <w:r>
        <w:rPr>
          <w:rFonts w:ascii="Times New Roman" w:cs="Times New Roman" w:eastAsia="Times New Roman" w:hAnsi="Times New Roman"/>
          <w:sz w:val="18"/>
          <w:szCs w:val="18"/>
          <w:color w:val="auto"/>
        </w:rPr>
        <w:t>. For avoidance of doubt, the Loan Parties, the Lenders party hereto, and the Administrative Agent each hereby acknowledges and agrees that this Agreement is a Loan Document. Except as set forth expressly hereinabove, all terms of the Credit Agreement and the other Loan Documents shall be and remain in full force and effect, and shall constitute the legal, valid, binding, and enforceable obligations of the Loan Parties.</w:t>
      </w:r>
    </w:p>
    <w:p>
      <w:pPr>
        <w:spacing w:after="0" w:line="180" w:lineRule="exact"/>
        <w:rPr>
          <w:sz w:val="20"/>
          <w:szCs w:val="20"/>
          <w:color w:val="auto"/>
        </w:rPr>
      </w:pPr>
    </w:p>
    <w:p>
      <w:pPr>
        <w:jc w:val="both"/>
        <w:ind w:left="80" w:firstLine="648"/>
        <w:spacing w:after="0" w:line="30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Counterparts; Integration</w:t>
      </w:r>
      <w:r>
        <w:rPr>
          <w:rFonts w:ascii="Times New Roman" w:cs="Times New Roman" w:eastAsia="Times New Roman" w:hAnsi="Times New Roman"/>
          <w:sz w:val="18"/>
          <w:szCs w:val="18"/>
          <w:color w:val="auto"/>
        </w:rPr>
        <w:t>. This Agreement may be executed by one or more of the parties to this Agreement on any number of separate counterparts, and all of said counterparts taken together shall be deemed to constitute one and the same instrument. This Agreement together with the Credit Agreement, the other Loan Documents, any separate engagement letter and any separate fee letter relating to fees payable to the Administrative Agent and the Incremental Lenders constitute the entire agreement among the parties hereto and thereto and their affiliates regarding the subject matters hereof and thereof and supersede all prior agreements and understandings, oral or written, regarding such subject matters. Delivery of an executed counterpart to this Agreement or any other Loan Document by facsimile transmission or by electronic mail in Adobe Corporation’s Portable Document Format (or PDF) shall be as effective as delivery of a manually executed counterpart hereof.</w:t>
      </w:r>
    </w:p>
    <w:p>
      <w:pPr>
        <w:spacing w:after="0" w:line="189" w:lineRule="exact"/>
        <w:rPr>
          <w:sz w:val="20"/>
          <w:szCs w:val="20"/>
          <w:color w:val="auto"/>
        </w:rPr>
      </w:pPr>
    </w:p>
    <w:p>
      <w:pPr>
        <w:jc w:val="both"/>
        <w:ind w:left="80" w:firstLine="648"/>
        <w:spacing w:after="0" w:line="31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any claims, controversy, dispute or cause of action (whether in contract or tort or otherwise) based upon, arising out of or relating to this Agreement and the transactions contemplated hereby shall be construed in accordance with and be governed by the law (without giving effect to the conflict of law principles thereof) of the State of New York.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ectPr>
          <w:pgSz w:w="11900" w:h="16838" w:orient="portrait"/>
          <w:cols w:equalWidth="0" w:num="1">
            <w:col w:w="11420"/>
          </w:cols>
          <w:pgMar w:left="240" w:top="823"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color w:val="auto"/>
        </w:rPr>
        <w:t>IN WITNESS WHEREOF, this Agreement has been duly executed and delivered as of the date first above written.</w:t>
      </w:r>
    </w:p>
    <w:p>
      <w:pPr>
        <w:sectPr>
          <w:pgSz w:w="11900" w:h="16838" w:orient="portrait"/>
          <w:cols w:equalWidth="0" w:num="1">
            <w:col w:w="9559"/>
          </w:cols>
          <w:pgMar w:left="900" w:top="580" w:right="1440" w:bottom="1440" w:gutter="0" w:footer="0" w:header="0"/>
        </w:sectPr>
      </w:pPr>
    </w:p>
    <w:p>
      <w:pPr>
        <w:spacing w:after="0" w:line="23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LENDINGTREE, LLC</w:t>
      </w:r>
      <w:r>
        <w:rPr>
          <w:rFonts w:ascii="Times New Roman" w:cs="Times New Roman" w:eastAsia="Times New Roman" w:hAnsi="Times New Roman"/>
          <w:sz w:val="18"/>
          <w:szCs w:val="18"/>
          <w:color w:val="auto"/>
        </w:rPr>
        <w:t>, as the Borrower</w:t>
      </w:r>
    </w:p>
    <w:p>
      <w:pPr>
        <w:spacing w:after="0" w:line="200" w:lineRule="exact"/>
        <w:rPr>
          <w:sz w:val="20"/>
          <w:szCs w:val="20"/>
          <w:color w:val="auto"/>
        </w:rPr>
      </w:pPr>
    </w:p>
    <w:p>
      <w:pPr>
        <w:spacing w:after="0" w:line="24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By: /s/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-7620</wp:posOffset>
            </wp:positionV>
            <wp:extent cx="10985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0">
                      <a:extLst>
                        <a:ext uri="{28A0092B-C50C-407E-A947-70E740481C1C}"/>
                      </a:extLst>
                    </a:blip>
                    <a:srcRect/>
                    <a:stretch>
                      <a:fillRect/>
                    </a:stretch>
                  </pic:blipFill>
                  <pic:spPr bwMode="auto">
                    <a:xfrm>
                      <a:off x="0" y="0"/>
                      <a:ext cx="1098550" cy="8890"/>
                    </a:xfrm>
                    <a:prstGeom prst="rect">
                      <a:avLst/>
                    </a:prstGeom>
                    <a:noFill/>
                  </pic:spPr>
                </pic:pic>
              </a:graphicData>
            </a:graphic>
          </wp:anchor>
        </w:drawing>
      </w:r>
    </w:p>
    <w:p>
      <w:pPr>
        <w:spacing w:after="0" w:line="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J.D. Moriarty</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LENDINGTREE, INC.</w:t>
      </w:r>
      <w:r>
        <w:rPr>
          <w:rFonts w:ascii="Times New Roman" w:cs="Times New Roman" w:eastAsia="Times New Roman" w:hAnsi="Times New Roman"/>
          <w:sz w:val="18"/>
          <w:szCs w:val="18"/>
          <w:color w:val="auto"/>
        </w:rPr>
        <w:t>, as the Parent and a Guarantor</w:t>
      </w:r>
    </w:p>
    <w:p>
      <w:pPr>
        <w:spacing w:after="0" w:line="200" w:lineRule="exact"/>
        <w:rPr>
          <w:sz w:val="20"/>
          <w:szCs w:val="20"/>
          <w:color w:val="auto"/>
        </w:rPr>
      </w:pPr>
    </w:p>
    <w:p>
      <w:pPr>
        <w:spacing w:after="0" w:line="24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By: /s/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-7620</wp:posOffset>
            </wp:positionV>
            <wp:extent cx="10985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1">
                      <a:extLst>
                        <a:ext uri="{28A0092B-C50C-407E-A947-70E740481C1C}"/>
                      </a:extLst>
                    </a:blip>
                    <a:srcRect/>
                    <a:stretch>
                      <a:fillRect/>
                    </a:stretch>
                  </pic:blipFill>
                  <pic:spPr bwMode="auto">
                    <a:xfrm>
                      <a:off x="0" y="0"/>
                      <a:ext cx="1098550" cy="8890"/>
                    </a:xfrm>
                    <a:prstGeom prst="rect">
                      <a:avLst/>
                    </a:prstGeom>
                    <a:noFill/>
                  </pic:spPr>
                </pic:pic>
              </a:graphicData>
            </a:graphic>
          </wp:anchor>
        </w:drawing>
      </w:r>
    </w:p>
    <w:p>
      <w:pPr>
        <w:spacing w:after="0" w:line="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J.D. Moriarty</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IRON HORSE HOLDINGS, LLC</w:t>
      </w:r>
      <w:r>
        <w:rPr>
          <w:rFonts w:ascii="Times New Roman" w:cs="Times New Roman" w:eastAsia="Times New Roman" w:hAnsi="Times New Roman"/>
          <w:sz w:val="18"/>
          <w:szCs w:val="18"/>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By: /s/ Carla Shumate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-7620</wp:posOffset>
            </wp:positionV>
            <wp:extent cx="1155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2">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Carla Shumate</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0" w:lineRule="exact"/>
        <w:rPr>
          <w:sz w:val="20"/>
          <w:szCs w:val="20"/>
          <w:color w:val="auto"/>
        </w:rPr>
      </w:pPr>
    </w:p>
    <w:p>
      <w:pPr>
        <w:spacing w:after="0" w:line="21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OVATION CREDIT SERVICES, INC.</w:t>
      </w:r>
      <w:r>
        <w:rPr>
          <w:rFonts w:ascii="Times New Roman" w:cs="Times New Roman" w:eastAsia="Times New Roman" w:hAnsi="Times New Roman"/>
          <w:sz w:val="17"/>
          <w:szCs w:val="17"/>
          <w:color w:val="auto"/>
        </w:rPr>
        <w:t>, as a Guarantor</w:t>
      </w:r>
    </w:p>
    <w:p>
      <w:pPr>
        <w:spacing w:after="0" w:line="200" w:lineRule="exact"/>
        <w:rPr>
          <w:sz w:val="20"/>
          <w:szCs w:val="20"/>
          <w:color w:val="auto"/>
        </w:rPr>
      </w:pPr>
    </w:p>
    <w:p>
      <w:pPr>
        <w:spacing w:after="0" w:line="25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By: /s/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-7620</wp:posOffset>
            </wp:positionV>
            <wp:extent cx="10985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3">
                      <a:extLst>
                        <a:ext uri="{28A0092B-C50C-407E-A947-70E740481C1C}"/>
                      </a:extLst>
                    </a:blip>
                    <a:srcRect/>
                    <a:stretch>
                      <a:fillRect/>
                    </a:stretch>
                  </pic:blipFill>
                  <pic:spPr bwMode="auto">
                    <a:xfrm>
                      <a:off x="0" y="0"/>
                      <a:ext cx="1098550" cy="8890"/>
                    </a:xfrm>
                    <a:prstGeom prst="rect">
                      <a:avLst/>
                    </a:prstGeom>
                    <a:noFill/>
                  </pic:spPr>
                </pic:pic>
              </a:graphicData>
            </a:graphic>
          </wp:anchor>
        </w:drawing>
      </w:r>
    </w:p>
    <w:p>
      <w:pPr>
        <w:spacing w:after="0" w:line="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J.D. Moriarty</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Title: Treasurer</w:t>
      </w:r>
    </w:p>
    <w:p>
      <w:pPr>
        <w:sectPr>
          <w:pgSz w:w="11900" w:h="16838" w:orient="portrait"/>
          <w:cols w:equalWidth="0" w:num="1">
            <w:col w:w="9559"/>
          </w:cols>
          <w:pgMar w:left="900" w:top="580" w:right="1440" w:bottom="1440" w:gutter="0" w:footer="0" w:header="0"/>
          <w:type w:val="continuous"/>
        </w:sectPr>
      </w:pPr>
    </w:p>
    <w:bookmarkStart w:id="114" w:name="page115"/>
    <w:bookmarkEnd w:id="114"/>
    <w:p>
      <w:pPr>
        <w:ind w:left="3020"/>
        <w:spacing w:after="0"/>
        <w:rPr>
          <w:sz w:val="20"/>
          <w:szCs w:val="20"/>
          <w:color w:val="auto"/>
        </w:rPr>
      </w:pPr>
      <w:r>
        <w:rPr>
          <w:rFonts w:ascii="Times New Roman" w:cs="Times New Roman" w:eastAsia="Times New Roman" w:hAnsi="Times New Roman"/>
          <w:sz w:val="18"/>
          <w:szCs w:val="18"/>
          <w:b w:val="1"/>
          <w:bCs w:val="1"/>
          <w:color w:val="auto"/>
        </w:rPr>
        <w:t>SUNTRUST BANK</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as Administrative Agent and an Incremental Lender</w:t>
      </w:r>
    </w:p>
    <w:p>
      <w:pPr>
        <w:spacing w:after="0" w:line="200" w:lineRule="exact"/>
        <w:rPr>
          <w:sz w:val="20"/>
          <w:szCs w:val="20"/>
          <w:color w:val="auto"/>
        </w:rPr>
      </w:pPr>
    </w:p>
    <w:p>
      <w:pPr>
        <w:spacing w:after="0" w:line="223" w:lineRule="exact"/>
        <w:rPr>
          <w:sz w:val="20"/>
          <w:szCs w:val="20"/>
          <w:color w:val="auto"/>
        </w:rPr>
      </w:pPr>
    </w:p>
    <w:p>
      <w:pPr>
        <w:ind w:left="3020"/>
        <w:spacing w:after="0"/>
        <w:tabs>
          <w:tab w:leader="none" w:pos="3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Cynthia W.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-7620</wp:posOffset>
            </wp:positionV>
            <wp:extent cx="12274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4">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Cynthia W. Burton</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576" w:right="1440" w:bottom="1440" w:gutter="0" w:footer="0" w:header="0"/>
        </w:sectPr>
      </w:pPr>
    </w:p>
    <w:bookmarkStart w:id="115" w:name="page116"/>
    <w:bookmarkEnd w:id="115"/>
    <w:p>
      <w:pPr>
        <w:ind w:left="30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as an Incremental Lender</w:t>
      </w:r>
    </w:p>
    <w:p>
      <w:pPr>
        <w:spacing w:after="0" w:line="200" w:lineRule="exact"/>
        <w:rPr>
          <w:sz w:val="20"/>
          <w:szCs w:val="20"/>
          <w:color w:val="auto"/>
        </w:rPr>
      </w:pPr>
    </w:p>
    <w:p>
      <w:pPr>
        <w:spacing w:after="0" w:line="223" w:lineRule="exact"/>
        <w:rPr>
          <w:sz w:val="20"/>
          <w:szCs w:val="20"/>
          <w:color w:val="auto"/>
        </w:rPr>
      </w:pPr>
    </w:p>
    <w:p>
      <w:pPr>
        <w:ind w:left="3020"/>
        <w:spacing w:after="0"/>
        <w:tabs>
          <w:tab w:leader="none" w:pos="3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R.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-7620</wp:posOffset>
            </wp:positionV>
            <wp:extent cx="1346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Charles R. Dickerson</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9019"/>
          </w:cols>
          <w:pgMar w:left="1440" w:top="576" w:right="1440" w:bottom="1440" w:gutter="0" w:footer="0" w:header="0"/>
        </w:sectPr>
      </w:pPr>
    </w:p>
    <w:bookmarkStart w:id="116" w:name="page117"/>
    <w:bookmarkEnd w:id="116"/>
    <w:p>
      <w:pPr>
        <w:ind w:left="3020"/>
        <w:spacing w:after="0"/>
        <w:rPr>
          <w:sz w:val="20"/>
          <w:szCs w:val="20"/>
          <w:color w:val="auto"/>
        </w:rPr>
      </w:pPr>
      <w:r>
        <w:rPr>
          <w:rFonts w:ascii="Times New Roman" w:cs="Times New Roman" w:eastAsia="Times New Roman" w:hAnsi="Times New Roman"/>
          <w:sz w:val="17"/>
          <w:szCs w:val="17"/>
          <w:b w:val="1"/>
          <w:bCs w:val="1"/>
          <w:color w:val="auto"/>
        </w:rPr>
        <w:t>ROYAL BANK OF CANADA</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as an Incremental Lender</w:t>
      </w:r>
    </w:p>
    <w:p>
      <w:pPr>
        <w:spacing w:after="0" w:line="200" w:lineRule="exact"/>
        <w:rPr>
          <w:sz w:val="20"/>
          <w:szCs w:val="20"/>
          <w:color w:val="auto"/>
        </w:rPr>
      </w:pPr>
    </w:p>
    <w:p>
      <w:pPr>
        <w:spacing w:after="0" w:line="223" w:lineRule="exact"/>
        <w:rPr>
          <w:sz w:val="20"/>
          <w:szCs w:val="20"/>
          <w:color w:val="auto"/>
        </w:rPr>
      </w:pPr>
    </w:p>
    <w:p>
      <w:pPr>
        <w:ind w:left="3020"/>
        <w:spacing w:after="0"/>
        <w:tabs>
          <w:tab w:leader="none" w:pos="3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Christian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-7620</wp:posOffset>
            </wp:positionV>
            <wp:extent cx="1244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6">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spacing w:after="0" w:line="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Christian Gutierrez</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9019"/>
          </w:cols>
          <w:pgMar w:left="1440" w:top="576" w:right="1440" w:bottom="1440" w:gutter="0" w:footer="0" w:header="0"/>
        </w:sectPr>
      </w:pPr>
    </w:p>
    <w:bookmarkStart w:id="117" w:name="page118"/>
    <w:bookmarkEnd w:id="117"/>
    <w:p>
      <w:pPr>
        <w:ind w:left="3020"/>
        <w:spacing w:after="0"/>
        <w:rPr>
          <w:sz w:val="20"/>
          <w:szCs w:val="20"/>
          <w:color w:val="auto"/>
        </w:rPr>
      </w:pPr>
      <w:r>
        <w:rPr>
          <w:rFonts w:ascii="Times New Roman" w:cs="Times New Roman" w:eastAsia="Times New Roman" w:hAnsi="Times New Roman"/>
          <w:sz w:val="18"/>
          <w:szCs w:val="18"/>
          <w:b w:val="1"/>
          <w:bCs w:val="1"/>
          <w:color w:val="auto"/>
        </w:rPr>
        <w:t>FIFTH THIRD BANK</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as an Incremental Lender</w:t>
      </w:r>
    </w:p>
    <w:p>
      <w:pPr>
        <w:spacing w:after="0" w:line="200" w:lineRule="exact"/>
        <w:rPr>
          <w:sz w:val="20"/>
          <w:szCs w:val="20"/>
          <w:color w:val="auto"/>
        </w:rPr>
      </w:pPr>
    </w:p>
    <w:p>
      <w:pPr>
        <w:spacing w:after="0" w:line="234" w:lineRule="exact"/>
        <w:rPr>
          <w:sz w:val="20"/>
          <w:szCs w:val="20"/>
          <w:color w:val="auto"/>
        </w:rPr>
      </w:pPr>
    </w:p>
    <w:p>
      <w:pPr>
        <w:ind w:left="3020"/>
        <w:spacing w:after="0"/>
        <w:tabs>
          <w:tab w:leader="none" w:pos="3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Jodie R. Ayres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-7620</wp:posOffset>
            </wp:positionV>
            <wp:extent cx="11449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7">
                      <a:extLst>
                        <a:ext uri="{28A0092B-C50C-407E-A947-70E740481C1C}"/>
                      </a:extLst>
                    </a:blip>
                    <a:srcRect/>
                    <a:stretch>
                      <a:fillRect/>
                    </a:stretch>
                  </pic:blipFill>
                  <pic:spPr bwMode="auto">
                    <a:xfrm>
                      <a:off x="0" y="0"/>
                      <a:ext cx="1144905" cy="8890"/>
                    </a:xfrm>
                    <a:prstGeom prst="rect">
                      <a:avLst/>
                    </a:prstGeom>
                    <a:noFill/>
                  </pic:spPr>
                </pic:pic>
              </a:graphicData>
            </a:graphic>
          </wp:anchor>
        </w:drawing>
      </w:r>
    </w:p>
    <w:p>
      <w:pPr>
        <w:spacing w:after="0" w:line="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Jodie R. Ayres</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576" w:right="1440" w:bottom="1440" w:gutter="0" w:footer="0" w:header="0"/>
        </w:sectPr>
      </w:pPr>
    </w:p>
    <w:bookmarkStart w:id="118" w:name="page119"/>
    <w:bookmarkEnd w:id="118"/>
    <w:p>
      <w:pPr>
        <w:ind w:left="3020"/>
        <w:spacing w:after="0"/>
        <w:rPr>
          <w:sz w:val="20"/>
          <w:szCs w:val="20"/>
          <w:color w:val="auto"/>
        </w:rPr>
      </w:pPr>
      <w:r>
        <w:rPr>
          <w:rFonts w:ascii="Times New Roman" w:cs="Times New Roman" w:eastAsia="Times New Roman" w:hAnsi="Times New Roman"/>
          <w:sz w:val="18"/>
          <w:szCs w:val="18"/>
          <w:b w:val="1"/>
          <w:bCs w:val="1"/>
          <w:u w:val="single" w:color="auto"/>
          <w:color w:val="auto"/>
        </w:rPr>
        <w:t>Regions Bank</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as an Incremental Lender</w:t>
      </w:r>
    </w:p>
    <w:p>
      <w:pPr>
        <w:spacing w:after="0" w:line="200" w:lineRule="exact"/>
        <w:rPr>
          <w:sz w:val="20"/>
          <w:szCs w:val="20"/>
          <w:color w:val="auto"/>
        </w:rPr>
      </w:pPr>
    </w:p>
    <w:p>
      <w:pPr>
        <w:spacing w:after="0" w:line="234" w:lineRule="exact"/>
        <w:rPr>
          <w:sz w:val="20"/>
          <w:szCs w:val="20"/>
          <w:color w:val="auto"/>
        </w:rPr>
      </w:pPr>
    </w:p>
    <w:p>
      <w:pPr>
        <w:ind w:left="3020"/>
        <w:spacing w:after="0"/>
        <w:tabs>
          <w:tab w:leader="none" w:pos="3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-7620</wp:posOffset>
            </wp:positionV>
            <wp:extent cx="1143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Jason Douglas</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576" w:right="1440" w:bottom="1440" w:gutter="0" w:footer="0" w:header="0"/>
        </w:sectPr>
      </w:pPr>
    </w:p>
    <w:bookmarkStart w:id="119" w:name="page120"/>
    <w:bookmarkEnd w:id="119"/>
    <w:p>
      <w:pPr>
        <w:ind w:left="3020"/>
        <w:spacing w:after="0"/>
        <w:rPr>
          <w:sz w:val="20"/>
          <w:szCs w:val="20"/>
          <w:color w:val="auto"/>
        </w:rPr>
      </w:pPr>
      <w:r>
        <w:rPr>
          <w:rFonts w:ascii="Times New Roman" w:cs="Times New Roman" w:eastAsia="Times New Roman" w:hAnsi="Times New Roman"/>
          <w:sz w:val="17"/>
          <w:szCs w:val="17"/>
          <w:b w:val="1"/>
          <w:bCs w:val="1"/>
          <w:color w:val="auto"/>
        </w:rPr>
        <w:t>GOLDMAN SACHS BANK USA</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as an Incremental Lender</w:t>
      </w:r>
    </w:p>
    <w:p>
      <w:pPr>
        <w:spacing w:after="0" w:line="200" w:lineRule="exact"/>
        <w:rPr>
          <w:sz w:val="20"/>
          <w:szCs w:val="20"/>
          <w:color w:val="auto"/>
        </w:rPr>
      </w:pPr>
    </w:p>
    <w:p>
      <w:pPr>
        <w:spacing w:after="0" w:line="223" w:lineRule="exact"/>
        <w:rPr>
          <w:sz w:val="20"/>
          <w:szCs w:val="20"/>
          <w:color w:val="auto"/>
        </w:rPr>
      </w:pPr>
    </w:p>
    <w:p>
      <w:pPr>
        <w:ind w:left="3020"/>
        <w:spacing w:after="0"/>
        <w:tabs>
          <w:tab w:leader="none" w:pos="3440" w:val="left"/>
        </w:tabs>
        <w:rPr>
          <w:sz w:val="20"/>
          <w:szCs w:val="20"/>
          <w:color w:val="auto"/>
        </w:rPr>
      </w:pPr>
      <w:r>
        <w:rPr>
          <w:rFonts w:ascii="Times New Roman" w:cs="Times New Roman" w:eastAsia="Times New Roman" w:hAnsi="Times New Roman"/>
          <w:sz w:val="18"/>
          <w:szCs w:val="18"/>
          <w:color w:val="auto"/>
        </w:rPr>
        <w:t>By:</w:t>
        <w:tab/>
        <w:t>/s/ 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-7620</wp:posOffset>
            </wp:positionV>
            <wp:extent cx="11487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9">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Rebecca Kratz</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9019"/>
          </w:cols>
          <w:pgMar w:left="1440" w:top="576" w:right="1440" w:bottom="1440" w:gutter="0" w:footer="0" w:header="0"/>
        </w:sectPr>
      </w:pPr>
    </w:p>
    <w:bookmarkStart w:id="120" w:name="page121"/>
    <w:bookmarkEnd w:id="120"/>
    <w:p>
      <w:pPr>
        <w:ind w:left="302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as an Incremental Lender</w:t>
      </w:r>
    </w:p>
    <w:p>
      <w:pPr>
        <w:spacing w:after="0" w:line="200" w:lineRule="exact"/>
        <w:rPr>
          <w:sz w:val="20"/>
          <w:szCs w:val="20"/>
          <w:color w:val="auto"/>
        </w:rPr>
      </w:pPr>
    </w:p>
    <w:p>
      <w:pPr>
        <w:spacing w:after="0" w:line="223" w:lineRule="exact"/>
        <w:rPr>
          <w:sz w:val="20"/>
          <w:szCs w:val="20"/>
          <w:color w:val="auto"/>
        </w:rPr>
      </w:pPr>
    </w:p>
    <w:p>
      <w:pPr>
        <w:ind w:left="3020"/>
        <w:spacing w:after="0"/>
        <w:tabs>
          <w:tab w:leader="none" w:pos="3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Krutesh Trivedi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-7620</wp:posOffset>
            </wp:positionV>
            <wp:extent cx="108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0">
                      <a:extLst>
                        <a:ext uri="{28A0092B-C50C-407E-A947-70E740481C1C}"/>
                      </a:extLst>
                    </a:blip>
                    <a:srcRect/>
                    <a:stretch>
                      <a:fillRect/>
                    </a:stretch>
                  </pic:blipFill>
                  <pic:spPr bwMode="auto">
                    <a:xfrm>
                      <a:off x="0" y="0"/>
                      <a:ext cx="1087755" cy="8890"/>
                    </a:xfrm>
                    <a:prstGeom prst="rect">
                      <a:avLst/>
                    </a:prstGeom>
                    <a:noFill/>
                  </pic:spPr>
                </pic:pic>
              </a:graphicData>
            </a:graphic>
          </wp:anchor>
        </w:drawing>
      </w:r>
    </w:p>
    <w:p>
      <w:pPr>
        <w:spacing w:after="0" w:line="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Krutesh Trivedi</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576" w:right="1440" w:bottom="1440" w:gutter="0" w:footer="0" w:header="0"/>
        </w:sectPr>
      </w:pPr>
    </w:p>
    <w:bookmarkStart w:id="121" w:name="page122"/>
    <w:bookmarkEnd w:id="121"/>
    <w:tbl>
      <w:tblPr>
        <w:tblLayout w:type="fixed"/>
        <w:tblInd w:w="1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40" w:type="dxa"/>
            <w:vAlign w:val="bottom"/>
            <w:gridSpan w:val="3"/>
          </w:tcPr>
          <w:p>
            <w:pPr>
              <w:jc w:val="center"/>
              <w:ind w:right="5330"/>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20"/>
        </w:trPr>
        <w:tc>
          <w:tcPr>
            <w:tcW w:w="3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453"/>
        </w:trPr>
        <w:tc>
          <w:tcPr>
            <w:tcW w:w="3340" w:type="dxa"/>
            <w:vAlign w:val="bottom"/>
          </w:tcPr>
          <w:p>
            <w:pPr>
              <w:spacing w:after="0"/>
              <w:rPr>
                <w:sz w:val="24"/>
                <w:szCs w:val="24"/>
                <w:color w:val="auto"/>
              </w:rPr>
            </w:pPr>
          </w:p>
        </w:tc>
        <w:tc>
          <w:tcPr>
            <w:tcW w:w="8100" w:type="dxa"/>
            <w:vAlign w:val="bottom"/>
            <w:gridSpan w:val="4"/>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9"/>
              </w:rPr>
              <w:t>Incremental Revolving Commitments</w:t>
            </w:r>
          </w:p>
        </w:tc>
      </w:tr>
      <w:tr>
        <w:trPr>
          <w:trHeight w:val="351"/>
        </w:trPr>
        <w:tc>
          <w:tcPr>
            <w:tcW w:w="3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r>
        <w:trPr>
          <w:trHeight w:val="214"/>
        </w:trPr>
        <w:tc>
          <w:tcPr>
            <w:tcW w:w="3340" w:type="dxa"/>
            <w:vAlign w:val="bottom"/>
            <w:tcBorders>
              <w:left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42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Incremental Revolving</w:t>
            </w:r>
          </w:p>
        </w:tc>
      </w:tr>
      <w:tr>
        <w:trPr>
          <w:trHeight w:val="238"/>
        </w:trPr>
        <w:tc>
          <w:tcPr>
            <w:tcW w:w="3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Incremental Lender</w:t>
            </w: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542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7"/>
        </w:trPr>
        <w:tc>
          <w:tcPr>
            <w:tcW w:w="334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37"/>
        </w:trPr>
        <w:tc>
          <w:tcPr>
            <w:tcW w:w="3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SunTrust Bank</w:t>
            </w: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34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37"/>
        </w:trPr>
        <w:tc>
          <w:tcPr>
            <w:tcW w:w="3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Bank of America, N.A.</w:t>
            </w: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34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37"/>
        </w:trPr>
        <w:tc>
          <w:tcPr>
            <w:tcW w:w="3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Royal Bank of Canada</w:t>
            </w: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34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37"/>
        </w:trPr>
        <w:tc>
          <w:tcPr>
            <w:tcW w:w="3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Fifth Third Bank</w:t>
            </w: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34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37"/>
        </w:trPr>
        <w:tc>
          <w:tcPr>
            <w:tcW w:w="3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Regions Bank</w:t>
            </w: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34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37"/>
        </w:trPr>
        <w:tc>
          <w:tcPr>
            <w:tcW w:w="3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Goldman Sachs Bank USA</w:t>
            </w: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34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37"/>
        </w:trPr>
        <w:tc>
          <w:tcPr>
            <w:tcW w:w="3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34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37"/>
        </w:trPr>
        <w:tc>
          <w:tcPr>
            <w:tcW w:w="3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tc>
      </w:tr>
      <w:tr>
        <w:trPr>
          <w:trHeight w:val="27"/>
        </w:trPr>
        <w:tc>
          <w:tcPr>
            <w:tcW w:w="334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67" w:right="219" w:bottom="1440" w:gutter="0" w:footer="0" w:header="0"/>
        </w:sectPr>
      </w:pPr>
    </w:p>
    <w:bookmarkStart w:id="122" w:name="page123"/>
    <w:bookmarkEnd w:id="1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60" w:type="dxa"/>
            <w:vAlign w:val="bottom"/>
            <w:gridSpan w:val="4"/>
          </w:tcPr>
          <w:p>
            <w:pPr>
              <w:jc w:val="center"/>
              <w:ind w:right="5290"/>
              <w:spacing w:after="0"/>
              <w:rPr>
                <w:sz w:val="20"/>
                <w:szCs w:val="20"/>
                <w:color w:val="auto"/>
              </w:rPr>
            </w:pPr>
            <w:r>
              <w:rPr>
                <w:rFonts w:ascii="Times New Roman" w:cs="Times New Roman" w:eastAsia="Times New Roman" w:hAnsi="Times New Roman"/>
                <w:sz w:val="18"/>
                <w:szCs w:val="18"/>
                <w:b w:val="1"/>
                <w:bCs w:val="1"/>
                <w:color w:val="auto"/>
                <w:w w:val="99"/>
              </w:rPr>
              <w:t>Annex II</w:t>
            </w:r>
          </w:p>
        </w:tc>
      </w:tr>
      <w:tr>
        <w:trPr>
          <w:trHeight w:val="669"/>
        </w:trPr>
        <w:tc>
          <w:tcPr>
            <w:tcW w:w="4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8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r>
      <w:tr>
        <w:trPr>
          <w:trHeight w:val="392"/>
        </w:trPr>
        <w:tc>
          <w:tcPr>
            <w:tcW w:w="4840" w:type="dxa"/>
            <w:vAlign w:val="bottom"/>
          </w:tcPr>
          <w:p>
            <w:pPr>
              <w:spacing w:after="0"/>
              <w:rPr>
                <w:sz w:val="24"/>
                <w:szCs w:val="24"/>
                <w:color w:val="auto"/>
              </w:rPr>
            </w:pPr>
          </w:p>
        </w:tc>
        <w:tc>
          <w:tcPr>
            <w:tcW w:w="6600" w:type="dxa"/>
            <w:vAlign w:val="bottom"/>
            <w:gridSpan w:val="5"/>
          </w:tcPr>
          <w:p>
            <w:pPr>
              <w:jc w:val="center"/>
              <w:ind w:right="4750"/>
              <w:spacing w:after="0"/>
              <w:rPr>
                <w:sz w:val="20"/>
                <w:szCs w:val="20"/>
                <w:color w:val="auto"/>
              </w:rPr>
            </w:pPr>
            <w:r>
              <w:rPr>
                <w:rFonts w:ascii="Times New Roman" w:cs="Times New Roman" w:eastAsia="Times New Roman" w:hAnsi="Times New Roman"/>
                <w:sz w:val="18"/>
                <w:szCs w:val="18"/>
                <w:b w:val="1"/>
                <w:bCs w:val="1"/>
                <w:color w:val="auto"/>
                <w:w w:val="99"/>
              </w:rPr>
              <w:t>Commitment Amounts</w:t>
            </w:r>
          </w:p>
        </w:tc>
      </w:tr>
      <w:tr>
        <w:trPr>
          <w:trHeight w:val="372"/>
        </w:trPr>
        <w:tc>
          <w:tcPr>
            <w:tcW w:w="484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14"/>
        </w:trPr>
        <w:tc>
          <w:tcPr>
            <w:tcW w:w="48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40" w:type="dxa"/>
            <w:vAlign w:val="bottom"/>
            <w:tcBorders>
              <w:right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Revolving</w:t>
            </w:r>
          </w:p>
        </w:tc>
      </w:tr>
      <w:tr>
        <w:trPr>
          <w:trHeight w:val="238"/>
        </w:trPr>
        <w:tc>
          <w:tcPr>
            <w:tcW w:w="4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40" w:type="dxa"/>
            <w:vAlign w:val="bottom"/>
            <w:tcBorders>
              <w:right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Commitment Amount</w:t>
            </w:r>
          </w:p>
        </w:tc>
      </w:tr>
      <w:tr>
        <w:trPr>
          <w:trHeight w:val="27"/>
        </w:trPr>
        <w:tc>
          <w:tcPr>
            <w:tcW w:w="48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SunTrust Bank</w:t>
            </w: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8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Bank of America, N.A.</w:t>
            </w: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8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Royal Bank of Canada</w:t>
            </w: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8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Fifth Third Bank</w:t>
            </w: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8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Regions Bank</w:t>
            </w: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8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JPMorgan Chase Bank, N.A.</w:t>
            </w: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8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Goldman Sachs Bank USA</w:t>
            </w: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8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8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$350,000,000</w:t>
            </w:r>
          </w:p>
        </w:tc>
      </w:tr>
      <w:tr>
        <w:trPr>
          <w:trHeight w:val="27"/>
        </w:trPr>
        <w:tc>
          <w:tcPr>
            <w:tcW w:w="48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67" w:right="21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8040" w:type="dxa"/>
            <w:vAlign w:val="bottom"/>
          </w:tcPr>
          <w:p>
            <w:pPr>
              <w:ind w:left="710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675"/>
        </w:trPr>
        <w:tc>
          <w:tcPr>
            <w:tcW w:w="3380" w:type="dxa"/>
            <w:vAlign w:val="bottom"/>
          </w:tcPr>
          <w:p>
            <w:pPr>
              <w:spacing w:after="0"/>
              <w:rPr>
                <w:sz w:val="24"/>
                <w:szCs w:val="24"/>
                <w:color w:val="auto"/>
              </w:rPr>
            </w:pPr>
          </w:p>
        </w:tc>
        <w:tc>
          <w:tcPr>
            <w:tcW w:w="80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SUBSIDIARIES OF LENDINGTREE, INC.</w:t>
            </w:r>
          </w:p>
        </w:tc>
        <w:tc>
          <w:tcPr>
            <w:tcW w:w="0" w:type="dxa"/>
            <w:vAlign w:val="bottom"/>
          </w:tcPr>
          <w:p>
            <w:pPr>
              <w:spacing w:after="0"/>
              <w:rPr>
                <w:sz w:val="1"/>
                <w:szCs w:val="1"/>
                <w:color w:val="auto"/>
              </w:rPr>
            </w:pPr>
          </w:p>
        </w:tc>
      </w:tr>
      <w:tr>
        <w:trPr>
          <w:trHeight w:val="583"/>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40" w:type="dxa"/>
            <w:vAlign w:val="bottom"/>
          </w:tcPr>
          <w:p>
            <w:pPr>
              <w:jc w:val="center"/>
              <w:ind w:left="6472"/>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95"/>
        </w:trPr>
        <w:tc>
          <w:tcPr>
            <w:tcW w:w="3380" w:type="dxa"/>
            <w:vAlign w:val="bottom"/>
            <w:tcBorders>
              <w:bottom w:val="single" w:sz="8" w:color="auto"/>
            </w:tcBorders>
            <w:vMerge w:val="continue"/>
          </w:tcPr>
          <w:p>
            <w:pPr>
              <w:spacing w:after="0"/>
              <w:rPr>
                <w:sz w:val="16"/>
                <w:szCs w:val="16"/>
                <w:color w:val="auto"/>
              </w:rPr>
            </w:pPr>
          </w:p>
        </w:tc>
        <w:tc>
          <w:tcPr>
            <w:tcW w:w="8040" w:type="dxa"/>
            <w:vAlign w:val="bottom"/>
            <w:tcBorders>
              <w:bottom w:val="single" w:sz="8" w:color="auto"/>
            </w:tcBorders>
          </w:tcPr>
          <w:p>
            <w:pPr>
              <w:jc w:val="center"/>
              <w:ind w:left="6492"/>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0" w:type="dxa"/>
            <w:vAlign w:val="bottom"/>
          </w:tcPr>
          <w:p>
            <w:pPr>
              <w:spacing w:after="0"/>
              <w:rPr>
                <w:sz w:val="1"/>
                <w:szCs w:val="1"/>
                <w:color w:val="auto"/>
              </w:rPr>
            </w:pPr>
          </w:p>
        </w:tc>
      </w:tr>
      <w:tr>
        <w:trPr>
          <w:trHeight w:val="249"/>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LendingTree, LLC</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Times New Roman" w:cs="Times New Roman" w:eastAsia="Times New Roman" w:hAnsi="Times New Roman"/>
                <w:sz w:val="18"/>
                <w:szCs w:val="18"/>
                <w:color w:val="auto"/>
                <w:w w:val="99"/>
              </w:rPr>
              <w:t>DE</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Tree.com BU Holding Company, Inc.</w:t>
            </w:r>
          </w:p>
        </w:tc>
        <w:tc>
          <w:tcPr>
            <w:tcW w:w="8040" w:type="dxa"/>
            <w:vAlign w:val="bottom"/>
          </w:tcPr>
          <w:p>
            <w:pPr>
              <w:jc w:val="center"/>
              <w:ind w:left="6472"/>
              <w:spacing w:after="0"/>
              <w:rPr>
                <w:sz w:val="20"/>
                <w:szCs w:val="20"/>
                <w:color w:val="auto"/>
              </w:rPr>
            </w:pPr>
            <w:r>
              <w:rPr>
                <w:rFonts w:ascii="Times New Roman" w:cs="Times New Roman" w:eastAsia="Times New Roman" w:hAnsi="Times New Roman"/>
                <w:sz w:val="18"/>
                <w:szCs w:val="18"/>
                <w:color w:val="auto"/>
                <w:w w:val="99"/>
              </w:rPr>
              <w:t>DE</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DegreeTree, Inc.</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Times New Roman" w:cs="Times New Roman" w:eastAsia="Times New Roman" w:hAnsi="Times New Roman"/>
                <w:sz w:val="18"/>
                <w:szCs w:val="18"/>
                <w:color w:val="auto"/>
                <w:w w:val="99"/>
              </w:rPr>
              <w:t>DE</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Rexford Office Holdings, LLC</w:t>
            </w:r>
          </w:p>
        </w:tc>
        <w:tc>
          <w:tcPr>
            <w:tcW w:w="8040" w:type="dxa"/>
            <w:vAlign w:val="bottom"/>
          </w:tcPr>
          <w:p>
            <w:pPr>
              <w:jc w:val="center"/>
              <w:ind w:left="6472"/>
              <w:spacing w:after="0"/>
              <w:rPr>
                <w:sz w:val="20"/>
                <w:szCs w:val="20"/>
                <w:color w:val="auto"/>
              </w:rPr>
            </w:pPr>
            <w:r>
              <w:rPr>
                <w:rFonts w:ascii="Times New Roman" w:cs="Times New Roman" w:eastAsia="Times New Roman" w:hAnsi="Times New Roman"/>
                <w:sz w:val="18"/>
                <w:szCs w:val="18"/>
                <w:color w:val="auto"/>
                <w:w w:val="99"/>
              </w:rPr>
              <w:t>DE</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Home Loan Center, Inc.</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Times New Roman" w:cs="Times New Roman" w:eastAsia="Times New Roman" w:hAnsi="Times New Roman"/>
                <w:sz w:val="18"/>
                <w:szCs w:val="18"/>
                <w:color w:val="auto"/>
                <w:w w:val="95"/>
              </w:rPr>
              <w:t>CA</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HLC Escrow, Inc.</w:t>
            </w:r>
          </w:p>
        </w:tc>
        <w:tc>
          <w:tcPr>
            <w:tcW w:w="8040" w:type="dxa"/>
            <w:vAlign w:val="bottom"/>
          </w:tcPr>
          <w:p>
            <w:pPr>
              <w:jc w:val="center"/>
              <w:ind w:left="6472"/>
              <w:spacing w:after="0"/>
              <w:rPr>
                <w:sz w:val="20"/>
                <w:szCs w:val="20"/>
                <w:color w:val="auto"/>
              </w:rPr>
            </w:pPr>
            <w:r>
              <w:rPr>
                <w:rFonts w:ascii="Times New Roman" w:cs="Times New Roman" w:eastAsia="Times New Roman" w:hAnsi="Times New Roman"/>
                <w:sz w:val="18"/>
                <w:szCs w:val="18"/>
                <w:color w:val="auto"/>
                <w:w w:val="95"/>
              </w:rPr>
              <w:t>CA</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LT Real Estate, Inc.</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Times New Roman" w:cs="Times New Roman" w:eastAsia="Times New Roman" w:hAnsi="Times New Roman"/>
                <w:sz w:val="18"/>
                <w:szCs w:val="18"/>
                <w:color w:val="auto"/>
                <w:w w:val="99"/>
              </w:rPr>
              <w:t>DE</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LT India Holding Company, LLC</w:t>
            </w:r>
          </w:p>
        </w:tc>
        <w:tc>
          <w:tcPr>
            <w:tcW w:w="8040" w:type="dxa"/>
            <w:vAlign w:val="bottom"/>
          </w:tcPr>
          <w:p>
            <w:pPr>
              <w:jc w:val="center"/>
              <w:ind w:left="6472"/>
              <w:spacing w:after="0"/>
              <w:rPr>
                <w:sz w:val="20"/>
                <w:szCs w:val="20"/>
                <w:color w:val="auto"/>
              </w:rPr>
            </w:pPr>
            <w:r>
              <w:rPr>
                <w:rFonts w:ascii="Times New Roman" w:cs="Times New Roman" w:eastAsia="Times New Roman" w:hAnsi="Times New Roman"/>
                <w:sz w:val="18"/>
                <w:szCs w:val="18"/>
                <w:color w:val="auto"/>
                <w:w w:val="99"/>
              </w:rPr>
              <w:t>DE</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LendingTree Research Services LLP</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Times New Roman" w:cs="Times New Roman" w:eastAsia="Times New Roman" w:hAnsi="Times New Roman"/>
                <w:sz w:val="18"/>
                <w:szCs w:val="18"/>
                <w:color w:val="auto"/>
                <w:w w:val="97"/>
              </w:rPr>
              <w:t>India</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Ovation Credit Services, Inc.</w:t>
            </w:r>
          </w:p>
        </w:tc>
        <w:tc>
          <w:tcPr>
            <w:tcW w:w="8040" w:type="dxa"/>
            <w:vAlign w:val="bottom"/>
          </w:tcPr>
          <w:p>
            <w:pPr>
              <w:jc w:val="center"/>
              <w:ind w:left="6472"/>
              <w:spacing w:after="0"/>
              <w:rPr>
                <w:sz w:val="20"/>
                <w:szCs w:val="20"/>
                <w:color w:val="auto"/>
              </w:rPr>
            </w:pPr>
            <w:r>
              <w:rPr>
                <w:rFonts w:ascii="Times New Roman" w:cs="Times New Roman" w:eastAsia="Times New Roman" w:hAnsi="Times New Roman"/>
                <w:sz w:val="18"/>
                <w:szCs w:val="18"/>
                <w:color w:val="auto"/>
                <w:w w:val="94"/>
              </w:rPr>
              <w:t>FL</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 LT Holdings, LLC</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Times New Roman" w:cs="Times New Roman" w:eastAsia="Times New Roman" w:hAnsi="Times New Roman"/>
                <w:sz w:val="18"/>
                <w:szCs w:val="18"/>
                <w:color w:val="auto"/>
                <w:w w:val="99"/>
              </w:rPr>
              <w:t>DE</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Value Holding Inc.</w:t>
            </w:r>
          </w:p>
        </w:tc>
        <w:tc>
          <w:tcPr>
            <w:tcW w:w="8040" w:type="dxa"/>
            <w:vAlign w:val="bottom"/>
          </w:tcPr>
          <w:p>
            <w:pPr>
              <w:jc w:val="center"/>
              <w:ind w:left="6472"/>
              <w:spacing w:after="0"/>
              <w:rPr>
                <w:sz w:val="20"/>
                <w:szCs w:val="20"/>
                <w:color w:val="auto"/>
              </w:rPr>
            </w:pPr>
            <w:r>
              <w:rPr>
                <w:rFonts w:ascii="Times New Roman" w:cs="Times New Roman" w:eastAsia="Times New Roman" w:hAnsi="Times New Roman"/>
                <w:sz w:val="18"/>
                <w:szCs w:val="18"/>
                <w:color w:val="auto"/>
                <w:w w:val="99"/>
              </w:rPr>
              <w:t>DE</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ValuePenguin Inc.</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Times New Roman" w:cs="Times New Roman" w:eastAsia="Times New Roman" w:hAnsi="Times New Roman"/>
                <w:sz w:val="18"/>
                <w:szCs w:val="18"/>
                <w:color w:val="auto"/>
                <w:w w:val="99"/>
              </w:rPr>
              <w:t>DE</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QuoteWizard.com, LLC</w:t>
            </w:r>
          </w:p>
        </w:tc>
        <w:tc>
          <w:tcPr>
            <w:tcW w:w="8040" w:type="dxa"/>
            <w:vAlign w:val="bottom"/>
          </w:tcPr>
          <w:p>
            <w:pPr>
              <w:jc w:val="center"/>
              <w:ind w:left="6472"/>
              <w:spacing w:after="0"/>
              <w:rPr>
                <w:sz w:val="20"/>
                <w:szCs w:val="20"/>
                <w:color w:val="auto"/>
              </w:rPr>
            </w:pPr>
            <w:r>
              <w:rPr>
                <w:rFonts w:ascii="Times New Roman" w:cs="Times New Roman" w:eastAsia="Times New Roman" w:hAnsi="Times New Roman"/>
                <w:sz w:val="18"/>
                <w:szCs w:val="18"/>
                <w:color w:val="auto"/>
                <w:w w:val="99"/>
              </w:rPr>
              <w:t>DE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2"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333-197952, No. 333-182670 and No. 333-218747) of LendingTree, Inc. of our report dated February 28, 2019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ectPr>
          <w:pgSz w:w="11900" w:h="16838" w:orient="portrait"/>
          <w:cols w:equalWidth="0" w:num="1">
            <w:col w:w="11420"/>
          </w:cols>
          <w:pgMar w:left="240" w:top="252" w:right="239" w:bottom="1440" w:gutter="0" w:footer="0" w:header="0"/>
        </w:sectPr>
      </w:pPr>
    </w:p>
    <w:bookmarkStart w:id="125" w:name="page126"/>
    <w:bookmarkEnd w:id="125"/>
    <w:p>
      <w:pPr>
        <w:ind w:left="104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R. Lebda, certify that:</w:t>
      </w:r>
    </w:p>
    <w:p>
      <w:pPr>
        <w:spacing w:after="0" w:line="279"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2018 of LendingTree, Inc.;</w:t>
      </w:r>
    </w:p>
    <w:p>
      <w:pPr>
        <w:spacing w:after="0" w:line="144"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28, 2019</w:t>
      </w:r>
    </w:p>
    <w:p>
      <w:pPr>
        <w:spacing w:after="0" w:line="200" w:lineRule="exact"/>
        <w:rPr>
          <w:sz w:val="20"/>
          <w:szCs w:val="20"/>
          <w:color w:val="auto"/>
        </w:rPr>
      </w:pPr>
    </w:p>
    <w:p>
      <w:pPr>
        <w:spacing w:after="0" w:line="318"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36830</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252" w:right="239" w:bottom="1440" w:gutter="0" w:footer="0" w:header="0"/>
        </w:sectPr>
      </w:pPr>
    </w:p>
    <w:bookmarkStart w:id="126" w:name="page127"/>
    <w:bookmarkEnd w:id="126"/>
    <w:p>
      <w:pPr>
        <w:ind w:left="104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J.D. Moriarty, certify that:</w:t>
      </w:r>
    </w:p>
    <w:p>
      <w:pPr>
        <w:spacing w:after="0" w:line="279"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2018 of LendingTree, Inc.;</w:t>
      </w:r>
    </w:p>
    <w:p>
      <w:pPr>
        <w:spacing w:after="0" w:line="144"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28, 2019</w:t>
      </w:r>
    </w:p>
    <w:p>
      <w:pPr>
        <w:spacing w:after="0" w:line="200" w:lineRule="exact"/>
        <w:rPr>
          <w:sz w:val="20"/>
          <w:szCs w:val="20"/>
          <w:color w:val="auto"/>
        </w:rPr>
      </w:pPr>
    </w:p>
    <w:p>
      <w:pPr>
        <w:spacing w:after="0" w:line="318"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36830</wp:posOffset>
            </wp:positionV>
            <wp:extent cx="3473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J.D. Moriarty</w:t>
      </w:r>
    </w:p>
    <w:p>
      <w:pPr>
        <w:spacing w:after="0" w:line="2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252"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 Douglas R. Lebda, certify, pursuant to 18 U.S.C. Section 1350, as adopted pursuant to Section 906 of the Sarbanes-Oxley Act of 2002, that to my knowledge:</w:t>
      </w:r>
    </w:p>
    <w:p>
      <w:pPr>
        <w:spacing w:after="0" w:line="108" w:lineRule="exact"/>
        <w:rPr>
          <w:sz w:val="20"/>
          <w:szCs w:val="20"/>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fiscal year ended December 31, 2018 of LendingTree, Inc. (the "Report") which this statement accompanies fully complies with the requirements of Section 13(a) or 15(d) of the Securities Exchange Act of 1934 (15 U.S.C. 78m or 78o(d));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700" w:val="left"/>
          <w:tab w:leader="none" w:pos="7520" w:val="left"/>
        </w:tabs>
        <w:rPr>
          <w:sz w:val="20"/>
          <w:szCs w:val="20"/>
          <w:color w:val="auto"/>
        </w:rPr>
      </w:pPr>
      <w:r>
        <w:rPr>
          <w:rFonts w:ascii="Times New Roman" w:cs="Times New Roman" w:eastAsia="Times New Roman" w:hAnsi="Times New Roman"/>
          <w:sz w:val="18"/>
          <w:szCs w:val="18"/>
          <w:color w:val="auto"/>
        </w:rPr>
        <w:t>Dated:</w:t>
        <w:tab/>
        <w:t>February 28, 2019</w:t>
      </w:r>
      <w:r>
        <w:rPr>
          <w:sz w:val="20"/>
          <w:szCs w:val="20"/>
          <w:color w:val="auto"/>
        </w:rPr>
        <w:tab/>
      </w:r>
      <w:r>
        <w:rPr>
          <w:rFonts w:ascii="Times New Roman" w:cs="Times New Roman" w:eastAsia="Times New Roman" w:hAnsi="Times New Roman"/>
          <w:sz w:val="17"/>
          <w:szCs w:val="17"/>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36830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9"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252"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 J.D. Moriarty, certify, pursuant to 18 U.S.C. Section 1350, as adopted pursuant to Section 906 of the Sarbanes-Oxley Act of 2002, that to my knowledge:</w:t>
      </w:r>
    </w:p>
    <w:p>
      <w:pPr>
        <w:spacing w:after="0" w:line="108" w:lineRule="exact"/>
        <w:rPr>
          <w:sz w:val="20"/>
          <w:szCs w:val="20"/>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fiscal year ended December 31, 2018 of LendingTree, Inc. (the "Report") which this statement accompanies fully complies with the requirements of Section 13(a) or 15(d) of the Securities Exchange Act of 1934 (15 U.S.C. 78m or 78o(d));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700" w:val="left"/>
          <w:tab w:leader="none" w:pos="7760" w:val="left"/>
        </w:tabs>
        <w:rPr>
          <w:sz w:val="20"/>
          <w:szCs w:val="20"/>
          <w:color w:val="auto"/>
        </w:rPr>
      </w:pPr>
      <w:r>
        <w:rPr>
          <w:rFonts w:ascii="Times New Roman" w:cs="Times New Roman" w:eastAsia="Times New Roman" w:hAnsi="Times New Roman"/>
          <w:sz w:val="18"/>
          <w:szCs w:val="18"/>
          <w:color w:val="auto"/>
        </w:rPr>
        <w:t>Dated:</w:t>
        <w:tab/>
        <w:t>February 28, 2019</w:t>
      </w:r>
      <w:r>
        <w:rPr>
          <w:sz w:val="20"/>
          <w:szCs w:val="20"/>
          <w:color w:val="auto"/>
        </w:rPr>
        <w:tab/>
      </w:r>
      <w:r>
        <w:rPr>
          <w:rFonts w:ascii="Times New Roman" w:cs="Times New Roman" w:eastAsia="Times New Roman" w:hAnsi="Times New Roman"/>
          <w:sz w:val="17"/>
          <w:szCs w:val="17"/>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36830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J.D. Moriarty</w:t>
      </w:r>
    </w:p>
    <w:p>
      <w:pPr>
        <w:spacing w:after="0" w:line="2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6"/>
    </w:lvl>
  </w:abstractNum>
  <w:abstractNum w:abstractNumId="24">
    <w:nsid w:val="2D517796"/>
    <w:multiLevelType w:val="hybridMultilevel"/>
    <w:lvl w:ilvl="0">
      <w:lvlJc w:val="left"/>
      <w:lvlText w:val="(%1)"/>
      <w:numFmt w:val="decimal"/>
      <w:start w:val="4"/>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lowerRoman"/>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4"/>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upperLetter"/>
      <w:start w:val="18"/>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6"/>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3" Type="http://schemas.openxmlformats.org/officeDocument/2006/relationships/image" Target="media/image12.png"/><Relationship Id="rId47" Type="http://schemas.openxmlformats.org/officeDocument/2006/relationships/image" Target="media/image13.png"/><Relationship Id="rId68" Type="http://schemas.openxmlformats.org/officeDocument/2006/relationships/image" Target="media/image14.png"/><Relationship Id="rId78" Type="http://schemas.openxmlformats.org/officeDocument/2006/relationships/image" Target="media/image15.png"/><Relationship Id="rId79" Type="http://schemas.openxmlformats.org/officeDocument/2006/relationships/image" Target="media/image16.png"/><Relationship Id="rId80" Type="http://schemas.openxmlformats.org/officeDocument/2006/relationships/image" Target="media/image17.png"/><Relationship Id="rId81" Type="http://schemas.openxmlformats.org/officeDocument/2006/relationships/image" Target="media/image18.png"/><Relationship Id="rId82" Type="http://schemas.openxmlformats.org/officeDocument/2006/relationships/image" Target="media/image19.png"/><Relationship Id="rId83" Type="http://schemas.openxmlformats.org/officeDocument/2006/relationships/image" Target="media/image20.png"/><Relationship Id="rId84" Type="http://schemas.openxmlformats.org/officeDocument/2006/relationships/image" Target="media/image21.png"/><Relationship Id="rId85" Type="http://schemas.openxmlformats.org/officeDocument/2006/relationships/image" Target="media/image22.png"/><Relationship Id="rId86" Type="http://schemas.openxmlformats.org/officeDocument/2006/relationships/image" Target="media/image23.png"/><Relationship Id="rId87" Type="http://schemas.openxmlformats.org/officeDocument/2006/relationships/image" Target="media/image24.png"/><Relationship Id="rId88" Type="http://schemas.openxmlformats.org/officeDocument/2006/relationships/image" Target="media/image25.png"/><Relationship Id="rId89" Type="http://schemas.openxmlformats.org/officeDocument/2006/relationships/image" Target="media/image26.png"/><Relationship Id="rId90" Type="http://schemas.openxmlformats.org/officeDocument/2006/relationships/image" Target="media/image27.png"/><Relationship Id="rId91" Type="http://schemas.openxmlformats.org/officeDocument/2006/relationships/image" Target="media/image28.png"/><Relationship Id="rId92" Type="http://schemas.openxmlformats.org/officeDocument/2006/relationships/image" Target="media/image29.png"/><Relationship Id="rId93" Type="http://schemas.openxmlformats.org/officeDocument/2006/relationships/image" Target="media/image30.png"/><Relationship Id="rId94" Type="http://schemas.openxmlformats.org/officeDocument/2006/relationships/image" Target="media/image31.png"/><Relationship Id="rId18" Type="http://schemas.openxmlformats.org/officeDocument/2006/relationships/hyperlink" Target="http://www.sec.gov/Archives/edgar/data/1434621/000104746908008622/a2187113zex-2_1.htm" TargetMode="External"/><Relationship Id="rId19" Type="http://schemas.openxmlformats.org/officeDocument/2006/relationships/hyperlink" Target="http://www.sec.gov/Archives/edgar/data/1434621/000110465908054882/a08-22125_1ex10d2.htm" TargetMode="External"/><Relationship Id="rId21" Type="http://schemas.openxmlformats.org/officeDocument/2006/relationships/hyperlink" Target="http://www.sec.gov/Archives/edgar/data/1434621/000110465908054882/a08-22125_1ex10d3.htm" TargetMode="External"/><Relationship Id="rId22" Type="http://schemas.openxmlformats.org/officeDocument/2006/relationships/hyperlink" Target="http://www.sec.gov/Archives/edgar/data/1434621/000110465908054882/a08-22125_1ex10d4.htm" TargetMode="External"/><Relationship Id="rId24" Type="http://schemas.openxmlformats.org/officeDocument/2006/relationships/hyperlink" Target="http://www.sec.gov/Archives/edgar/data/1434621/000110465908054882/a08-22125_1ex10d6.htm" TargetMode="External"/><Relationship Id="rId25" Type="http://schemas.openxmlformats.org/officeDocument/2006/relationships/hyperlink" Target="http://www.sec.gov/Archives/edgar/data/1434621/000110465910058747/a10-21366_1ex2d1.htm" TargetMode="External"/><Relationship Id="rId26" Type="http://schemas.openxmlformats.org/officeDocument/2006/relationships/hyperlink" Target="http://www.sec.gov/Archives/edgar/data/1434621/000110465911015602/a11-8401_1ex2d1.htm" TargetMode="External"/><Relationship Id="rId27" Type="http://schemas.openxmlformats.org/officeDocument/2006/relationships/hyperlink" Target="http://www.sec.gov/Archives/edgar/data/1434621/000110465911015602/a11-8401_1ex2d2.htm" TargetMode="External"/><Relationship Id="rId28" Type="http://schemas.openxmlformats.org/officeDocument/2006/relationships/hyperlink" Target="http://www.sec.gov/Archives/edgar/data/1434621/000110465911029396/a11-12364_1ex2d1.htm" TargetMode="External"/><Relationship Id="rId29" Type="http://schemas.openxmlformats.org/officeDocument/2006/relationships/hyperlink" Target="http://www.sec.gov/Archives/edgar/data/1434621/000110465911052643/a11-26750_1ex2d1.htm" TargetMode="External"/><Relationship Id="rId30" Type="http://schemas.openxmlformats.org/officeDocument/2006/relationships/hyperlink" Target="http://www.sec.gov/Archives/edgar/data/1434621/000110465912007840/a12-4544_1ex2d1.htm" TargetMode="External"/><Relationship Id="rId31" Type="http://schemas.openxmlformats.org/officeDocument/2006/relationships/hyperlink" Target="http://www.sec.gov/Archives/edgar/data/1434621/000143462116000102/ex21ironhorsepurchaseagree.htm" TargetMode="External"/><Relationship Id="rId32" Type="http://schemas.openxmlformats.org/officeDocument/2006/relationships/hyperlink" Target="http://www.sec.gov/Archives/edgar/data/1355096/000110465917066108/a17-25170_1ex99d7d.htm" TargetMode="External"/><Relationship Id="rId33" Type="http://schemas.openxmlformats.org/officeDocument/2006/relationships/hyperlink" Target="http://www.sec.gov/Archives/edgar/data/1434621/000143462118000036/exhibit21-quotewizardpurch.htm" TargetMode="External"/><Relationship Id="rId34" Type="http://schemas.openxmlformats.org/officeDocument/2006/relationships/hyperlink" Target="http://www.sec.gov/Archives/edgar/data/1434621/000143462118000054/exhibit21-valuepenguinpurc.htm" TargetMode="External"/><Relationship Id="rId35" Type="http://schemas.openxmlformats.org/officeDocument/2006/relationships/hyperlink" Target="http://www.sec.gov/Archives/edgar/data/1434621/000110465908054882/a08-22125_1ex3d1.htm" TargetMode="External"/><Relationship Id="rId36" Type="http://schemas.openxmlformats.org/officeDocument/2006/relationships/hyperlink" Target="http://www.sec.gov/Archives/edgar/data/1434621/000143462117000080/fourthamendedandrestatedby.htm" TargetMode="External"/><Relationship Id="rId37" Type="http://schemas.openxmlformats.org/officeDocument/2006/relationships/hyperlink" Target="http://www.sec.gov/Archives/edgar/data/891103/000104746903023716/a2111938zex-99_4.htm" TargetMode="External"/><Relationship Id="rId38" Type="http://schemas.openxmlformats.org/officeDocument/2006/relationships/hyperlink" Target="http://www.sec.gov/Archives/edgar/data/1434621/000110465908054882/a08-22125_1ex10d5.htm" TargetMode="External"/><Relationship Id="rId39" Type="http://schemas.openxmlformats.org/officeDocument/2006/relationships/hyperlink" Target="http://www.sec.gov/Archives/edgar/data/1434621/000143462117000036/exhibit41-indenture.htm" TargetMode="External"/><Relationship Id="rId40" Type="http://schemas.openxmlformats.org/officeDocument/2006/relationships/hyperlink" Target="http://www.sec.gov/Archives/edgar/data/1434621/000143462117000036/exhibit991-purchaseagreeme.htm" TargetMode="External"/><Relationship Id="rId41" Type="http://schemas.openxmlformats.org/officeDocument/2006/relationships/hyperlink" Target="http://www.sec.gov/Archives/edgar/data/1434621/000143462117000036/exhibit994-basewarrantconf.htm" TargetMode="External"/><Relationship Id="rId42" Type="http://schemas.openxmlformats.org/officeDocument/2006/relationships/hyperlink" Target="http://www.sec.gov/Archives/edgar/data/1434621/000143462117000036/exhibit995-additionalwarra.htm" TargetMode="External"/><Relationship Id="rId43" Type="http://schemas.openxmlformats.org/officeDocument/2006/relationships/hyperlink" Target="http://www.sec.gov/Archives/edgar/data/1434621/000104746910009699/a2200741zex-10_4.htm" TargetMode="External"/><Relationship Id="rId44" Type="http://schemas.openxmlformats.org/officeDocument/2006/relationships/hyperlink" Target="http://www.sec.gov/Archives/edgar/data/1434621/000110465909008318/a09-5311_1ex10d1.htm" TargetMode="External"/><Relationship Id="rId45" Type="http://schemas.openxmlformats.org/officeDocument/2006/relationships/hyperlink" Target="http://www.sec.gov/Archives/edgar/data/1434621/000104746910005187/a2198626zex-10_15.htm" TargetMode="External"/><Relationship Id="rId46" Type="http://schemas.openxmlformats.org/officeDocument/2006/relationships/hyperlink" Target="http://www.sec.gov/Archives/edgar/data/1434621/000104746910005187/a2198626zex-10_2.htm" TargetMode="External"/><Relationship Id="rId48" Type="http://schemas.openxmlformats.org/officeDocument/2006/relationships/hyperlink" Target="http://www.sec.gov/Archives/edgar/data/1434621/000104746910005187/a2198626zex-10_4.htm" TargetMode="External"/><Relationship Id="rId49" Type="http://schemas.openxmlformats.org/officeDocument/2006/relationships/hyperlink" Target="http://www.sec.gov/Archives/edgar/data/1434621/000143462117000078/tree-2017930x10qexx103.htm" TargetMode="External"/><Relationship Id="rId50" Type="http://schemas.openxmlformats.org/officeDocument/2006/relationships/hyperlink" Target="http://www.sec.gov/Archives/edgar/data/1434621/000104746913003755/a2213996zex-10_112.htm" TargetMode="External"/><Relationship Id="rId51" Type="http://schemas.openxmlformats.org/officeDocument/2006/relationships/hyperlink" Target="http://www.sec.gov/Archives/edgar/data/1434621/000143462115000024/tree-letteragreementexx101.htm" TargetMode="External"/><Relationship Id="rId52" Type="http://schemas.openxmlformats.org/officeDocument/2006/relationships/hyperlink" Target="http://www.sec.gov/Archives/edgar/data/1434621/000143462116000052/tree-12312015xex106.htm" TargetMode="External"/><Relationship Id="rId53" Type="http://schemas.openxmlformats.org/officeDocument/2006/relationships/hyperlink" Target="http://www.sec.gov/Archives/edgar/data/1434621/000143462117000039/exhibit43a-fifthamendedand.htm" TargetMode="External"/><Relationship Id="rId54" Type="http://schemas.openxmlformats.org/officeDocument/2006/relationships/hyperlink" Target="http://www.sec.gov/Archives/edgar/data/1434621/000110465909020996/a09-8855_1ex10d6.htm" TargetMode="External"/><Relationship Id="rId55" Type="http://schemas.openxmlformats.org/officeDocument/2006/relationships/hyperlink" Target="http://www.sec.gov/Archives/edgar/data/1434621/000143462114000030/ex103-noticeofrsuaward.htm" TargetMode="External"/><Relationship Id="rId56" Type="http://schemas.openxmlformats.org/officeDocument/2006/relationships/hyperlink" Target="http://www.sec.gov/Archives/edgar/data/1434621/000143462114000030/ex104-noticeofrsaward.htm" TargetMode="External"/><Relationship Id="rId57" Type="http://schemas.openxmlformats.org/officeDocument/2006/relationships/hyperlink" Target="http://www.sec.gov/Archives/edgar/data/1434621/000143462114000030/ex105-noticeofoptionaward.htm" TargetMode="External"/><Relationship Id="rId58" Type="http://schemas.openxmlformats.org/officeDocument/2006/relationships/hyperlink" Target="http://www.sec.gov/Archives/edgar/data/1434621/000143462117000039/exhibit44a-2017inducementg.htm" TargetMode="External"/><Relationship Id="rId59" Type="http://schemas.openxmlformats.org/officeDocument/2006/relationships/hyperlink" Target="http://www.sec.gov/Archives/edgar/data/1434621/000143462117000039/exhibit44b-formofnoticeofr.htm" TargetMode="External"/><Relationship Id="rId60" Type="http://schemas.openxmlformats.org/officeDocument/2006/relationships/hyperlink" Target="http://www.sec.gov/Archives/edgar/data/1434621/000143462117000039/exhibit44c-formofnoticeofr.htm" TargetMode="External"/><Relationship Id="rId61" Type="http://schemas.openxmlformats.org/officeDocument/2006/relationships/hyperlink" Target="http://www.sec.gov/Archives/edgar/data/1434621/000143462117000039/exhibit44d-formofnoticeofs.htm" TargetMode="External"/><Relationship Id="rId62" Type="http://schemas.openxmlformats.org/officeDocument/2006/relationships/hyperlink" Target="http://www.sec.gov/Archives/edgar/data/1434621/000143462115000024/tree-deferredcompplanbodex.htm" TargetMode="External"/><Relationship Id="rId63" Type="http://schemas.openxmlformats.org/officeDocument/2006/relationships/hyperlink" Target="http://www.sec.gov/Archives/edgar/data/1434621/000104746908008622/a2187113zex-10_15.htm" TargetMode="External"/><Relationship Id="rId64" Type="http://schemas.openxmlformats.org/officeDocument/2006/relationships/hyperlink" Target="http://www.sec.gov/Archives/edgar/data/1434621/000110465911004845/a11-5223_1ex10d2.htm" TargetMode="External"/><Relationship Id="rId65" Type="http://schemas.openxmlformats.org/officeDocument/2006/relationships/hyperlink" Target="http://www.sec.gov/Archives/edgar/data/1434621/000104746912007188/a2209872zex-10_86b.htm" TargetMode="External"/><Relationship Id="rId66" Type="http://schemas.openxmlformats.org/officeDocument/2006/relationships/hyperlink" Target="http://www.sec.gov/Archives/edgar/data/1434621/000104746912007188/a2209872zex-10_86c.htm" TargetMode="External"/><Relationship Id="rId67" Type="http://schemas.openxmlformats.org/officeDocument/2006/relationships/hyperlink" Target="http://www.sec.gov/Archives/edgar/data/1434621/000104746912007188/a2209872zex-10_86d.htm" TargetMode="External"/><Relationship Id="rId69" Type="http://schemas.openxmlformats.org/officeDocument/2006/relationships/hyperlink" Target="http://www.sec.gov/Archives/edgar/data/1434621/000104746910005187/a2198626zex-10_13.htm" TargetMode="External"/><Relationship Id="rId70" Type="http://schemas.openxmlformats.org/officeDocument/2006/relationships/hyperlink" Target="http://www.sec.gov/Archives/edgar/data/1434621/000143462117000036/exhibit992-formofbasebondh.htm" TargetMode="External"/><Relationship Id="rId71" Type="http://schemas.openxmlformats.org/officeDocument/2006/relationships/hyperlink" Target="http://www.sec.gov/Archives/edgar/data/1434621/000143462117000036/exhibit993-additionalbondh.htm" TargetMode="External"/><Relationship Id="rId72" Type="http://schemas.openxmlformats.org/officeDocument/2006/relationships/hyperlink" Target="http://www.sec.gov/Archives/edgar/data/1434621/000143462118000006/tree-12312017xex1038.htm" TargetMode="External"/><Relationship Id="rId73" Type="http://schemas.openxmlformats.org/officeDocument/2006/relationships/hyperlink" Target="http://www.sec.gov/Archives/edgar/data/1434621/000143462117000017/tree-12312016xex1031.htm" TargetMode="External"/><Relationship Id="rId74" Type="http://schemas.openxmlformats.org/officeDocument/2006/relationships/hyperlink" Target="http://www.sec.gov/Archives/edgar/data/1434621/000143462117000017/tree-12312016xex1032.htm" TargetMode="External"/><Relationship Id="rId75" Type="http://schemas.openxmlformats.org/officeDocument/2006/relationships/hyperlink" Target="http://www.sec.gov/Archives/edgar/data/1434621/000143462118000017/tree-2018331x10qexx101.htm" TargetMode="External"/><Relationship Id="rId76" Type="http://schemas.openxmlformats.org/officeDocument/2006/relationships/hyperlink" Target="http://www.sec.gov/Archives/edgar/data/1434621/000143462118000017/tree-2018331x10qexx102.htm" TargetMode="External"/><Relationship Id="rId77" Type="http://schemas.openxmlformats.org/officeDocument/2006/relationships/hyperlink" Target="http://www.sec.gov/Archives/edgar/data/1434621/000143462118000017/tree-2018331x10qex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2019-12-28T15:29:36Z</dcterms:created>
  <dcterms:modified xsi:type="dcterms:W3CDTF">2019-12-28T15:29:36Z</dcterms:modified>
</cp:coreProperties>
</file>