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ind w:left="4360"/>
        <w:spacing w:after="0"/>
        <w:rPr>
          <w:sz w:val="20"/>
          <w:szCs w:val="20"/>
          <w:color w:val="auto"/>
        </w:rPr>
      </w:pPr>
      <w:r>
        <w:rPr>
          <w:rFonts w:ascii="Arial" w:cs="Arial" w:eastAsia="Arial" w:hAnsi="Arial"/>
          <w:sz w:val="11"/>
          <w:szCs w:val="11"/>
          <w:color w:val="auto"/>
        </w:rPr>
        <w:t>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1"/>
          <w:szCs w:val="11"/>
          <w:color w:val="auto"/>
        </w:rPr>
        <w:t>__________________________________________________</w:t>
      </w:r>
    </w:p>
    <w:p>
      <w:pPr>
        <w:spacing w:after="0" w:line="145"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2800" w:right="2040" w:hanging="1144"/>
        <w:spacing w:after="0" w:line="282" w:lineRule="auto"/>
        <w:tabs>
          <w:tab w:leader="none" w:pos="28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 w:lineRule="exact"/>
        <w:rPr>
          <w:rFonts w:ascii="MS PGothic" w:cs="MS PGothic" w:eastAsia="MS PGothic" w:hAnsi="MS PGothic"/>
          <w:sz w:val="18"/>
          <w:szCs w:val="18"/>
          <w:color w:val="auto"/>
        </w:rPr>
      </w:pPr>
    </w:p>
    <w:p>
      <w:pPr>
        <w:ind w:left="41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2015</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2800" w:right="1680" w:hanging="1108"/>
        <w:spacing w:after="0" w:line="282" w:lineRule="auto"/>
        <w:tabs>
          <w:tab w:leader="none" w:pos="28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 w:lineRule="exact"/>
        <w:rPr>
          <w:sz w:val="24"/>
          <w:szCs w:val="24"/>
          <w:color w:val="auto"/>
        </w:rPr>
      </w:pPr>
    </w:p>
    <w:p>
      <w:pPr>
        <w:ind w:left="324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46" w:lineRule="exact"/>
        <w:rPr>
          <w:sz w:val="24"/>
          <w:szCs w:val="24"/>
          <w:color w:val="auto"/>
        </w:rPr>
      </w:pPr>
    </w:p>
    <w:tbl>
      <w:tblPr>
        <w:tblLayout w:type="fixed"/>
        <w:tblInd w:w="1940" w:type="dxa"/>
        <w:tblCellMar>
          <w:top w:w="0" w:type="dxa"/>
          <w:left w:w="0" w:type="dxa"/>
          <w:bottom w:w="0" w:type="dxa"/>
          <w:right w:w="0" w:type="dxa"/>
        </w:tblCellMar>
      </w:tblPr>
      <w:tr>
        <w:trPr>
          <w:trHeight w:val="193"/>
        </w:trPr>
        <w:tc>
          <w:tcPr>
            <w:tcW w:w="2260" w:type="dxa"/>
            <w:vAlign w:val="bottom"/>
          </w:tcPr>
          <w:p>
            <w:pPr>
              <w:spacing w:after="0"/>
              <w:rPr>
                <w:sz w:val="16"/>
                <w:szCs w:val="16"/>
                <w:color w:val="auto"/>
              </w:rPr>
            </w:pPr>
          </w:p>
        </w:tc>
        <w:tc>
          <w:tcPr>
            <w:tcW w:w="5740" w:type="dxa"/>
            <w:vAlign w:val="bottom"/>
          </w:tcPr>
          <w:p>
            <w:pPr>
              <w:jc w:val="center"/>
              <w:ind w:right="2637"/>
              <w:spacing w:after="0"/>
              <w:rPr>
                <w:sz w:val="20"/>
                <w:szCs w:val="20"/>
                <w:color w:val="auto"/>
              </w:rPr>
            </w:pPr>
            <w:r>
              <w:rPr>
                <w:rFonts w:ascii="Arial" w:cs="Arial" w:eastAsia="Arial" w:hAnsi="Arial"/>
                <w:sz w:val="16"/>
                <w:szCs w:val="16"/>
                <w:b w:val="1"/>
                <w:bCs w:val="1"/>
                <w:color w:val="auto"/>
                <w:w w:val="91"/>
              </w:rPr>
              <w:t>Commission File No. 001-34063</w:t>
            </w:r>
          </w:p>
        </w:tc>
        <w:tc>
          <w:tcPr>
            <w:tcW w:w="0" w:type="dxa"/>
            <w:vAlign w:val="bottom"/>
          </w:tcPr>
          <w:p>
            <w:pPr>
              <w:spacing w:after="0"/>
              <w:rPr>
                <w:sz w:val="1"/>
                <w:szCs w:val="1"/>
                <w:color w:val="auto"/>
              </w:rPr>
            </w:pPr>
          </w:p>
        </w:tc>
      </w:tr>
      <w:tr>
        <w:trPr>
          <w:trHeight w:val="136"/>
        </w:trPr>
        <w:tc>
          <w:tcPr>
            <w:tcW w:w="2260" w:type="dxa"/>
            <w:vAlign w:val="bottom"/>
          </w:tcPr>
          <w:p>
            <w:pPr>
              <w:spacing w:after="0"/>
              <w:rPr>
                <w:sz w:val="11"/>
                <w:szCs w:val="11"/>
                <w:color w:val="auto"/>
              </w:rPr>
            </w:pPr>
          </w:p>
        </w:tc>
        <w:tc>
          <w:tcPr>
            <w:tcW w:w="5740" w:type="dxa"/>
            <w:vAlign w:val="bottom"/>
          </w:tcPr>
          <w:p>
            <w:pPr>
              <w:jc w:val="right"/>
              <w:ind w:right="2797"/>
              <w:spacing w:after="0"/>
              <w:rPr>
                <w:sz w:val="20"/>
                <w:szCs w:val="20"/>
                <w:color w:val="auto"/>
              </w:rPr>
            </w:pPr>
            <w:r>
              <w:rPr>
                <w:rFonts w:ascii="Arial" w:cs="Arial" w:eastAsia="Arial" w:hAnsi="Arial"/>
                <w:sz w:val="11"/>
                <w:szCs w:val="11"/>
                <w:color w:val="auto"/>
                <w:w w:val="92"/>
              </w:rPr>
              <w:t>__________________________________________________</w:t>
            </w:r>
          </w:p>
        </w:tc>
        <w:tc>
          <w:tcPr>
            <w:tcW w:w="0" w:type="dxa"/>
            <w:vAlign w:val="bottom"/>
          </w:tcPr>
          <w:p>
            <w:pPr>
              <w:spacing w:after="0"/>
              <w:rPr>
                <w:sz w:val="1"/>
                <w:szCs w:val="1"/>
                <w:color w:val="auto"/>
              </w:rPr>
            </w:pPr>
          </w:p>
        </w:tc>
      </w:tr>
      <w:tr>
        <w:trPr>
          <w:trHeight w:val="931"/>
        </w:trPr>
        <w:tc>
          <w:tcPr>
            <w:tcW w:w="2260" w:type="dxa"/>
            <w:vAlign w:val="bottom"/>
          </w:tcPr>
          <w:p>
            <w:pPr>
              <w:spacing w:after="0"/>
              <w:rPr>
                <w:sz w:val="24"/>
                <w:szCs w:val="24"/>
                <w:color w:val="auto"/>
              </w:rPr>
            </w:pPr>
          </w:p>
        </w:tc>
        <w:tc>
          <w:tcPr>
            <w:tcW w:w="5740" w:type="dxa"/>
            <w:vAlign w:val="bottom"/>
          </w:tcPr>
          <w:p>
            <w:pPr>
              <w:jc w:val="center"/>
              <w:ind w:right="2617"/>
              <w:spacing w:after="0"/>
              <w:rPr>
                <w:sz w:val="20"/>
                <w:szCs w:val="20"/>
                <w:color w:val="auto"/>
              </w:rPr>
            </w:pPr>
            <w:r>
              <w:rPr>
                <w:rFonts w:ascii="Arial" w:cs="Arial" w:eastAsia="Arial" w:hAnsi="Arial"/>
                <w:sz w:val="25"/>
                <w:szCs w:val="25"/>
                <w:b w:val="1"/>
                <w:bCs w:val="1"/>
                <w:color w:val="auto"/>
                <w:w w:val="92"/>
              </w:rPr>
              <w:t>LendingTree, Inc.</w:t>
            </w:r>
          </w:p>
        </w:tc>
        <w:tc>
          <w:tcPr>
            <w:tcW w:w="0" w:type="dxa"/>
            <w:vAlign w:val="bottom"/>
          </w:tcPr>
          <w:p>
            <w:pPr>
              <w:spacing w:after="0"/>
              <w:rPr>
                <w:sz w:val="1"/>
                <w:szCs w:val="1"/>
                <w:color w:val="auto"/>
              </w:rPr>
            </w:pPr>
          </w:p>
        </w:tc>
      </w:tr>
      <w:tr>
        <w:trPr>
          <w:trHeight w:val="206"/>
        </w:trPr>
        <w:tc>
          <w:tcPr>
            <w:tcW w:w="8000" w:type="dxa"/>
            <w:vAlign w:val="bottom"/>
            <w:gridSpan w:val="2"/>
          </w:tcPr>
          <w:p>
            <w:pPr>
              <w:jc w:val="center"/>
              <w:ind w:right="357"/>
              <w:spacing w:after="0"/>
              <w:rPr>
                <w:sz w:val="20"/>
                <w:szCs w:val="20"/>
                <w:color w:val="auto"/>
              </w:rPr>
            </w:pPr>
            <w:r>
              <w:rPr>
                <w:rFonts w:ascii="Arial" w:cs="Arial" w:eastAsia="Arial" w:hAnsi="Arial"/>
                <w:sz w:val="16"/>
                <w:szCs w:val="16"/>
                <w:color w:val="auto"/>
                <w:w w:val="91"/>
              </w:rPr>
              <w:t>(Exact name of Registrant as specified in its charter)</w:t>
            </w:r>
          </w:p>
        </w:tc>
        <w:tc>
          <w:tcPr>
            <w:tcW w:w="0" w:type="dxa"/>
            <w:vAlign w:val="bottom"/>
          </w:tcPr>
          <w:p>
            <w:pPr>
              <w:spacing w:after="0"/>
              <w:rPr>
                <w:sz w:val="1"/>
                <w:szCs w:val="1"/>
                <w:color w:val="auto"/>
              </w:rPr>
            </w:pPr>
          </w:p>
        </w:tc>
      </w:tr>
      <w:tr>
        <w:trPr>
          <w:trHeight w:val="469"/>
        </w:trPr>
        <w:tc>
          <w:tcPr>
            <w:tcW w:w="226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Delaware</w:t>
            </w:r>
          </w:p>
        </w:tc>
        <w:tc>
          <w:tcPr>
            <w:tcW w:w="5740" w:type="dxa"/>
            <w:vAlign w:val="bottom"/>
            <w:vMerge w:val="restart"/>
          </w:tcPr>
          <w:p>
            <w:pPr>
              <w:jc w:val="center"/>
              <w:ind w:left="2637"/>
              <w:spacing w:after="0"/>
              <w:rPr>
                <w:sz w:val="20"/>
                <w:szCs w:val="20"/>
                <w:color w:val="auto"/>
              </w:rPr>
            </w:pPr>
            <w:r>
              <w:rPr>
                <w:rFonts w:ascii="Arial" w:cs="Arial" w:eastAsia="Arial" w:hAnsi="Arial"/>
                <w:sz w:val="16"/>
                <w:szCs w:val="16"/>
                <w:b w:val="1"/>
                <w:bCs w:val="1"/>
                <w:color w:val="auto"/>
                <w:w w:val="91"/>
              </w:rPr>
              <w:t>26-2414818</w:t>
            </w:r>
          </w:p>
        </w:tc>
        <w:tc>
          <w:tcPr>
            <w:tcW w:w="0" w:type="dxa"/>
            <w:vAlign w:val="bottom"/>
          </w:tcPr>
          <w:p>
            <w:pPr>
              <w:spacing w:after="0"/>
              <w:rPr>
                <w:sz w:val="1"/>
                <w:szCs w:val="1"/>
                <w:color w:val="auto"/>
              </w:rPr>
            </w:pPr>
          </w:p>
        </w:tc>
      </w:tr>
      <w:tr>
        <w:trPr>
          <w:trHeight w:val="203"/>
        </w:trPr>
        <w:tc>
          <w:tcPr>
            <w:tcW w:w="2260" w:type="dxa"/>
            <w:vAlign w:val="bottom"/>
          </w:tcPr>
          <w:p>
            <w:pPr>
              <w:jc w:val="center"/>
              <w:ind w:right="59"/>
              <w:spacing w:after="0"/>
              <w:rPr>
                <w:sz w:val="20"/>
                <w:szCs w:val="20"/>
                <w:color w:val="auto"/>
              </w:rPr>
            </w:pPr>
            <w:r>
              <w:rPr>
                <w:rFonts w:ascii="Arial" w:cs="Arial" w:eastAsia="Arial" w:hAnsi="Arial"/>
                <w:sz w:val="16"/>
                <w:szCs w:val="16"/>
                <w:color w:val="auto"/>
                <w:w w:val="93"/>
              </w:rPr>
              <w:t>(State or other jurisdiction of</w:t>
            </w:r>
          </w:p>
        </w:tc>
        <w:tc>
          <w:tcPr>
            <w:tcW w:w="5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60" w:type="dxa"/>
            <w:vAlign w:val="bottom"/>
          </w:tcPr>
          <w:p>
            <w:pPr>
              <w:jc w:val="center"/>
              <w:ind w:right="79"/>
              <w:spacing w:after="0"/>
              <w:rPr>
                <w:sz w:val="20"/>
                <w:szCs w:val="20"/>
                <w:color w:val="auto"/>
              </w:rPr>
            </w:pPr>
            <w:r>
              <w:rPr>
                <w:rFonts w:ascii="Arial" w:cs="Arial" w:eastAsia="Arial" w:hAnsi="Arial"/>
                <w:sz w:val="16"/>
                <w:szCs w:val="16"/>
                <w:color w:val="auto"/>
                <w:w w:val="93"/>
              </w:rPr>
              <w:t>incorporation or organization)</w:t>
            </w:r>
          </w:p>
        </w:tc>
        <w:tc>
          <w:tcPr>
            <w:tcW w:w="5740" w:type="dxa"/>
            <w:vAlign w:val="bottom"/>
          </w:tcPr>
          <w:p>
            <w:pPr>
              <w:jc w:val="center"/>
              <w:ind w:left="2657"/>
              <w:spacing w:after="0"/>
              <w:rPr>
                <w:sz w:val="20"/>
                <w:szCs w:val="20"/>
                <w:color w:val="auto"/>
              </w:rPr>
            </w:pPr>
            <w:r>
              <w:rPr>
                <w:rFonts w:ascii="Arial" w:cs="Arial" w:eastAsia="Arial" w:hAnsi="Arial"/>
                <w:sz w:val="16"/>
                <w:szCs w:val="16"/>
                <w:color w:val="auto"/>
                <w:w w:val="95"/>
              </w:rPr>
              <w:t>(I.R.S. Employer Identification No.)</w:t>
            </w:r>
          </w:p>
        </w:tc>
        <w:tc>
          <w:tcPr>
            <w:tcW w:w="0" w:type="dxa"/>
            <w:vAlign w:val="bottom"/>
          </w:tcPr>
          <w:p>
            <w:pPr>
              <w:spacing w:after="0"/>
              <w:rPr>
                <w:sz w:val="1"/>
                <w:szCs w:val="1"/>
                <w:color w:val="auto"/>
              </w:rPr>
            </w:pPr>
          </w:p>
        </w:tc>
      </w:tr>
      <w:tr>
        <w:trPr>
          <w:trHeight w:val="253"/>
        </w:trPr>
        <w:tc>
          <w:tcPr>
            <w:tcW w:w="8000" w:type="dxa"/>
            <w:vAlign w:val="bottom"/>
            <w:gridSpan w:val="2"/>
          </w:tcPr>
          <w:p>
            <w:pPr>
              <w:jc w:val="center"/>
              <w:ind w:right="377"/>
              <w:spacing w:after="0"/>
              <w:rPr>
                <w:sz w:val="20"/>
                <w:szCs w:val="20"/>
                <w:color w:val="auto"/>
              </w:rPr>
            </w:pPr>
            <w:r>
              <w:rPr>
                <w:rFonts w:ascii="Arial" w:cs="Arial" w:eastAsia="Arial" w:hAnsi="Arial"/>
                <w:sz w:val="16"/>
                <w:szCs w:val="16"/>
                <w:b w:val="1"/>
                <w:bCs w:val="1"/>
                <w:color w:val="auto"/>
                <w:w w:val="92"/>
              </w:rPr>
              <w:t>11115 Rushmore Drive, Charlotte, North Carolina 28277</w:t>
            </w:r>
          </w:p>
        </w:tc>
        <w:tc>
          <w:tcPr>
            <w:tcW w:w="0" w:type="dxa"/>
            <w:vAlign w:val="bottom"/>
          </w:tcPr>
          <w:p>
            <w:pPr>
              <w:spacing w:after="0"/>
              <w:rPr>
                <w:sz w:val="1"/>
                <w:szCs w:val="1"/>
                <w:color w:val="auto"/>
              </w:rPr>
            </w:pPr>
          </w:p>
        </w:tc>
      </w:tr>
      <w:tr>
        <w:trPr>
          <w:trHeight w:val="206"/>
        </w:trPr>
        <w:tc>
          <w:tcPr>
            <w:tcW w:w="2260" w:type="dxa"/>
            <w:vAlign w:val="bottom"/>
          </w:tcPr>
          <w:p>
            <w:pPr>
              <w:spacing w:after="0"/>
              <w:rPr>
                <w:sz w:val="17"/>
                <w:szCs w:val="17"/>
                <w:color w:val="auto"/>
              </w:rPr>
            </w:pPr>
          </w:p>
        </w:tc>
        <w:tc>
          <w:tcPr>
            <w:tcW w:w="5740" w:type="dxa"/>
            <w:vAlign w:val="bottom"/>
          </w:tcPr>
          <w:p>
            <w:pPr>
              <w:jc w:val="center"/>
              <w:ind w:right="2637"/>
              <w:spacing w:after="0"/>
              <w:rPr>
                <w:sz w:val="20"/>
                <w:szCs w:val="20"/>
                <w:color w:val="auto"/>
              </w:rPr>
            </w:pPr>
            <w:r>
              <w:rPr>
                <w:rFonts w:ascii="Arial" w:cs="Arial" w:eastAsia="Arial" w:hAnsi="Arial"/>
                <w:sz w:val="16"/>
                <w:szCs w:val="16"/>
                <w:color w:val="auto"/>
                <w:w w:val="94"/>
              </w:rPr>
              <w:t>(Address of principal executive offices)</w:t>
            </w:r>
          </w:p>
        </w:tc>
        <w:tc>
          <w:tcPr>
            <w:tcW w:w="0" w:type="dxa"/>
            <w:vAlign w:val="bottom"/>
          </w:tcPr>
          <w:p>
            <w:pPr>
              <w:spacing w:after="0"/>
              <w:rPr>
                <w:sz w:val="1"/>
                <w:szCs w:val="1"/>
                <w:color w:val="auto"/>
              </w:rPr>
            </w:pPr>
          </w:p>
        </w:tc>
      </w:tr>
      <w:tr>
        <w:trPr>
          <w:trHeight w:val="253"/>
        </w:trPr>
        <w:tc>
          <w:tcPr>
            <w:tcW w:w="2260" w:type="dxa"/>
            <w:vAlign w:val="bottom"/>
          </w:tcPr>
          <w:p>
            <w:pPr>
              <w:spacing w:after="0"/>
              <w:rPr>
                <w:sz w:val="21"/>
                <w:szCs w:val="21"/>
                <w:color w:val="auto"/>
              </w:rPr>
            </w:pPr>
          </w:p>
        </w:tc>
        <w:tc>
          <w:tcPr>
            <w:tcW w:w="5740" w:type="dxa"/>
            <w:vAlign w:val="bottom"/>
          </w:tcPr>
          <w:p>
            <w:pPr>
              <w:jc w:val="right"/>
              <w:ind w:right="3637"/>
              <w:spacing w:after="0"/>
              <w:rPr>
                <w:sz w:val="20"/>
                <w:szCs w:val="20"/>
                <w:color w:val="auto"/>
              </w:rPr>
            </w:pPr>
            <w:r>
              <w:rPr>
                <w:rFonts w:ascii="Arial" w:cs="Arial" w:eastAsia="Arial" w:hAnsi="Arial"/>
                <w:sz w:val="16"/>
                <w:szCs w:val="16"/>
                <w:b w:val="1"/>
                <w:bCs w:val="1"/>
                <w:color w:val="auto"/>
              </w:rPr>
              <w:t>(704) 541-5351</w:t>
            </w:r>
          </w:p>
        </w:tc>
        <w:tc>
          <w:tcPr>
            <w:tcW w:w="0" w:type="dxa"/>
            <w:vAlign w:val="bottom"/>
          </w:tcPr>
          <w:p>
            <w:pPr>
              <w:spacing w:after="0"/>
              <w:rPr>
                <w:sz w:val="1"/>
                <w:szCs w:val="1"/>
                <w:color w:val="auto"/>
              </w:rPr>
            </w:pPr>
          </w:p>
        </w:tc>
      </w:tr>
      <w:tr>
        <w:trPr>
          <w:trHeight w:val="206"/>
        </w:trPr>
        <w:tc>
          <w:tcPr>
            <w:tcW w:w="8000" w:type="dxa"/>
            <w:vAlign w:val="bottom"/>
            <w:gridSpan w:val="2"/>
          </w:tcPr>
          <w:p>
            <w:pPr>
              <w:jc w:val="center"/>
              <w:ind w:right="377"/>
              <w:spacing w:after="0"/>
              <w:rPr>
                <w:sz w:val="20"/>
                <w:szCs w:val="20"/>
                <w:color w:val="auto"/>
              </w:rPr>
            </w:pPr>
            <w:r>
              <w:rPr>
                <w:rFonts w:ascii="Arial" w:cs="Arial" w:eastAsia="Arial" w:hAnsi="Arial"/>
                <w:sz w:val="16"/>
                <w:szCs w:val="16"/>
                <w:color w:val="auto"/>
                <w:w w:val="91"/>
              </w:rPr>
              <w:t>(Registrant's telephone number, including area code)</w:t>
            </w:r>
          </w:p>
        </w:tc>
        <w:tc>
          <w:tcPr>
            <w:tcW w:w="0" w:type="dxa"/>
            <w:vAlign w:val="bottom"/>
          </w:tcPr>
          <w:p>
            <w:pPr>
              <w:spacing w:after="0"/>
              <w:rPr>
                <w:sz w:val="1"/>
                <w:szCs w:val="1"/>
                <w:color w:val="auto"/>
              </w:rPr>
            </w:pPr>
          </w:p>
        </w:tc>
      </w:tr>
      <w:tr>
        <w:trPr>
          <w:trHeight w:val="257"/>
        </w:trPr>
        <w:tc>
          <w:tcPr>
            <w:tcW w:w="8000" w:type="dxa"/>
            <w:vAlign w:val="bottom"/>
            <w:gridSpan w:val="2"/>
          </w:tcPr>
          <w:p>
            <w:pPr>
              <w:jc w:val="center"/>
              <w:ind w:right="357"/>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0" w:type="dxa"/>
            <w:vAlign w:val="bottom"/>
          </w:tcPr>
          <w:p>
            <w:pPr>
              <w:spacing w:after="0"/>
              <w:rPr>
                <w:sz w:val="1"/>
                <w:szCs w:val="1"/>
                <w:color w:val="auto"/>
              </w:rPr>
            </w:pPr>
          </w:p>
        </w:tc>
      </w:tr>
      <w:tr>
        <w:trPr>
          <w:trHeight w:val="253"/>
        </w:trPr>
        <w:tc>
          <w:tcPr>
            <w:tcW w:w="226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Title of Each Class</w:t>
            </w:r>
          </w:p>
        </w:tc>
        <w:tc>
          <w:tcPr>
            <w:tcW w:w="5740" w:type="dxa"/>
            <w:vAlign w:val="bottom"/>
          </w:tcPr>
          <w:p>
            <w:pPr>
              <w:jc w:val="center"/>
              <w:ind w:left="2657"/>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06"/>
        </w:trPr>
        <w:tc>
          <w:tcPr>
            <w:tcW w:w="2260" w:type="dxa"/>
            <w:vAlign w:val="bottom"/>
          </w:tcPr>
          <w:p>
            <w:pPr>
              <w:jc w:val="center"/>
              <w:ind w:right="59"/>
              <w:spacing w:after="0"/>
              <w:rPr>
                <w:sz w:val="20"/>
                <w:szCs w:val="20"/>
                <w:color w:val="auto"/>
              </w:rPr>
            </w:pPr>
            <w:r>
              <w:rPr>
                <w:rFonts w:ascii="Arial" w:cs="Arial" w:eastAsia="Arial" w:hAnsi="Arial"/>
                <w:sz w:val="16"/>
                <w:szCs w:val="16"/>
                <w:color w:val="auto"/>
                <w:w w:val="90"/>
              </w:rPr>
              <w:t>Common Stock, $0.01 Par Value</w:t>
            </w:r>
          </w:p>
        </w:tc>
        <w:tc>
          <w:tcPr>
            <w:tcW w:w="5740" w:type="dxa"/>
            <w:vAlign w:val="bottom"/>
          </w:tcPr>
          <w:p>
            <w:pPr>
              <w:jc w:val="center"/>
              <w:ind w:left="2657"/>
              <w:spacing w:after="0"/>
              <w:rPr>
                <w:sz w:val="20"/>
                <w:szCs w:val="20"/>
                <w:color w:val="auto"/>
              </w:rPr>
            </w:pPr>
            <w:r>
              <w:rPr>
                <w:rFonts w:ascii="Arial" w:cs="Arial" w:eastAsia="Arial" w:hAnsi="Arial"/>
                <w:sz w:val="16"/>
                <w:szCs w:val="16"/>
                <w:color w:val="auto"/>
                <w:w w:val="95"/>
              </w:rPr>
              <w:t>The NASDAQ Stock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-2319655</wp:posOffset>
            </wp:positionV>
            <wp:extent cx="113220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2205" cy="41148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None</w:t>
      </w:r>
    </w:p>
    <w:p>
      <w:pPr>
        <w:spacing w:after="0" w:line="42" w:lineRule="exact"/>
        <w:rPr>
          <w:sz w:val="24"/>
          <w:szCs w:val="24"/>
          <w:color w:val="auto"/>
        </w:rPr>
      </w:pPr>
    </w:p>
    <w:p>
      <w:pPr>
        <w:ind w:left="290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w:t>
      </w:r>
    </w:p>
    <w:p>
      <w:pPr>
        <w:spacing w:after="0" w:line="19" w:lineRule="exact"/>
        <w:rPr>
          <w:sz w:val="24"/>
          <w:szCs w:val="24"/>
          <w:color w:val="auto"/>
        </w:rPr>
      </w:pPr>
    </w:p>
    <w:p>
      <w:pPr>
        <w:ind w:left="180" w:right="2480"/>
        <w:spacing w:after="0" w:line="24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o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Indicated by check mark if the registrant is not required to file reports pursuant to Section 13 or Section 15(d) of the Act. Yes o No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firstLine="16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1" w:lineRule="exact"/>
        <w:rPr>
          <w:sz w:val="24"/>
          <w:szCs w:val="24"/>
          <w:color w:val="auto"/>
        </w:rPr>
      </w:pPr>
    </w:p>
    <w:p>
      <w:pPr>
        <w:jc w:val="both"/>
        <w:ind w:firstLine="16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1"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1" w:lineRule="exact"/>
        <w:rPr>
          <w:sz w:val="24"/>
          <w:szCs w:val="24"/>
          <w:color w:val="auto"/>
        </w:rPr>
      </w:pPr>
    </w:p>
    <w:p>
      <w:pPr>
        <w:jc w:val="both"/>
        <w:ind w:firstLine="162"/>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sectPr>
      </w:pPr>
    </w:p>
    <w:p>
      <w:pPr>
        <w:spacing w:after="0" w:line="240" w:lineRule="exact"/>
        <w:rPr>
          <w:sz w:val="24"/>
          <w:szCs w:val="24"/>
          <w:color w:val="auto"/>
        </w:rPr>
      </w:pPr>
    </w:p>
    <w:p>
      <w:pPr>
        <w:ind w:left="24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jc w:val="center"/>
        <w:ind w:right="104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 o</w:t>
      </w:r>
    </w:p>
    <w:p>
      <w:pPr>
        <w:spacing w:after="0" w:line="63" w:lineRule="exact"/>
        <w:rPr>
          <w:sz w:val="24"/>
          <w:szCs w:val="24"/>
          <w:color w:val="auto"/>
        </w:rPr>
      </w:pPr>
    </w:p>
    <w:p>
      <w:pPr>
        <w:sectPr>
          <w:pgSz w:w="11900" w:h="16838" w:orient="portrait"/>
          <w:cols w:equalWidth="0" w:num="4">
            <w:col w:w="2140" w:space="720"/>
            <w:col w:w="2260" w:space="720"/>
            <w:col w:w="2540" w:space="720"/>
            <w:col w:w="2320"/>
          </w:cols>
          <w:pgMar w:left="240" w:top="225" w:right="239" w:bottom="1440" w:gutter="0" w:footer="0" w:header="0"/>
          <w:type w:val="continuous"/>
        </w:sectPr>
      </w:pPr>
    </w:p>
    <w:p>
      <w:pPr>
        <w:ind w:left="5280"/>
        <w:spacing w:after="0"/>
        <w:rPr>
          <w:sz w:val="20"/>
          <w:szCs w:val="20"/>
          <w:color w:val="auto"/>
        </w:rPr>
      </w:pPr>
      <w:r>
        <w:rPr>
          <w:rFonts w:ascii="Arial" w:cs="Arial" w:eastAsia="Arial" w:hAnsi="Arial"/>
          <w:sz w:val="13"/>
          <w:szCs w:val="13"/>
          <w:color w:val="auto"/>
        </w:rPr>
        <w:t>(Do not check if a smaller reporting company)</w:t>
      </w:r>
    </w:p>
    <w:p>
      <w:pPr>
        <w:sectPr>
          <w:pgSz w:w="11900" w:h="16838" w:orient="portrait"/>
          <w:cols w:equalWidth="0" w:num="1">
            <w:col w:w="11420"/>
          </w:cols>
          <w:pgMar w:left="240" w:top="225" w:right="239" w:bottom="1440" w:gutter="0" w:footer="0" w:header="0"/>
          <w:type w:val="continuous"/>
        </w:sectPr>
      </w:pPr>
    </w:p>
    <w:p>
      <w:pPr>
        <w:spacing w:after="0" w:line="4" w:lineRule="exact"/>
        <w:rPr>
          <w:sz w:val="24"/>
          <w:szCs w:val="24"/>
          <w:color w:val="auto"/>
        </w:rPr>
      </w:pPr>
    </w:p>
    <w:p>
      <w:pPr>
        <w:jc w:val="center"/>
        <w:ind w:left="18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4" w:lineRule="exact"/>
        <w:rPr>
          <w:sz w:val="24"/>
          <w:szCs w:val="24"/>
          <w:color w:val="auto"/>
        </w:rPr>
      </w:pPr>
    </w:p>
    <w:p>
      <w:pPr>
        <w:sectPr>
          <w:pgSz w:w="11900" w:h="16838" w:orient="portrait"/>
          <w:cols w:equalWidth="0" w:num="2">
            <w:col w:w="7300" w:space="160"/>
            <w:col w:w="3960"/>
          </w:cols>
          <w:pgMar w:left="240" w:top="225" w:right="239" w:bottom="1440" w:gutter="0" w:footer="0" w:header="0"/>
          <w:type w:val="continuous"/>
        </w:sectPr>
      </w:pPr>
    </w:p>
    <w:p>
      <w:pPr>
        <w:jc w:val="both"/>
        <w:ind w:firstLine="162"/>
        <w:spacing w:after="0" w:line="261" w:lineRule="auto"/>
        <w:rPr>
          <w:sz w:val="20"/>
          <w:szCs w:val="20"/>
          <w:color w:val="auto"/>
        </w:rPr>
      </w:pPr>
      <w:r>
        <w:rPr>
          <w:rFonts w:ascii="Arial" w:cs="Arial" w:eastAsia="Arial" w:hAnsi="Arial"/>
          <w:sz w:val="16"/>
          <w:szCs w:val="16"/>
          <w:color w:val="auto"/>
        </w:rPr>
        <w:t>The aggregate market value of the voting common stock held by non-affiliates of the Registrant as of June 30, 2015 was $529,203,778. For the purposes of the foregoing calculation only, all directors and executive officers of the Registrant and third parties that own 5% or more of the voting common stock are assumed to be affiliates of the Registrant.</w:t>
      </w:r>
    </w:p>
    <w:p>
      <w:pPr>
        <w:spacing w:after="0" w:line="21"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February 19, 2016, there were 11,876,144 shares of the Registrant's common stock, par value $.01 per share, outstanding.</w:t>
      </w:r>
    </w:p>
    <w:p>
      <w:pPr>
        <w:spacing w:after="0" w:line="109"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left="180"/>
        <w:spacing w:after="0"/>
        <w:rPr>
          <w:sz w:val="20"/>
          <w:szCs w:val="20"/>
          <w:color w:val="auto"/>
        </w:rPr>
      </w:pPr>
      <w:r>
        <w:rPr>
          <w:rFonts w:ascii="Arial" w:cs="Arial" w:eastAsia="Arial" w:hAnsi="Arial"/>
          <w:sz w:val="16"/>
          <w:szCs w:val="16"/>
          <w:color w:val="auto"/>
        </w:rPr>
        <w:t>Portions of the Registrant's proxy statement for its 2016 Annual Meeting of Stockholders are incorporated by reference into Part III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140" w:type="dxa"/>
            <w:vAlign w:val="bottom"/>
            <w:gridSpan w:val="17"/>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0"/>
                <w:szCs w:val="20"/>
                <w:color w:val="auto"/>
              </w:rPr>
            </w:pPr>
          </w:p>
        </w:tc>
      </w:tr>
      <w:tr>
        <w:trPr>
          <w:trHeight w:val="534"/>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189"/>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0000EE"/>
            </w:tcBorders>
            <w:gridSpan w:val="3"/>
          </w:tcPr>
          <w:p>
            <w:pPr>
              <w:jc w:val="cente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380" w:type="dxa"/>
            <w:vAlign w:val="bottom"/>
            <w:gridSpan w:val="9"/>
          </w:tcPr>
          <w:p>
            <w:pPr>
              <w:spacing w:after="0"/>
              <w:rPr>
                <w:sz w:val="16"/>
                <w:szCs w:val="16"/>
                <w:color w:val="auto"/>
              </w:rPr>
            </w:pPr>
          </w:p>
        </w:tc>
        <w:tc>
          <w:tcPr>
            <w:tcW w:w="1020" w:type="dxa"/>
            <w:vAlign w:val="bottom"/>
          </w:tcPr>
          <w:p>
            <w:pPr>
              <w:spacing w:after="0"/>
              <w:rPr>
                <w:sz w:val="16"/>
                <w:szCs w:val="16"/>
                <w:color w:val="auto"/>
              </w:rPr>
            </w:pPr>
          </w:p>
        </w:tc>
      </w:tr>
      <w:tr>
        <w:trPr>
          <w:trHeight w:val="264"/>
        </w:trPr>
        <w:tc>
          <w:tcPr>
            <w:tcW w:w="540" w:type="dxa"/>
            <w:vAlign w:val="bottom"/>
          </w:tcPr>
          <w:p>
            <w:pP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Item 1.</w:t>
              </w:r>
            </w:hyperlink>
          </w:p>
        </w:tc>
        <w:tc>
          <w:tcPr>
            <w:tcW w:w="600" w:type="dxa"/>
            <w:vAlign w:val="bottom"/>
            <w:gridSpan w:val="4"/>
          </w:tcPr>
          <w:p>
            <w:pPr>
              <w:spacing w:after="0"/>
              <w:rPr>
                <w:sz w:val="22"/>
                <w:szCs w:val="22"/>
                <w:color w:val="auto"/>
              </w:rPr>
            </w:pPr>
          </w:p>
        </w:tc>
        <w:tc>
          <w:tcPr>
            <w:tcW w:w="9220" w:type="dxa"/>
            <w:vAlign w:val="bottom"/>
            <w:gridSpan w:val="2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Business</w:t>
              </w:r>
            </w:hyperlink>
          </w:p>
        </w:tc>
        <w:tc>
          <w:tcPr>
            <w:tcW w:w="1020" w:type="dxa"/>
            <w:vAlign w:val="bottom"/>
          </w:tcPr>
          <w:p>
            <w:pPr>
              <w:jc w:val="right"/>
              <w:ind w:right="171"/>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w w:val="94"/>
              </w:rPr>
            </w:pPr>
            <w:hyperlink w:anchor="page8">
              <w:r>
                <w:rPr>
                  <w:rFonts w:ascii="Arial" w:cs="Arial" w:eastAsia="Arial" w:hAnsi="Arial"/>
                  <w:sz w:val="18"/>
                  <w:szCs w:val="18"/>
                  <w:b w:val="1"/>
                  <w:bCs w:val="1"/>
                  <w:color w:val="0000EE"/>
                  <w:w w:val="94"/>
                </w:rPr>
                <w:t>Item 1A.</w:t>
              </w:r>
            </w:hyperlink>
          </w:p>
        </w:tc>
        <w:tc>
          <w:tcPr>
            <w:tcW w:w="460" w:type="dxa"/>
            <w:vAlign w:val="bottom"/>
          </w:tcPr>
          <w:p>
            <w:pPr>
              <w:spacing w:after="0"/>
              <w:rPr>
                <w:sz w:val="21"/>
                <w:szCs w:val="21"/>
                <w:color w:val="auto"/>
              </w:rPr>
            </w:pPr>
          </w:p>
        </w:tc>
        <w:tc>
          <w:tcPr>
            <w:tcW w:w="98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Risk Factors</w:t>
              </w:r>
            </w:hyperlink>
          </w:p>
        </w:tc>
        <w:tc>
          <w:tcPr>
            <w:tcW w:w="8240" w:type="dxa"/>
            <w:vAlign w:val="bottom"/>
            <w:gridSpan w:val="25"/>
          </w:tcPr>
          <w:p>
            <w:pPr>
              <w:spacing w:after="0"/>
              <w:rPr>
                <w:sz w:val="21"/>
                <w:szCs w:val="21"/>
                <w:color w:val="auto"/>
              </w:rPr>
            </w:pPr>
          </w:p>
        </w:tc>
        <w:tc>
          <w:tcPr>
            <w:tcW w:w="1020" w:type="dxa"/>
            <w:vAlign w:val="bottom"/>
          </w:tcPr>
          <w:p>
            <w:pPr>
              <w:jc w:val="right"/>
              <w:ind w:right="171"/>
              <w:spacing w:after="0"/>
              <w:rPr>
                <w:rFonts w:ascii="Arial" w:cs="Arial" w:eastAsia="Arial" w:hAnsi="Arial"/>
                <w:sz w:val="18"/>
                <w:szCs w:val="18"/>
                <w:color w:val="auto"/>
              </w:rPr>
            </w:pPr>
            <w:hyperlink w:anchor="page8">
              <w:r>
                <w:rPr>
                  <w:rFonts w:ascii="Arial" w:cs="Arial" w:eastAsia="Arial" w:hAnsi="Arial"/>
                  <w:sz w:val="18"/>
                  <w:szCs w:val="18"/>
                  <w:color w:val="auto"/>
                </w:rPr>
                <w:t>9</w:t>
              </w:r>
            </w:hyperlink>
          </w:p>
        </w:tc>
      </w:tr>
      <w:tr>
        <w:trPr>
          <w:trHeight w:val="250"/>
        </w:trPr>
        <w:tc>
          <w:tcPr>
            <w:tcW w:w="660" w:type="dxa"/>
            <w:vAlign w:val="bottom"/>
            <w:tcBorders>
              <w:bottom w:val="single" w:sz="8" w:color="0000EE"/>
            </w:tcBorders>
            <w:gridSpan w:val="3"/>
          </w:tcPr>
          <w:p>
            <w:pPr>
              <w:spacing w:after="0"/>
              <w:rPr>
                <w:rFonts w:ascii="Arial" w:cs="Arial" w:eastAsia="Arial" w:hAnsi="Arial"/>
                <w:sz w:val="18"/>
                <w:szCs w:val="18"/>
                <w:b w:val="1"/>
                <w:bCs w:val="1"/>
                <w:color w:val="0000EE"/>
                <w:w w:val="91"/>
              </w:rPr>
            </w:pPr>
            <w:hyperlink w:anchor="page20">
              <w:r>
                <w:rPr>
                  <w:rFonts w:ascii="Arial" w:cs="Arial" w:eastAsia="Arial" w:hAnsi="Arial"/>
                  <w:sz w:val="18"/>
                  <w:szCs w:val="18"/>
                  <w:b w:val="1"/>
                  <w:bCs w:val="1"/>
                  <w:color w:val="0000EE"/>
                  <w:w w:val="91"/>
                </w:rPr>
                <w:t>Item 1B.</w:t>
              </w:r>
            </w:hyperlink>
          </w:p>
        </w:tc>
        <w:tc>
          <w:tcPr>
            <w:tcW w:w="480" w:type="dxa"/>
            <w:vAlign w:val="bottom"/>
            <w:gridSpan w:val="2"/>
          </w:tcPr>
          <w:p>
            <w:pPr>
              <w:spacing w:after="0"/>
              <w:rPr>
                <w:sz w:val="21"/>
                <w:szCs w:val="21"/>
                <w:color w:val="auto"/>
              </w:rPr>
            </w:pPr>
          </w:p>
        </w:tc>
        <w:tc>
          <w:tcPr>
            <w:tcW w:w="2160" w:type="dxa"/>
            <w:vAlign w:val="bottom"/>
            <w:tcBorders>
              <w:bottom w:val="single" w:sz="8" w:color="0000EE"/>
            </w:tcBorders>
            <w:gridSpan w:val="10"/>
          </w:tcPr>
          <w:p>
            <w:pPr>
              <w:spacing w:after="0"/>
              <w:rPr>
                <w:rFonts w:ascii="Arial" w:cs="Arial" w:eastAsia="Arial" w:hAnsi="Arial"/>
                <w:sz w:val="18"/>
                <w:szCs w:val="18"/>
                <w:b w:val="1"/>
                <w:bCs w:val="1"/>
                <w:color w:val="0000EE"/>
                <w:w w:val="88"/>
              </w:rPr>
            </w:pPr>
            <w:hyperlink w:anchor="page20">
              <w:r>
                <w:rPr>
                  <w:rFonts w:ascii="Arial" w:cs="Arial" w:eastAsia="Arial" w:hAnsi="Arial"/>
                  <w:sz w:val="18"/>
                  <w:szCs w:val="18"/>
                  <w:b w:val="1"/>
                  <w:bCs w:val="1"/>
                  <w:color w:val="0000EE"/>
                  <w:w w:val="88"/>
                </w:rPr>
                <w:t>Unresolved Staff Comments</w:t>
              </w:r>
            </w:hyperlink>
          </w:p>
        </w:tc>
        <w:tc>
          <w:tcPr>
            <w:tcW w:w="7060" w:type="dxa"/>
            <w:vAlign w:val="bottom"/>
            <w:gridSpan w:val="18"/>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0">
              <w:r>
                <w:rPr>
                  <w:rFonts w:ascii="Arial" w:cs="Arial" w:eastAsia="Arial" w:hAnsi="Arial"/>
                  <w:sz w:val="18"/>
                  <w:szCs w:val="18"/>
                  <w:b w:val="1"/>
                  <w:bCs w:val="1"/>
                  <w:color w:val="0000EE"/>
                  <w:w w:val="91"/>
                </w:rPr>
                <w:t>Item 2.</w:t>
              </w:r>
            </w:hyperlink>
          </w:p>
        </w:tc>
        <w:tc>
          <w:tcPr>
            <w:tcW w:w="600" w:type="dxa"/>
            <w:vAlign w:val="bottom"/>
            <w:gridSpan w:val="4"/>
          </w:tcPr>
          <w:p>
            <w:pPr>
              <w:spacing w:after="0"/>
              <w:rPr>
                <w:sz w:val="21"/>
                <w:szCs w:val="21"/>
                <w:color w:val="auto"/>
              </w:rPr>
            </w:pPr>
          </w:p>
        </w:tc>
        <w:tc>
          <w:tcPr>
            <w:tcW w:w="800" w:type="dxa"/>
            <w:vAlign w:val="bottom"/>
            <w:tcBorders>
              <w:bottom w:val="single" w:sz="8" w:color="0000EE"/>
            </w:tcBorders>
            <w:gridSpan w:val="2"/>
          </w:tcPr>
          <w:p>
            <w:pPr>
              <w:spacing w:after="0"/>
              <w:rPr>
                <w:rFonts w:ascii="Arial" w:cs="Arial" w:eastAsia="Arial" w:hAnsi="Arial"/>
                <w:sz w:val="18"/>
                <w:szCs w:val="18"/>
                <w:b w:val="1"/>
                <w:bCs w:val="1"/>
                <w:color w:val="0000EE"/>
                <w:w w:val="87"/>
              </w:rPr>
            </w:pPr>
            <w:hyperlink w:anchor="page20">
              <w:r>
                <w:rPr>
                  <w:rFonts w:ascii="Arial" w:cs="Arial" w:eastAsia="Arial" w:hAnsi="Arial"/>
                  <w:sz w:val="18"/>
                  <w:szCs w:val="18"/>
                  <w:b w:val="1"/>
                  <w:bCs w:val="1"/>
                  <w:color w:val="0000EE"/>
                  <w:w w:val="87"/>
                </w:rPr>
                <w:t>Properties</w:t>
              </w:r>
            </w:hyperlink>
          </w:p>
        </w:tc>
        <w:tc>
          <w:tcPr>
            <w:tcW w:w="8420" w:type="dxa"/>
            <w:vAlign w:val="bottom"/>
            <w:gridSpan w:val="26"/>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20">
              <w:r>
                <w:rPr>
                  <w:rFonts w:ascii="Arial" w:cs="Arial" w:eastAsia="Arial" w:hAnsi="Arial"/>
                  <w:sz w:val="18"/>
                  <w:szCs w:val="18"/>
                  <w:b w:val="1"/>
                  <w:bCs w:val="1"/>
                  <w:color w:val="0000EE"/>
                  <w:w w:val="91"/>
                </w:rPr>
                <w:t>Item 3.</w:t>
              </w:r>
            </w:hyperlink>
          </w:p>
        </w:tc>
        <w:tc>
          <w:tcPr>
            <w:tcW w:w="600" w:type="dxa"/>
            <w:vAlign w:val="bottom"/>
            <w:gridSpan w:val="4"/>
          </w:tcPr>
          <w:p>
            <w:pPr>
              <w:spacing w:after="0"/>
              <w:rPr>
                <w:sz w:val="21"/>
                <w:szCs w:val="21"/>
                <w:color w:val="auto"/>
              </w:rPr>
            </w:pPr>
          </w:p>
        </w:tc>
        <w:tc>
          <w:tcPr>
            <w:tcW w:w="9220" w:type="dxa"/>
            <w:vAlign w:val="bottom"/>
            <w:gridSpan w:val="28"/>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Legal Proceedings</w:t>
              </w:r>
            </w:hyperlink>
          </w:p>
        </w:tc>
        <w:tc>
          <w:tcPr>
            <w:tcW w:w="1020" w:type="dxa"/>
            <w:vAlign w:val="bottom"/>
          </w:tcPr>
          <w:p>
            <w:pPr>
              <w:jc w:val="right"/>
              <w:ind w:right="191"/>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20">
              <w:r>
                <w:rPr>
                  <w:rFonts w:ascii="Arial" w:cs="Arial" w:eastAsia="Arial" w:hAnsi="Arial"/>
                  <w:sz w:val="18"/>
                  <w:szCs w:val="18"/>
                  <w:b w:val="1"/>
                  <w:bCs w:val="1"/>
                  <w:color w:val="0000EE"/>
                  <w:w w:val="91"/>
                </w:rPr>
                <w:t>Item 4.</w:t>
              </w:r>
            </w:hyperlink>
          </w:p>
        </w:tc>
        <w:tc>
          <w:tcPr>
            <w:tcW w:w="600" w:type="dxa"/>
            <w:vAlign w:val="bottom"/>
            <w:gridSpan w:val="4"/>
          </w:tcPr>
          <w:p>
            <w:pPr>
              <w:spacing w:after="0"/>
              <w:rPr>
                <w:sz w:val="21"/>
                <w:szCs w:val="21"/>
                <w:color w:val="auto"/>
              </w:rPr>
            </w:pPr>
          </w:p>
        </w:tc>
        <w:tc>
          <w:tcPr>
            <w:tcW w:w="9220" w:type="dxa"/>
            <w:vAlign w:val="bottom"/>
            <w:gridSpan w:val="28"/>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Mine Safety Disclosures</w:t>
              </w:r>
            </w:hyperlink>
          </w:p>
        </w:tc>
        <w:tc>
          <w:tcPr>
            <w:tcW w:w="1020" w:type="dxa"/>
            <w:vAlign w:val="bottom"/>
          </w:tcPr>
          <w:p>
            <w:pPr>
              <w:jc w:val="right"/>
              <w:ind w:right="191"/>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574"/>
        </w:trPr>
        <w:tc>
          <w:tcPr>
            <w:tcW w:w="5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3"/>
          </w:tcPr>
          <w:p>
            <w:pPr>
              <w:jc w:val="center"/>
              <w:ind w:right="4360"/>
              <w:spacing w:after="0"/>
              <w:rPr>
                <w:rFonts w:ascii="Arial" w:cs="Arial" w:eastAsia="Arial" w:hAnsi="Arial"/>
                <w:sz w:val="18"/>
                <w:szCs w:val="18"/>
                <w:b w:val="1"/>
                <w:bCs w:val="1"/>
                <w:color w:val="0000EE"/>
                <w:w w:val="99"/>
              </w:rPr>
            </w:pPr>
            <w:hyperlink w:anchor="page20">
              <w:r>
                <w:rPr>
                  <w:rFonts w:ascii="Arial" w:cs="Arial" w:eastAsia="Arial" w:hAnsi="Arial"/>
                  <w:sz w:val="18"/>
                  <w:szCs w:val="18"/>
                  <w:b w:val="1"/>
                  <w:bCs w:val="1"/>
                  <w:color w:val="0000EE"/>
                  <w:w w:val="99"/>
                </w:rPr>
                <w:t>PART II</w:t>
              </w:r>
            </w:hyperlink>
          </w:p>
        </w:tc>
        <w:tc>
          <w:tcPr>
            <w:tcW w:w="1020" w:type="dxa"/>
            <w:vAlign w:val="bottom"/>
          </w:tcPr>
          <w:p>
            <w:pPr>
              <w:spacing w:after="0"/>
              <w:rPr>
                <w:sz w:val="24"/>
                <w:szCs w:val="24"/>
                <w:color w:val="auto"/>
              </w:rPr>
            </w:pPr>
          </w:p>
        </w:tc>
      </w:tr>
      <w:tr>
        <w:trPr>
          <w:trHeight w:val="20"/>
        </w:trPr>
        <w:tc>
          <w:tcPr>
            <w:tcW w:w="6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1">
              <w:r>
                <w:rPr>
                  <w:rFonts w:ascii="Arial" w:cs="Arial" w:eastAsia="Arial" w:hAnsi="Arial"/>
                  <w:sz w:val="18"/>
                  <w:szCs w:val="18"/>
                  <w:b w:val="1"/>
                  <w:bCs w:val="1"/>
                  <w:color w:val="0000EE"/>
                  <w:w w:val="91"/>
                </w:rPr>
                <w:t>Item 5.</w:t>
              </w:r>
            </w:hyperlink>
          </w:p>
        </w:tc>
        <w:tc>
          <w:tcPr>
            <w:tcW w:w="600" w:type="dxa"/>
            <w:vAlign w:val="bottom"/>
            <w:gridSpan w:val="4"/>
          </w:tcPr>
          <w:p>
            <w:pPr>
              <w:spacing w:after="0"/>
              <w:rPr>
                <w:sz w:val="21"/>
                <w:szCs w:val="21"/>
                <w:color w:val="auto"/>
              </w:rPr>
            </w:pPr>
          </w:p>
        </w:tc>
        <w:tc>
          <w:tcPr>
            <w:tcW w:w="8680" w:type="dxa"/>
            <w:vAlign w:val="bottom"/>
            <w:tcBorders>
              <w:bottom w:val="single" w:sz="8" w:color="0000EE"/>
            </w:tcBorders>
            <w:gridSpan w:val="27"/>
          </w:tcPr>
          <w:p>
            <w:pPr>
              <w:spacing w:after="0"/>
              <w:rPr>
                <w:rFonts w:ascii="Arial" w:cs="Arial" w:eastAsia="Arial" w:hAnsi="Arial"/>
                <w:sz w:val="18"/>
                <w:szCs w:val="18"/>
                <w:b w:val="1"/>
                <w:bCs w:val="1"/>
                <w:color w:val="0000EE"/>
                <w:w w:val="90"/>
              </w:rPr>
            </w:pPr>
            <w:hyperlink w:anchor="page21">
              <w:r>
                <w:rPr>
                  <w:rFonts w:ascii="Arial" w:cs="Arial" w:eastAsia="Arial" w:hAnsi="Arial"/>
                  <w:sz w:val="18"/>
                  <w:szCs w:val="18"/>
                  <w:b w:val="1"/>
                  <w:bCs w:val="1"/>
                  <w:color w:val="0000EE"/>
                  <w:w w:val="90"/>
                </w:rPr>
                <w:t>Market for Registrant's Common Equity, Related Stockholder Matters and Issuer Purchases of Equity Securities</w:t>
              </w:r>
            </w:hyperlink>
          </w:p>
        </w:tc>
        <w:tc>
          <w:tcPr>
            <w:tcW w:w="540" w:type="dxa"/>
            <w:vAlign w:val="bottom"/>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3">
              <w:r>
                <w:rPr>
                  <w:rFonts w:ascii="Arial" w:cs="Arial" w:eastAsia="Arial" w:hAnsi="Arial"/>
                  <w:sz w:val="18"/>
                  <w:szCs w:val="18"/>
                  <w:b w:val="1"/>
                  <w:bCs w:val="1"/>
                  <w:color w:val="0000EE"/>
                  <w:w w:val="91"/>
                </w:rPr>
                <w:t>Item 6.</w:t>
              </w:r>
            </w:hyperlink>
          </w:p>
        </w:tc>
        <w:tc>
          <w:tcPr>
            <w:tcW w:w="600" w:type="dxa"/>
            <w:vAlign w:val="bottom"/>
            <w:gridSpan w:val="4"/>
          </w:tcPr>
          <w:p>
            <w:pPr>
              <w:spacing w:after="0"/>
              <w:rPr>
                <w:sz w:val="21"/>
                <w:szCs w:val="21"/>
                <w:color w:val="auto"/>
              </w:rPr>
            </w:pPr>
          </w:p>
        </w:tc>
        <w:tc>
          <w:tcPr>
            <w:tcW w:w="1820" w:type="dxa"/>
            <w:vAlign w:val="bottom"/>
            <w:tcBorders>
              <w:bottom w:val="single" w:sz="8" w:color="0000EE"/>
            </w:tcBorders>
            <w:gridSpan w:val="6"/>
          </w:tcPr>
          <w:p>
            <w:pPr>
              <w:spacing w:after="0"/>
              <w:rPr>
                <w:rFonts w:ascii="Arial" w:cs="Arial" w:eastAsia="Arial" w:hAnsi="Arial"/>
                <w:sz w:val="18"/>
                <w:szCs w:val="18"/>
                <w:b w:val="1"/>
                <w:bCs w:val="1"/>
                <w:color w:val="0000EE"/>
                <w:w w:val="89"/>
              </w:rPr>
            </w:pPr>
            <w:hyperlink w:anchor="page23">
              <w:r>
                <w:rPr>
                  <w:rFonts w:ascii="Arial" w:cs="Arial" w:eastAsia="Arial" w:hAnsi="Arial"/>
                  <w:sz w:val="18"/>
                  <w:szCs w:val="18"/>
                  <w:b w:val="1"/>
                  <w:bCs w:val="1"/>
                  <w:color w:val="0000EE"/>
                  <w:w w:val="89"/>
                </w:rPr>
                <w:t>Selected Financial Data</w:t>
              </w:r>
            </w:hyperlink>
          </w:p>
        </w:tc>
        <w:tc>
          <w:tcPr>
            <w:tcW w:w="7400" w:type="dxa"/>
            <w:vAlign w:val="bottom"/>
            <w:gridSpan w:val="22"/>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23">
              <w:r>
                <w:rPr>
                  <w:rFonts w:ascii="Arial" w:cs="Arial" w:eastAsia="Arial" w:hAnsi="Arial"/>
                  <w:sz w:val="18"/>
                  <w:szCs w:val="18"/>
                  <w:color w:val="auto"/>
                </w:rPr>
                <w:t>24</w:t>
              </w:r>
            </w:hyperlink>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4">
              <w:r>
                <w:rPr>
                  <w:rFonts w:ascii="Arial" w:cs="Arial" w:eastAsia="Arial" w:hAnsi="Arial"/>
                  <w:sz w:val="18"/>
                  <w:szCs w:val="18"/>
                  <w:b w:val="1"/>
                  <w:bCs w:val="1"/>
                  <w:color w:val="0000EE"/>
                  <w:w w:val="91"/>
                </w:rPr>
                <w:t>Item 7.</w:t>
              </w:r>
            </w:hyperlink>
          </w:p>
        </w:tc>
        <w:tc>
          <w:tcPr>
            <w:tcW w:w="600" w:type="dxa"/>
            <w:vAlign w:val="bottom"/>
            <w:gridSpan w:val="4"/>
          </w:tcPr>
          <w:p>
            <w:pPr>
              <w:spacing w:after="0"/>
              <w:rPr>
                <w:sz w:val="21"/>
                <w:szCs w:val="21"/>
                <w:color w:val="auto"/>
              </w:rPr>
            </w:pPr>
          </w:p>
        </w:tc>
        <w:tc>
          <w:tcPr>
            <w:tcW w:w="6840" w:type="dxa"/>
            <w:vAlign w:val="bottom"/>
            <w:tcBorders>
              <w:bottom w:val="single" w:sz="8" w:color="0000EE"/>
            </w:tcBorders>
            <w:gridSpan w:val="24"/>
          </w:tcPr>
          <w:p>
            <w:pPr>
              <w:spacing w:after="0"/>
              <w:rPr>
                <w:rFonts w:ascii="Arial" w:cs="Arial" w:eastAsia="Arial" w:hAnsi="Arial"/>
                <w:sz w:val="18"/>
                <w:szCs w:val="18"/>
                <w:b w:val="1"/>
                <w:bCs w:val="1"/>
                <w:color w:val="0000EE"/>
                <w:w w:val="89"/>
              </w:rPr>
            </w:pPr>
            <w:hyperlink w:anchor="page24">
              <w:r>
                <w:rPr>
                  <w:rFonts w:ascii="Arial" w:cs="Arial" w:eastAsia="Arial" w:hAnsi="Arial"/>
                  <w:sz w:val="18"/>
                  <w:szCs w:val="18"/>
                  <w:b w:val="1"/>
                  <w:bCs w:val="1"/>
                  <w:color w:val="0000EE"/>
                  <w:w w:val="89"/>
                </w:rPr>
                <w:t>Management's Discussion and Analysis of Financial Condition and Results of Operations</w:t>
              </w:r>
            </w:hyperlink>
          </w:p>
        </w:tc>
        <w:tc>
          <w:tcPr>
            <w:tcW w:w="2380" w:type="dxa"/>
            <w:vAlign w:val="bottom"/>
            <w:gridSpan w:val="4"/>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24">
              <w:r>
                <w:rPr>
                  <w:rFonts w:ascii="Arial" w:cs="Arial" w:eastAsia="Arial" w:hAnsi="Arial"/>
                  <w:sz w:val="18"/>
                  <w:szCs w:val="18"/>
                  <w:color w:val="auto"/>
                </w:rPr>
                <w:t>25</w:t>
              </w:r>
            </w:hyperlink>
          </w:p>
        </w:tc>
      </w:tr>
      <w:tr>
        <w:trPr>
          <w:trHeight w:val="250"/>
        </w:trPr>
        <w:tc>
          <w:tcPr>
            <w:tcW w:w="680" w:type="dxa"/>
            <w:vAlign w:val="bottom"/>
            <w:gridSpan w:val="4"/>
          </w:tcPr>
          <w:p>
            <w:pPr>
              <w:spacing w:after="0"/>
              <w:rPr>
                <w:rFonts w:ascii="Arial" w:cs="Arial" w:eastAsia="Arial" w:hAnsi="Arial"/>
                <w:sz w:val="18"/>
                <w:szCs w:val="18"/>
                <w:b w:val="1"/>
                <w:bCs w:val="1"/>
                <w:color w:val="0000EE"/>
                <w:w w:val="94"/>
              </w:rPr>
            </w:pPr>
            <w:hyperlink w:anchor="page35">
              <w:r>
                <w:rPr>
                  <w:rFonts w:ascii="Arial" w:cs="Arial" w:eastAsia="Arial" w:hAnsi="Arial"/>
                  <w:sz w:val="18"/>
                  <w:szCs w:val="18"/>
                  <w:b w:val="1"/>
                  <w:bCs w:val="1"/>
                  <w:color w:val="0000EE"/>
                  <w:w w:val="94"/>
                </w:rPr>
                <w:t>Item 7A.</w:t>
              </w:r>
            </w:hyperlink>
          </w:p>
        </w:tc>
        <w:tc>
          <w:tcPr>
            <w:tcW w:w="460" w:type="dxa"/>
            <w:vAlign w:val="bottom"/>
          </w:tcPr>
          <w:p>
            <w:pPr>
              <w:spacing w:after="0"/>
              <w:rPr>
                <w:sz w:val="21"/>
                <w:szCs w:val="21"/>
                <w:color w:val="auto"/>
              </w:rPr>
            </w:pPr>
          </w:p>
        </w:tc>
        <w:tc>
          <w:tcPr>
            <w:tcW w:w="9220" w:type="dxa"/>
            <w:vAlign w:val="bottom"/>
            <w:gridSpan w:val="28"/>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Quantitative and Qualitative Disclosures about Market Risk</w:t>
              </w:r>
            </w:hyperlink>
          </w:p>
        </w:tc>
        <w:tc>
          <w:tcPr>
            <w:tcW w:w="1020" w:type="dxa"/>
            <w:vAlign w:val="bottom"/>
          </w:tcPr>
          <w:p>
            <w:pPr>
              <w:jc w:val="right"/>
              <w:ind w:right="191"/>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50"/>
        </w:trPr>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35">
              <w:r>
                <w:rPr>
                  <w:rFonts w:ascii="Arial" w:cs="Arial" w:eastAsia="Arial" w:hAnsi="Arial"/>
                  <w:sz w:val="18"/>
                  <w:szCs w:val="18"/>
                  <w:b w:val="1"/>
                  <w:bCs w:val="1"/>
                  <w:color w:val="0000EE"/>
                  <w:w w:val="91"/>
                </w:rPr>
                <w:t>Item 8.</w:t>
              </w:r>
            </w:hyperlink>
          </w:p>
        </w:tc>
        <w:tc>
          <w:tcPr>
            <w:tcW w:w="140" w:type="dxa"/>
            <w:vAlign w:val="bottom"/>
            <w:tcBorders>
              <w:top w:val="single" w:sz="8" w:color="0000EE"/>
            </w:tcBorders>
            <w:gridSpan w:val="3"/>
          </w:tcPr>
          <w:p>
            <w:pPr>
              <w:spacing w:after="0"/>
              <w:rPr>
                <w:sz w:val="21"/>
                <w:szCs w:val="21"/>
                <w:color w:val="auto"/>
              </w:rPr>
            </w:pPr>
          </w:p>
        </w:tc>
        <w:tc>
          <w:tcPr>
            <w:tcW w:w="460" w:type="dxa"/>
            <w:vAlign w:val="bottom"/>
          </w:tcPr>
          <w:p>
            <w:pPr>
              <w:spacing w:after="0"/>
              <w:rPr>
                <w:sz w:val="21"/>
                <w:szCs w:val="21"/>
                <w:color w:val="auto"/>
              </w:rPr>
            </w:pPr>
          </w:p>
        </w:tc>
        <w:tc>
          <w:tcPr>
            <w:tcW w:w="3600" w:type="dxa"/>
            <w:vAlign w:val="bottom"/>
            <w:tcBorders>
              <w:top w:val="single" w:sz="8" w:color="0000EE"/>
              <w:bottom w:val="single" w:sz="8" w:color="0000EE"/>
            </w:tcBorders>
            <w:gridSpan w:val="12"/>
          </w:tcPr>
          <w:p>
            <w:pPr>
              <w:spacing w:after="0"/>
              <w:rPr>
                <w:rFonts w:ascii="Arial" w:cs="Arial" w:eastAsia="Arial" w:hAnsi="Arial"/>
                <w:sz w:val="18"/>
                <w:szCs w:val="18"/>
                <w:b w:val="1"/>
                <w:bCs w:val="1"/>
                <w:color w:val="0000EE"/>
                <w:w w:val="90"/>
              </w:rPr>
            </w:pPr>
            <w:hyperlink w:anchor="page35">
              <w:r>
                <w:rPr>
                  <w:rFonts w:ascii="Arial" w:cs="Arial" w:eastAsia="Arial" w:hAnsi="Arial"/>
                  <w:sz w:val="18"/>
                  <w:szCs w:val="18"/>
                  <w:b w:val="1"/>
                  <w:bCs w:val="1"/>
                  <w:color w:val="0000EE"/>
                  <w:w w:val="90"/>
                </w:rPr>
                <w:t>Financial Statements and Supplementary Data</w:t>
              </w:r>
            </w:hyperlink>
          </w:p>
        </w:tc>
        <w:tc>
          <w:tcPr>
            <w:tcW w:w="1020" w:type="dxa"/>
            <w:vAlign w:val="bottom"/>
            <w:tcBorders>
              <w:top w:val="single" w:sz="8" w:color="0000EE"/>
            </w:tcBorders>
            <w:gridSpan w:val="6"/>
          </w:tcPr>
          <w:p>
            <w:pPr>
              <w:spacing w:after="0"/>
              <w:rPr>
                <w:sz w:val="21"/>
                <w:szCs w:val="21"/>
                <w:color w:val="auto"/>
              </w:rPr>
            </w:pPr>
          </w:p>
        </w:tc>
        <w:tc>
          <w:tcPr>
            <w:tcW w:w="4600" w:type="dxa"/>
            <w:vAlign w:val="bottom"/>
            <w:gridSpan w:val="10"/>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35">
              <w:r>
                <w:rPr>
                  <w:rFonts w:ascii="Arial" w:cs="Arial" w:eastAsia="Arial" w:hAnsi="Arial"/>
                  <w:sz w:val="18"/>
                  <w:szCs w:val="18"/>
                  <w:color w:val="auto"/>
                </w:rPr>
                <w:t>36</w:t>
              </w:r>
            </w:hyperlink>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66">
              <w:r>
                <w:rPr>
                  <w:rFonts w:ascii="Arial" w:cs="Arial" w:eastAsia="Arial" w:hAnsi="Arial"/>
                  <w:sz w:val="18"/>
                  <w:szCs w:val="18"/>
                  <w:b w:val="1"/>
                  <w:bCs w:val="1"/>
                  <w:color w:val="0000EE"/>
                  <w:w w:val="91"/>
                </w:rPr>
                <w:t>Item 9.</w:t>
              </w:r>
            </w:hyperlink>
          </w:p>
        </w:tc>
        <w:tc>
          <w:tcPr>
            <w:tcW w:w="600" w:type="dxa"/>
            <w:vAlign w:val="bottom"/>
            <w:gridSpan w:val="4"/>
          </w:tcPr>
          <w:p>
            <w:pPr>
              <w:spacing w:after="0"/>
              <w:rPr>
                <w:sz w:val="21"/>
                <w:szCs w:val="21"/>
                <w:color w:val="auto"/>
              </w:rPr>
            </w:pPr>
          </w:p>
        </w:tc>
        <w:tc>
          <w:tcPr>
            <w:tcW w:w="9220" w:type="dxa"/>
            <w:vAlign w:val="bottom"/>
            <w:gridSpan w:val="28"/>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Changes in and Disagreements With Accountants on Accounting and Financial Disclosure</w:t>
              </w:r>
            </w:hyperlink>
          </w:p>
        </w:tc>
        <w:tc>
          <w:tcPr>
            <w:tcW w:w="1020" w:type="dxa"/>
            <w:vAlign w:val="bottom"/>
          </w:tcPr>
          <w:p>
            <w:pPr>
              <w:jc w:val="right"/>
              <w:ind w:right="191"/>
              <w:spacing w:after="0"/>
              <w:rPr>
                <w:rFonts w:ascii="Arial" w:cs="Arial" w:eastAsia="Arial" w:hAnsi="Arial"/>
                <w:sz w:val="18"/>
                <w:szCs w:val="18"/>
                <w:color w:val="auto"/>
              </w:rPr>
            </w:pPr>
            <w:hyperlink w:anchor="page66">
              <w:r>
                <w:rPr>
                  <w:rFonts w:ascii="Arial" w:cs="Arial" w:eastAsia="Arial" w:hAnsi="Arial"/>
                  <w:sz w:val="18"/>
                  <w:szCs w:val="18"/>
                  <w:color w:val="auto"/>
                </w:rPr>
                <w:t>67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w w:val="94"/>
              </w:rPr>
            </w:pPr>
            <w:hyperlink w:anchor="page67">
              <w:r>
                <w:rPr>
                  <w:rFonts w:ascii="Arial" w:cs="Arial" w:eastAsia="Arial" w:hAnsi="Arial"/>
                  <w:sz w:val="18"/>
                  <w:szCs w:val="18"/>
                  <w:b w:val="1"/>
                  <w:bCs w:val="1"/>
                  <w:color w:val="0000EE"/>
                  <w:w w:val="94"/>
                </w:rPr>
                <w:t>Item 9A.</w:t>
              </w:r>
            </w:hyperlink>
          </w:p>
        </w:tc>
        <w:tc>
          <w:tcPr>
            <w:tcW w:w="460" w:type="dxa"/>
            <w:vAlign w:val="bottom"/>
          </w:tcPr>
          <w:p>
            <w:pPr>
              <w:spacing w:after="0"/>
              <w:rPr>
                <w:sz w:val="21"/>
                <w:szCs w:val="21"/>
                <w:color w:val="auto"/>
              </w:rPr>
            </w:pPr>
          </w:p>
        </w:tc>
        <w:tc>
          <w:tcPr>
            <w:tcW w:w="1920" w:type="dxa"/>
            <w:vAlign w:val="bottom"/>
            <w:tcBorders>
              <w:bottom w:val="single" w:sz="8" w:color="0000EE"/>
            </w:tcBorders>
            <w:gridSpan w:val="9"/>
          </w:tcPr>
          <w:p>
            <w:pPr>
              <w:spacing w:after="0"/>
              <w:rPr>
                <w:rFonts w:ascii="Arial" w:cs="Arial" w:eastAsia="Arial" w:hAnsi="Arial"/>
                <w:sz w:val="18"/>
                <w:szCs w:val="18"/>
                <w:b w:val="1"/>
                <w:bCs w:val="1"/>
                <w:color w:val="0000EE"/>
                <w:w w:val="88"/>
              </w:rPr>
            </w:pPr>
            <w:hyperlink w:anchor="page67">
              <w:r>
                <w:rPr>
                  <w:rFonts w:ascii="Arial" w:cs="Arial" w:eastAsia="Arial" w:hAnsi="Arial"/>
                  <w:sz w:val="18"/>
                  <w:szCs w:val="18"/>
                  <w:b w:val="1"/>
                  <w:bCs w:val="1"/>
                  <w:color w:val="0000EE"/>
                  <w:w w:val="88"/>
                </w:rPr>
                <w:t>Controls and Procedures</w:t>
              </w:r>
            </w:hyperlink>
          </w:p>
        </w:tc>
        <w:tc>
          <w:tcPr>
            <w:tcW w:w="7300" w:type="dxa"/>
            <w:vAlign w:val="bottom"/>
            <w:gridSpan w:val="19"/>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67">
              <w:r>
                <w:rPr>
                  <w:rFonts w:ascii="Arial" w:cs="Arial" w:eastAsia="Arial" w:hAnsi="Arial"/>
                  <w:sz w:val="18"/>
                  <w:szCs w:val="18"/>
                  <w:color w:val="auto"/>
                </w:rPr>
                <w:t>67</w:t>
              </w:r>
            </w:hyperlink>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Item 9B.</w:t>
              </w:r>
            </w:hyperlink>
          </w:p>
        </w:tc>
        <w:tc>
          <w:tcPr>
            <w:tcW w:w="9220" w:type="dxa"/>
            <w:vAlign w:val="bottom"/>
            <w:gridSpan w:val="28"/>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Other Information</w:t>
              </w:r>
            </w:hyperlink>
          </w:p>
        </w:tc>
        <w:tc>
          <w:tcPr>
            <w:tcW w:w="1020" w:type="dxa"/>
            <w:vAlign w:val="bottom"/>
          </w:tcPr>
          <w:p>
            <w:pPr>
              <w:jc w:val="right"/>
              <w:ind w:right="191"/>
              <w:spacing w:after="0"/>
              <w:rPr>
                <w:rFonts w:ascii="Arial" w:cs="Arial" w:eastAsia="Arial" w:hAnsi="Arial"/>
                <w:sz w:val="18"/>
                <w:szCs w:val="18"/>
                <w:color w:val="auto"/>
              </w:rPr>
            </w:pPr>
            <w:hyperlink w:anchor="page67">
              <w:r>
                <w:rPr>
                  <w:rFonts w:ascii="Arial" w:cs="Arial" w:eastAsia="Arial" w:hAnsi="Arial"/>
                  <w:sz w:val="18"/>
                  <w:szCs w:val="18"/>
                  <w:color w:val="auto"/>
                </w:rPr>
                <w:t>67</w:t>
              </w:r>
            </w:hyperlink>
          </w:p>
        </w:tc>
      </w:tr>
      <w:tr>
        <w:trPr>
          <w:trHeight w:val="574"/>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Borders>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III</w:t>
              </w:r>
            </w:hyperlink>
          </w:p>
        </w:tc>
        <w:tc>
          <w:tcPr>
            <w:tcW w:w="430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Item 10.</w:t>
              </w:r>
            </w:hyperlink>
          </w:p>
        </w:tc>
        <w:tc>
          <w:tcPr>
            <w:tcW w:w="9220" w:type="dxa"/>
            <w:vAlign w:val="bottom"/>
            <w:gridSpan w:val="28"/>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Directors, Executive Officers and Corporate Governance</w:t>
              </w:r>
            </w:hyperlink>
          </w:p>
        </w:tc>
        <w:tc>
          <w:tcPr>
            <w:tcW w:w="1020" w:type="dxa"/>
            <w:vAlign w:val="bottom"/>
          </w:tcPr>
          <w:p>
            <w:pPr>
              <w:jc w:val="right"/>
              <w:ind w:right="191"/>
              <w:spacing w:after="0"/>
              <w:rPr>
                <w:rFonts w:ascii="Arial" w:cs="Arial" w:eastAsia="Arial" w:hAnsi="Arial"/>
                <w:sz w:val="18"/>
                <w:szCs w:val="18"/>
                <w:color w:val="auto"/>
              </w:rPr>
            </w:pPr>
            <w:hyperlink w:anchor="page68">
              <w:r>
                <w:rPr>
                  <w:rFonts w:ascii="Arial" w:cs="Arial" w:eastAsia="Arial" w:hAnsi="Arial"/>
                  <w:sz w:val="18"/>
                  <w:szCs w:val="18"/>
                  <w:color w:val="auto"/>
                </w:rPr>
                <w:t>68</w:t>
              </w:r>
            </w:hyperlink>
          </w:p>
        </w:tc>
      </w:tr>
      <w:tr>
        <w:trPr>
          <w:trHeight w:val="250"/>
        </w:trPr>
        <w:tc>
          <w:tcPr>
            <w:tcW w:w="620" w:type="dxa"/>
            <w:vAlign w:val="bottom"/>
            <w:tcBorders>
              <w:top w:val="single" w:sz="8" w:color="0000EE"/>
            </w:tcBorders>
            <w:gridSpan w:val="2"/>
          </w:tcPr>
          <w:p>
            <w:pPr>
              <w:spacing w:after="0"/>
              <w:rPr>
                <w:rFonts w:ascii="Arial" w:cs="Arial" w:eastAsia="Arial" w:hAnsi="Arial"/>
                <w:sz w:val="18"/>
                <w:szCs w:val="18"/>
                <w:b w:val="1"/>
                <w:bCs w:val="1"/>
                <w:color w:val="0000EE"/>
                <w:w w:val="89"/>
              </w:rPr>
            </w:pPr>
            <w:hyperlink w:anchor="page68">
              <w:r>
                <w:rPr>
                  <w:rFonts w:ascii="Arial" w:cs="Arial" w:eastAsia="Arial" w:hAnsi="Arial"/>
                  <w:sz w:val="18"/>
                  <w:szCs w:val="18"/>
                  <w:b w:val="1"/>
                  <w:bCs w:val="1"/>
                  <w:color w:val="0000EE"/>
                  <w:w w:val="89"/>
                </w:rPr>
                <w:t>Item 11.</w:t>
              </w:r>
            </w:hyperlink>
          </w:p>
        </w:tc>
        <w:tc>
          <w:tcPr>
            <w:tcW w:w="520" w:type="dxa"/>
            <w:vAlign w:val="bottom"/>
            <w:gridSpan w:val="3"/>
          </w:tcPr>
          <w:p>
            <w:pPr>
              <w:spacing w:after="0"/>
              <w:rPr>
                <w:sz w:val="21"/>
                <w:szCs w:val="21"/>
                <w:color w:val="auto"/>
              </w:rPr>
            </w:pPr>
          </w:p>
        </w:tc>
        <w:tc>
          <w:tcPr>
            <w:tcW w:w="438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Executive Compensation</w:t>
              </w:r>
            </w:hyperlink>
          </w:p>
        </w:tc>
        <w:tc>
          <w:tcPr>
            <w:tcW w:w="4840" w:type="dxa"/>
            <w:vAlign w:val="bottom"/>
            <w:gridSpan w:val="11"/>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68">
              <w:r>
                <w:rPr>
                  <w:rFonts w:ascii="Arial" w:cs="Arial" w:eastAsia="Arial" w:hAnsi="Arial"/>
                  <w:sz w:val="18"/>
                  <w:szCs w:val="18"/>
                  <w:color w:val="auto"/>
                </w:rPr>
                <w:t>68</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Item 12.</w:t>
              </w:r>
            </w:hyperlink>
          </w:p>
        </w:tc>
        <w:tc>
          <w:tcPr>
            <w:tcW w:w="9220" w:type="dxa"/>
            <w:vAlign w:val="bottom"/>
            <w:gridSpan w:val="28"/>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Security Ownership of Certain Beneficial Owners and Management and Related Stockholder Matters</w:t>
              </w:r>
            </w:hyperlink>
          </w:p>
        </w:tc>
        <w:tc>
          <w:tcPr>
            <w:tcW w:w="1020" w:type="dxa"/>
            <w:vAlign w:val="bottom"/>
          </w:tcPr>
          <w:p>
            <w:pPr>
              <w:jc w:val="right"/>
              <w:ind w:right="191"/>
              <w:spacing w:after="0"/>
              <w:rPr>
                <w:rFonts w:ascii="Arial" w:cs="Arial" w:eastAsia="Arial" w:hAnsi="Arial"/>
                <w:sz w:val="18"/>
                <w:szCs w:val="18"/>
                <w:color w:val="auto"/>
              </w:rPr>
            </w:pPr>
            <w:hyperlink w:anchor="page68">
              <w:r>
                <w:rPr>
                  <w:rFonts w:ascii="Arial" w:cs="Arial" w:eastAsia="Arial" w:hAnsi="Arial"/>
                  <w:sz w:val="18"/>
                  <w:szCs w:val="18"/>
                  <w:color w:val="auto"/>
                </w:rPr>
                <w:t>68</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80" w:type="dxa"/>
            <w:vAlign w:val="bottom"/>
            <w:tcBorders>
              <w:right w:val="single" w:sz="8" w:color="0000EE"/>
            </w:tcBorders>
            <w:gridSpan w:val="11"/>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Item 13.</w:t>
              </w:r>
            </w:hyperlink>
          </w:p>
        </w:tc>
        <w:tc>
          <w:tcPr>
            <w:tcW w:w="9220" w:type="dxa"/>
            <w:vAlign w:val="bottom"/>
            <w:gridSpan w:val="28"/>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Certain Relationships and Related Transactions, and Director Independence</w:t>
              </w:r>
            </w:hyperlink>
          </w:p>
        </w:tc>
        <w:tc>
          <w:tcPr>
            <w:tcW w:w="1020" w:type="dxa"/>
            <w:vAlign w:val="bottom"/>
          </w:tcPr>
          <w:p>
            <w:pPr>
              <w:jc w:val="right"/>
              <w:ind w:right="191"/>
              <w:spacing w:after="0"/>
              <w:rPr>
                <w:rFonts w:ascii="Arial" w:cs="Arial" w:eastAsia="Arial" w:hAnsi="Arial"/>
                <w:sz w:val="18"/>
                <w:szCs w:val="18"/>
                <w:color w:val="auto"/>
              </w:rPr>
            </w:pPr>
            <w:hyperlink w:anchor="page68">
              <w:r>
                <w:rPr>
                  <w:rFonts w:ascii="Arial" w:cs="Arial" w:eastAsia="Arial" w:hAnsi="Arial"/>
                  <w:sz w:val="18"/>
                  <w:szCs w:val="18"/>
                  <w:color w:val="auto"/>
                </w:rPr>
                <w:t>68</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80" w:type="dxa"/>
            <w:vAlign w:val="bottom"/>
            <w:tcBorders>
              <w:right w:val="single" w:sz="8" w:color="0000EE"/>
            </w:tcBorders>
            <w:gridSpan w:val="11"/>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Item 14.</w:t>
              </w:r>
            </w:hyperlink>
          </w:p>
        </w:tc>
        <w:tc>
          <w:tcPr>
            <w:tcW w:w="9220" w:type="dxa"/>
            <w:vAlign w:val="bottom"/>
            <w:gridSpan w:val="28"/>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Principal Accounting Fees and Services</w:t>
              </w:r>
            </w:hyperlink>
          </w:p>
        </w:tc>
        <w:tc>
          <w:tcPr>
            <w:tcW w:w="1020" w:type="dxa"/>
            <w:vAlign w:val="bottom"/>
          </w:tcPr>
          <w:p>
            <w:pPr>
              <w:jc w:val="right"/>
              <w:ind w:right="191"/>
              <w:spacing w:after="0"/>
              <w:rPr>
                <w:rFonts w:ascii="Arial" w:cs="Arial" w:eastAsia="Arial" w:hAnsi="Arial"/>
                <w:sz w:val="18"/>
                <w:szCs w:val="18"/>
                <w:color w:val="auto"/>
              </w:rPr>
            </w:pPr>
            <w:hyperlink w:anchor="page68">
              <w:r>
                <w:rPr>
                  <w:rFonts w:ascii="Arial" w:cs="Arial" w:eastAsia="Arial" w:hAnsi="Arial"/>
                  <w:sz w:val="18"/>
                  <w:szCs w:val="18"/>
                  <w:color w:val="auto"/>
                </w:rPr>
                <w:t>68</w:t>
              </w:r>
            </w:hyperlink>
          </w:p>
        </w:tc>
      </w:tr>
      <w:tr>
        <w:trPr>
          <w:trHeight w:val="574"/>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40" w:type="dxa"/>
            <w:vAlign w:val="bottom"/>
            <w:gridSpan w:val="15"/>
          </w:tcPr>
          <w:p>
            <w:pPr>
              <w:jc w:val="center"/>
              <w:ind w:right="4320"/>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IV</w:t>
              </w:r>
            </w:hyperlink>
          </w:p>
        </w:tc>
        <w:tc>
          <w:tcPr>
            <w:tcW w:w="1020" w:type="dxa"/>
            <w:vAlign w:val="bottom"/>
          </w:tcPr>
          <w:p>
            <w:pPr>
              <w:spacing w:after="0"/>
              <w:rPr>
                <w:sz w:val="24"/>
                <w:szCs w:val="24"/>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Item 15.</w:t>
              </w:r>
            </w:hyperlink>
          </w:p>
        </w:tc>
        <w:tc>
          <w:tcPr>
            <w:tcW w:w="4200" w:type="dxa"/>
            <w:vAlign w:val="bottom"/>
            <w:gridSpan w:val="14"/>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Exhibits, Financial Statement Schedules</w:t>
              </w:r>
            </w:hyperlink>
          </w:p>
        </w:tc>
        <w:tc>
          <w:tcPr>
            <w:tcW w:w="700" w:type="dxa"/>
            <w:vAlign w:val="bottom"/>
            <w:tcBorders>
              <w:top w:val="single" w:sz="8" w:color="0000EE"/>
            </w:tcBorders>
            <w:gridSpan w:val="7"/>
          </w:tcPr>
          <w:p>
            <w:pPr>
              <w:spacing w:after="0"/>
              <w:rPr>
                <w:sz w:val="21"/>
                <w:szCs w:val="21"/>
                <w:color w:val="auto"/>
              </w:rPr>
            </w:pPr>
          </w:p>
        </w:tc>
        <w:tc>
          <w:tcPr>
            <w:tcW w:w="4320" w:type="dxa"/>
            <w:vAlign w:val="bottom"/>
            <w:gridSpan w:val="7"/>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69">
              <w:r>
                <w:rPr>
                  <w:rFonts w:ascii="Arial" w:cs="Arial" w:eastAsia="Arial" w:hAnsi="Arial"/>
                  <w:sz w:val="18"/>
                  <w:szCs w:val="18"/>
                  <w:color w:val="auto"/>
                </w:rPr>
                <w:t>69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This annual report on Form 10-K for the fiscal year ended December 31, 2015 (the "Annual Report") contains "forward-looking statements" within the meaning of the Securities Act of 1933, as amended,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below, including in Part I. Item 1A. Risk Factors.</w:t>
      </w:r>
    </w:p>
    <w:p>
      <w:pPr>
        <w:spacing w:after="0" w:line="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LendingTree, Inc. ("LendingTree", the "Company", "we" or "us") operates what we believe to be the leading online loan marketplace for consumers seeking loans and other credit-based offerings. Our online marketplace provides consumers with access to product offerings from over 400 active lenders (which we refer to as "Network Lenders"), including mortgage loans, home equity, reverse mortgage, auto loans, credit cards, personal loans, student loans and small business loans and other related offerings. In addition, we offer tools and resources, including free credit scores, that facilitate comparison shopping for these loans and other credit-based offerings. We seek to match consumers with multiple lenders, who can provide them with competing quotes for the product they are seeking. By providing consumers access to a broad array of credit-based offerings directly from multiple lenders, rather than just multiple quotes from the same lender or indirectly through intermediaries, we believe our marketplace is differentiated from other providers operating loan comparison-shopping marketplaces.</w:t>
      </w:r>
    </w:p>
    <w:p>
      <w:pPr>
        <w:spacing w:after="0" w:line="1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strategically designed and executed advertising and marketing campaigns (which we refer to as performance marketing) promote our LendingTree brand and product offerings and are designed to attract consumers to our websites and toll-free telephone numbers. Interested consumers complete inquiry forms, providing detailed information about themselves and the loans or other offerings they are seeking. We refer to such consumer inquiries as loan requests. We then match these loan requests with lenders in our marketplace that are seeking to serve these consumers' needs. We generate revenue from these lenders, generally at the time of transmitting a loan request to them, in the form of a match fee. In certain instances outside our mortgage business, we charge other kinds of fees, such as closed loan or closed sale fees. In addition to our primary loan request business, LendingTree also has click and call products for which lenders pay either front-end or back-end fees.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continually working to improve the consumer experience. We have made investments in technologically-adept personnel and we use in-market real-time testing to improve our digital platforms. Additionally, we work with our lenders, including providing training and other resources, to improve the consumer experience throughout the loan process. Further, we have been building and improving our My LendingTree platform, which provides a relationship-based consumer experience, rather than just a transaction-based experience.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Inc., is the parent of LendingTree, LLC and several companies owned by LendingTree, LLC. LendingTree, LLC, formerly known as LendingTree, Inc., was incorporated in the state of Delaware in June 1996 and commenced nationwide operations in July 1998. LendingTree, Inc., was acquired by IAC/InterActiveCorp ("IAC") in 2003 and converted to a Delaware limited liability company (LendingTree, LLC) in December 2004. LendingTree, LLC entered the mortgage origination business through the acquisition of Home Loan Center, Inc. in 2004. On August 20, 2008, LendingTree, LLC (along with its parent holding</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company Tree.com, Inc.) was spun off from IAC/InterActiveCorp into a separate publicly-traded company. We refer to the separation transaction as the "spin-off" in this report. Tree.com was incorporated as a Delaware corporation in April 2008 in anticipation of the spin-off. The Home Loan Center business was sold to Discover Financial Services in 2012. Since then, the Company has operated as a pure online marketplace and does not originate loans. Effective January 1, 2015, we changed our corporate name from Tree.com, Inc. to LendingTree, Inc.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Evolution and Future Growth of Our Business</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At its inception, our original business was to serve consumers seeking home mortgage loans by matching them with various lenders. We launched the LendingTree brand nationally in 1998 and, over the last eighteen years, we invested significantly in this brand to gain widespread consumer recognition.</w:t>
      </w:r>
    </w:p>
    <w:p>
      <w:pPr>
        <w:spacing w:after="0" w:line="1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More recently, we have actively sought to expand the suite of loan and credit-based offerings we provide to consumers, in order to both leverage the applicability of the LendingTree brand as well as more fully serve the needs of consumers and lenders. We believe that consumers with existing LendingTree-branded associations will be more likely to utilize our other service offerings than those of other providers whose brands consumers may not recognize.</w:t>
      </w:r>
    </w:p>
    <w:p>
      <w:pPr>
        <w:spacing w:after="0" w:line="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2014, we re-launched My LendingTree, a platform that offers a personalized loan comparison-shopping experience, by providing free credit scores and credit score analysis. This new platform enables us to observe consumers' credit profiles and then identify and alert them to loan and other credit-based offerings on our marketplace that may be more favorable than the loans they have at a given point in time. This is designed to provide consumers with measurable savings opportunities over their lifetimes.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By expanding our portfolio of loan and credit-based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currently report our revenues in two product categories: (i) mortgage products and (ii) non-mortgage products. Non-mortgage products include auto loans, credit cards, home equity loans, personal loans, reverse mortgages, small business loans and student loans. Non-mortgage products also include home improvement referrals, and other tools and resources, including credit repair and debt relief services.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Mortgage and non-mortgage product 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5"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18"/>
                <w:szCs w:val="18"/>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2014</w:t>
            </w:r>
          </w:p>
        </w:tc>
        <w:tc>
          <w:tcPr>
            <w:tcW w:w="4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products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165,272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134,137</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123,091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Non-mortgage products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88,944</w:t>
            </w:r>
          </w:p>
        </w:tc>
        <w:tc>
          <w:tcPr>
            <w:tcW w:w="4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33,213</w:t>
            </w:r>
          </w:p>
        </w:tc>
        <w:tc>
          <w:tcPr>
            <w:tcW w:w="4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16,149</w:t>
            </w:r>
          </w:p>
        </w:tc>
      </w:tr>
      <w:tr>
        <w:trPr>
          <w:trHeight w:val="27"/>
        </w:trPr>
        <w:tc>
          <w:tcPr>
            <w:tcW w:w="7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254,216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167,350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139,240</w:t>
            </w:r>
          </w:p>
        </w:tc>
      </w:tr>
      <w:tr>
        <w:trPr>
          <w:trHeight w:val="27"/>
        </w:trPr>
        <w:tc>
          <w:tcPr>
            <w:tcW w:w="70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LendingTree does not charge consumers or small businesses for the use of our services. Revenues from our mortgage products are mostly derived from upfront match fees paid by Network Lenders that receive a loan request, and in some cases upfront fees for clicks or call transfers. Because a given loan request form can be matched with more than one Network Lender, up to five match fees may be generated from a single consumer loan request form. Revenues from our non-mortgage products are derived from upfront match fees paid on delivery of a loan request, click or call and for some marketplaces outside mortgage, other kinds of fees, such as closed loan fees. For our credit card product, we send click traffic to issuers and are paid per card approval. For the years ended December 31, 2015, 2014 and 2013, one Network Lender accounted for 12%, 13% and 12% of total revenue, respectively, and another Network Lender accounted for 11%, 11% and 12% of total revenue, respectively.</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Products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mortgage products category includes our purchase and refinance products.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partner with lenders throughout the United States to provide full geographic lending coverage and to offer a complete suite of loan offerings on our marketplace. To participate on our marketplace, lenders are required to enter into contracts with us that state the terms and conditions for such participation, although these contracts generally may be terminated for convenience by either party. We perform certain due diligence procedures on prospective new lenders, including screening against a national anti-fraud database maintained by the Mortgage Asset Research Institute, which helps manage our risk exposure. The data is utilized to determine whether a lender and its principals are eligible to participate on our marketplace and have not been convicted of and/or penalized for fraudulent activity.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Consumers seeking mortgage loans through our loan marketplace can receive multiple conditional loan offers from participating lenders in response to a single loan request form. We refer to the process by which we match consumers and Network Lenders as the matching process. This matching process consists of the following steps:</w:t>
      </w:r>
    </w:p>
    <w:p>
      <w:pPr>
        <w:spacing w:after="0" w:line="69" w:lineRule="exact"/>
        <w:rPr>
          <w:sz w:val="20"/>
          <w:szCs w:val="20"/>
          <w:color w:val="auto"/>
        </w:rPr>
      </w:pPr>
    </w:p>
    <w:p>
      <w:pPr>
        <w:ind w:left="660" w:hanging="328"/>
        <w:spacing w:after="0" w:line="282"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Loan Request. </w:t>
      </w:r>
      <w:r>
        <w:rPr>
          <w:rFonts w:ascii="Arial" w:cs="Arial" w:eastAsia="Arial" w:hAnsi="Arial"/>
          <w:sz w:val="18"/>
          <w:szCs w:val="18"/>
          <w:color w:val="auto"/>
        </w:rPr>
        <w:t>Consumers complete a single loan request form with information regarding the type of home loan product they are seeking, loan</w:t>
      </w:r>
      <w:r>
        <w:rPr>
          <w:rFonts w:ascii="Arial" w:cs="Arial" w:eastAsia="Arial" w:hAnsi="Arial"/>
          <w:sz w:val="18"/>
          <w:szCs w:val="18"/>
          <w:b w:val="1"/>
          <w:bCs w:val="1"/>
          <w:color w:val="auto"/>
        </w:rPr>
        <w:t xml:space="preserve"> </w:t>
      </w:r>
      <w:r>
        <w:rPr>
          <w:rFonts w:ascii="Arial" w:cs="Arial" w:eastAsia="Arial" w:hAnsi="Arial"/>
          <w:sz w:val="18"/>
          <w:szCs w:val="18"/>
          <w:color w:val="auto"/>
        </w:rPr>
        <w:t>preferences and other data. Consumers also consent to a soft inquiry regarding their credit.</w:t>
      </w:r>
    </w:p>
    <w:p>
      <w:pPr>
        <w:spacing w:after="0" w:line="53" w:lineRule="exact"/>
        <w:rPr>
          <w:rFonts w:ascii="Arial" w:cs="Arial" w:eastAsia="Arial" w:hAnsi="Arial"/>
          <w:sz w:val="18"/>
          <w:szCs w:val="18"/>
          <w:b w:val="1"/>
          <w:bCs w:val="1"/>
          <w:color w:val="auto"/>
        </w:rPr>
      </w:pPr>
    </w:p>
    <w:p>
      <w:pPr>
        <w:jc w:val="both"/>
        <w:ind w:left="660" w:hanging="328"/>
        <w:spacing w:after="0" w:line="314"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Loan Request Form Matching and Transmission. </w:t>
      </w:r>
      <w:r>
        <w:rPr>
          <w:rFonts w:ascii="Arial" w:cs="Arial" w:eastAsia="Arial" w:hAnsi="Arial"/>
          <w:sz w:val="16"/>
          <w:szCs w:val="16"/>
          <w:color w:val="auto"/>
        </w:rPr>
        <w:t>Our proprietary systems and technology match a given consumer's loan request form data,</w:t>
      </w:r>
      <w:r>
        <w:rPr>
          <w:rFonts w:ascii="Arial" w:cs="Arial" w:eastAsia="Arial" w:hAnsi="Arial"/>
          <w:sz w:val="16"/>
          <w:szCs w:val="16"/>
          <w:b w:val="1"/>
          <w:bCs w:val="1"/>
          <w:color w:val="auto"/>
        </w:rPr>
        <w:t xml:space="preserve"> </w:t>
      </w:r>
      <w:r>
        <w:rPr>
          <w:rFonts w:ascii="Arial" w:cs="Arial" w:eastAsia="Arial" w:hAnsi="Arial"/>
          <w:sz w:val="16"/>
          <w:szCs w:val="16"/>
          <w:color w:val="auto"/>
        </w:rPr>
        <w:t>credit profile and geographic location against certain pre-established criteria of Network Lenders, which may be modified from time to time. Once a given loan request passes through the matching process, the loan request is automatically transmitted to up to five participating Network Lenders.</w:t>
      </w:r>
    </w:p>
    <w:p>
      <w:pPr>
        <w:spacing w:after="0" w:line="34" w:lineRule="exact"/>
        <w:rPr>
          <w:rFonts w:ascii="Arial" w:cs="Arial" w:eastAsia="Arial" w:hAnsi="Arial"/>
          <w:sz w:val="16"/>
          <w:szCs w:val="16"/>
          <w:b w:val="1"/>
          <w:bCs w:val="1"/>
          <w:color w:val="auto"/>
        </w:rPr>
      </w:pPr>
    </w:p>
    <w:p>
      <w:pPr>
        <w:ind w:left="660" w:hanging="328"/>
        <w:spacing w:after="0" w:line="282"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Lender Evaluation and Response. </w:t>
      </w:r>
      <w:r>
        <w:rPr>
          <w:rFonts w:ascii="Arial" w:cs="Arial" w:eastAsia="Arial" w:hAnsi="Arial"/>
          <w:sz w:val="18"/>
          <w:szCs w:val="18"/>
          <w:color w:val="auto"/>
        </w:rPr>
        <w:t>Network Lenders that receive a loan request form evaluate the information contained in it to determine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a conditional loan offer.</w:t>
      </w:r>
    </w:p>
    <w:p>
      <w:pPr>
        <w:spacing w:after="0" w:line="53" w:lineRule="exact"/>
        <w:rPr>
          <w:rFonts w:ascii="Arial" w:cs="Arial" w:eastAsia="Arial" w:hAnsi="Arial"/>
          <w:sz w:val="18"/>
          <w:szCs w:val="18"/>
          <w:b w:val="1"/>
          <w:bCs w:val="1"/>
          <w:color w:val="auto"/>
        </w:rPr>
      </w:pPr>
    </w:p>
    <w:p>
      <w:pPr>
        <w:jc w:val="both"/>
        <w:ind w:left="660" w:hanging="328"/>
        <w:spacing w:after="0" w:line="289"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Communication of a Conditional Offer. </w:t>
      </w:r>
      <w:r>
        <w:rPr>
          <w:rFonts w:ascii="Arial" w:cs="Arial" w:eastAsia="Arial" w:hAnsi="Arial"/>
          <w:sz w:val="17"/>
          <w:szCs w:val="17"/>
          <w:color w:val="auto"/>
        </w:rPr>
        <w:t>All matched Network Lenders and any conditional offers are presented to the consumer upon completion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loan request form. Consumers can return to the site and view their offer(s) at any time by logging in to their My LendingTree account. Additionally, matched lenders and offers are also sent to the email address associated with the consumer request.</w:t>
      </w:r>
    </w:p>
    <w:p>
      <w:pPr>
        <w:spacing w:after="0" w:line="50" w:lineRule="exact"/>
        <w:rPr>
          <w:rFonts w:ascii="Arial" w:cs="Arial" w:eastAsia="Arial" w:hAnsi="Arial"/>
          <w:sz w:val="17"/>
          <w:szCs w:val="17"/>
          <w:b w:val="1"/>
          <w:bCs w:val="1"/>
          <w:color w:val="auto"/>
        </w:rPr>
      </w:pPr>
    </w:p>
    <w:p>
      <w:pPr>
        <w:ind w:left="660" w:hanging="328"/>
        <w:spacing w:after="0" w:line="347"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Loan Processing. </w:t>
      </w:r>
      <w:r>
        <w:rPr>
          <w:rFonts w:ascii="Arial" w:cs="Arial" w:eastAsia="Arial" w:hAnsi="Arial"/>
          <w:sz w:val="16"/>
          <w:szCs w:val="16"/>
          <w:color w:val="auto"/>
        </w:rPr>
        <w:t>Consumers may then elect to work offline with relevant Network Lenders to provide property information and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bearing on their creditworthiness. If a Network Lender approves a consumer's application, it may then underwrite and originate a loan.</w:t>
      </w:r>
    </w:p>
    <w:p>
      <w:pPr>
        <w:spacing w:after="0" w:line="8" w:lineRule="exact"/>
        <w:rPr>
          <w:rFonts w:ascii="Arial" w:cs="Arial" w:eastAsia="Arial" w:hAnsi="Arial"/>
          <w:sz w:val="16"/>
          <w:szCs w:val="16"/>
          <w:b w:val="1"/>
          <w:bCs w:val="1"/>
          <w:color w:val="auto"/>
        </w:rPr>
      </w:pPr>
    </w:p>
    <w:p>
      <w:pPr>
        <w:ind w:left="660" w:hanging="328"/>
        <w:spacing w:after="0" w:line="282"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Ongoing Consumer and Lender Support. </w:t>
      </w:r>
      <w:r>
        <w:rPr>
          <w:rFonts w:ascii="Arial" w:cs="Arial" w:eastAsia="Arial" w:hAnsi="Arial"/>
          <w:sz w:val="18"/>
          <w:szCs w:val="18"/>
          <w:color w:val="auto"/>
        </w:rPr>
        <w:t>E-mail and telephone support are provided to both Network Lenders and consumers. This support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to provide technical assistance and increase overall satisfaction of Network Lenders and consumers.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offer consumers an alternative "short-form" matching process, which provides them with lender contact information rather than conditional offers from Network Lenders. This short-form process typically requires consumers to submit less data than required in connection with the matching process described above and does not involve consumer consent to an inquiry regarding credit.</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January 2013, we expanded our mortgage offerings by launching LoanExplorer, a "rate table" loan marketplace, where consumers can enter their loan and credit profile and dynamically view real-time rates from lenders without entering their contact information. Consumers then have the option of calling lenders directly, clicking through to lenders' websites or sending data requests for lenders to follow up with them directly. We developed this offering through internal product development efforts.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Non-Mortgage Products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Lending Products</w:t>
      </w:r>
      <w:r>
        <w:rPr>
          <w:rFonts w:ascii="Arial" w:cs="Arial" w:eastAsia="Arial" w:hAnsi="Arial"/>
          <w:sz w:val="18"/>
          <w:szCs w:val="18"/>
          <w:color w:val="auto"/>
        </w:rPr>
        <w:t>. Other lending products on our online marketplace include information, tools and access to multiple conditional loan offers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62"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Auto, which includes our auto refinance and purchase loan products. Auto loans enable consumers to purchase new or used vehicles or refinance an existing loan secured by an automobile.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 cards, which include offerings from most major card issuers. We launched this offering in the second quarter of 2013.</w:t>
      </w:r>
    </w:p>
    <w:p>
      <w:pPr>
        <w:spacing w:after="0" w:line="117"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Home equity loans and lines of credit, which enable home owners to borrow against the equity in their home, as measured by the difference between the market value of the home and any existing loans secured by the home. Home equity loans are one-time lump sum loans, whereas a home equity line of credit reflects a line of revolving credit where the borrower has flexibility to draw down and repay the line over time.</w:t>
      </w:r>
    </w:p>
    <w:p>
      <w:pPr>
        <w:spacing w:after="0" w:line="57"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Personal loans, which are unsecured obligations generally carrying shorter terms and smaller loan amounts than home mortgages. We have historically operated a personal loan offering, but launched an enhanced version of this offering in the third quarter of 2013.</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Reverse mortgage loans, which are a loan product available to qualifying homeowners age 62 or older. We launched this offering in the first quarter of 2013 through internal product development efforts.</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Small business loans, which include a broad array of financing types, including but not limited to loans secured by working capital, equipment, real estate and other forms of financing, provided to small and medium-sized businesses in amounts generally up to (although sometimes exceeding) $1 million. We launched our small business loan marketplace in the third quarter of 2014.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Student loans, which includes both new loans to finance an education and related expenses, as well as refinancing of existing loans. We launched our new student loan offering in the second quarter of 2014 and our student loan refinancing offering commenced in the fourth quarter of 2014.</w:t>
      </w:r>
    </w:p>
    <w:p>
      <w:pPr>
        <w:spacing w:after="0" w:line="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intend to continue adding new lending offerings for consumers, small businesses and lenders on our online marketplace, in order to grow and diversify our sources of revenue. We may develop such new offerings through internal product development efforts, strategic business relationships with third parties and/or acquisitions.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Products</w:t>
      </w:r>
      <w:r>
        <w:rPr>
          <w:rFonts w:ascii="Arial" w:cs="Arial" w:eastAsia="Arial" w:hAnsi="Arial"/>
          <w:sz w:val="18"/>
          <w:szCs w:val="18"/>
          <w:color w:val="auto"/>
        </w:rPr>
        <w:t>. Other products also includes information, tools and access to the following:</w:t>
      </w:r>
    </w:p>
    <w:p>
      <w:pPr>
        <w:spacing w:after="0" w:line="117"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Credit repair, through which consumers can obtain assistance improving their credit profiles, in order to expand and improve loan and other financial product opportunities available to them.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 relief services, through which consumers can obtain assistance negotiating existing loans.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Home improvement services, through which consumers have the opportunity to research and find home improvement professional services.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Personal credit data, through which consumers can gain insights into how prospective lenders and other third parties view their credit profiles.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Real estate brokerage services, through which consumers are matched with local realtors who can assist them in their home purchase or sale efforts.</w:t>
      </w:r>
    </w:p>
    <w:p>
      <w:pPr>
        <w:spacing w:after="0" w:line="14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Various consumer insurance products, including home and automobile, through which consumers are matched with insurance lead aggregators to obtain insurance offers.</w:t>
      </w:r>
    </w:p>
    <w:p>
      <w:pPr>
        <w:spacing w:after="0" w:line="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refer to the various purchasers of leads from our other marketplaces as lead purchasers. We generate revenue through the insurance products and real estate brokerage services through match fees paid to us by insurance lead aggregators and real estate brokers participating in our online marketplace. We generate revenue from credit repair and debt relief services either through a fee for a customer referral to a service provider partner or through a fee at the time a consumer enrolls in a program with one of our partners. Revenue for home services is derived primarily through matching of leads to both local contractors and other home services lead aggregators.</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in our lending business is subject to cyclical and seasonal trends. Home sales (and purchase mortgages) typically rise during the spring and summer months and decline during the fall and winter months, while refinancing and home equity activity is principally driven by mortgage interest rates as well as real estate values. However, in recent periods additional factors affecting the mortgage and real estate markets, such as the 2008-2009 financial crisis and ensuing recession have impacted customary seasonal trends.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anticipate revenue in our newer products to be cyclical as well; however, we have limited historical data to predict the nature and magnitude of this cyclicality. Based on industry data, we anticipate that as our personal loan product matures we will experience less consumer demand during the fourth and first quarters of each year. Other factors affecting our businesses include macro factors such as credit availability in the market, the strength of the economy and employment.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lending and other businesses compete with other online marketing companies, including online intermediaries that operate network-type arrangements. We also face competition from lenders that source consumer loan originations directly. These companies typically operate consumer-branded websites and attract consumers via online banner ads, keyword placement on search engines, direct mail, television ads, retail branches, realtors, brokers, radio and other sources, partnerships with affiliates and business development arrangements with others, including major online portals.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invest in the continued development of both new and existing products to enhance the experiences of consumers and lenders as they interact with us. We incurred product development costs of $16.8 million, $11.1 million and $7.7 million during the years ended December 31, 2015, 2014 and 2013, respectively, all of which was company sponsored.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Information About Segments and Geographic Areas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During the first quarter of 2015, management made certain changes to its organizational structure that impacted its previous operating segments. As a result, management concluded it had one reportable segment representing our Lending activities. Previously reported segment results have been revised to conform to our reportable segments at December 31, 2015.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17—Segment Information to the consolidated financial statements included elsewhere in this report.</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 information on our financial performance by geographic areas can be found in Note 2—Significant Accounting Policies to the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Legal Compliance</w:t>
      </w:r>
    </w:p>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Our businesses market and provide services in heavily regulated industries through a number of different online and offline channels across the United States. As a result, we are subject to a variety of statutes, rules, regulations, policies and procedures in various jurisdictions in the United States, including:</w:t>
      </w:r>
    </w:p>
    <w:p>
      <w:pPr>
        <w:spacing w:after="0" w:line="1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Restrictions on the amount and nature of fees or interest that may be charged in connection with a loan, such as state usury and fee restrictions;</w:t>
      </w:r>
    </w:p>
    <w:p>
      <w:pPr>
        <w:spacing w:after="0" w:line="140"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manner in which consumer loans are marketed and originated, including, but not limited to, the making of required consumer disclosures, such as the Federal Trade Commission's Mortgage Advertising Practices ("MAP") Rules, federal Truth-in-Lending Act, the federal Equal Credit Opportunity Act, the federal Fair Credit Reporting Act, the federal Fair Housing Act, the federal Real Estate Settlement Procedures Act ("RESPA"), and similar state laws;</w:t>
      </w:r>
    </w:p>
    <w:p>
      <w:pPr>
        <w:spacing w:after="0" w:line="78"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Restrictions imposed by the Dodd-Frank Wall Street Reform and Consumer Protection Act (the "Dodd Frank Act") and current or future rules promulgated thereunder, including, but not limited to, limitations on fees charged by mortgage lenders, mortgage broker disclosures and rules promulgated by the Consumer Financial Protection Bureau ("CFPB"), which was created under the Dodd-Frank Act;</w:t>
      </w:r>
    </w:p>
    <w:p>
      <w:pPr>
        <w:spacing w:after="0" w:line="57"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amount and nature of fees that may be charged to lenders and real estate professionals for providing or obtaining consumer loan requests, such as under RESPA;</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amount and nature of fees that may be charged to consumers for real estate brokerage transactions, including any incentives and rebates that may be offered to consumers by our businesses;</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Federal and State laws relating to the implementation of the Secure and Fair Enforcement of Mortgage Licensing Act of 2008 (the "SAFE Act") that require us to be licensed in all States and the District of Columbia (licensing requirements are applicable to both individuals and/or businesses engaged in the solicitation of or the brokering of residential mortgage loans and/or the brokering of real estate transactions);</w:t>
      </w:r>
    </w:p>
    <w:p>
      <w:pPr>
        <w:spacing w:after="0" w:line="57" w:lineRule="exact"/>
        <w:rPr>
          <w:rFonts w:ascii="Arial" w:cs="Arial" w:eastAsia="Arial" w:hAnsi="Arial"/>
          <w:sz w:val="17"/>
          <w:szCs w:val="17"/>
          <w:color w:val="auto"/>
        </w:rPr>
      </w:pPr>
    </w:p>
    <w:p>
      <w:pPr>
        <w:jc w:val="both"/>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State and federal restrictions on the marketing activities conducted by telephone, mail, email, mobile device or the internet, including the Telemarketing Sales Rule ("TSR"), the Telephone Consumer Protection Act ("TCPA"), state telemarketing laws, federal and state privacy laws, the CAN-SPAM Act, and the Federal Trade Commission Act and their accompanying regulations and guidelines;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State laws requiring licensure for the solicitation of or brokering of consumer loans which could affect us in our personal loan, automobile loan, student loan or other non-mortgage consumer lending businesses;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usage and storage of consumer credit information, such as those contained in the federal Fair Credit Reporting Act and the federal Credit Repair Organization Act;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State "Bird Dog" laws which restrict the amount and nature of fees, if any, that may be charged to consumers for automobile direct and indirect financing.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We believe that our intellectual property rights are vital to our success. To protect our intellectual property rights in our brand, technology, products, improvements and inventions, we rely on a combination of trademarks, trade secret, patents and other laws, and contractual restrictions on disclosure, including confidentiality agreements with strategic partners, employees, consultants and other third parties. As new or improved proprietary technologies are developed or inventions are identified, we seek patent protection in the United States and abroad, as appropriate. We have two issued U.S. patents relating to our technologies, including those relating to the method and network for coordinating a loan over the internet, which expire in 2018. In March 2014, a federal jury found these two patents invalid. In November 2014, we filed a notice of appeal with respect to the jury verdict.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12—Contingencies— Intellectual Property Litigation—Zillow in the notes to the consolidated financial statements included elsewhere in this report.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Many of our services are offered under proprietary trademarks and service marks. We generally apply to register or secure by contract our principal trademarks and service marks as they are developed and used. We have 44 trademarks and service marks registered with the United States Patent and Trademark Office. These registrations can typically be renewed at 10-year intervals.</w:t>
      </w:r>
    </w:p>
    <w:p>
      <w:pPr>
        <w:spacing w:after="0" w:line="7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reserve and register domain names when and where we deem appropriate and we currently have approximately 1,249 registered domain names. We also have agreements with third parties that provide for the licensing of patented and proprietary technology used in our business.</w:t>
      </w:r>
    </w:p>
    <w:p>
      <w:pPr>
        <w:spacing w:after="0" w:line="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From time to time, we may be subjected to legal proceedings and claims, or threatened legal proceedings or claims, including allegations of infringement of third-party trademarks, copyrights, patents and other intellectual property rights of third parties. In addition, the use of litigation may be necessary for us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12—Contingencies—Intellectual Property Litigation—Zillow in the notes to the consolidated financial statements included elsewhere in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December 31, 2015, we had approximately 312 employees, of which approximately 297 are full-time and 15 are temporary or part-time. None of our employees are represented under collective bargaining agreements and we consider our relations with employees and independent contractors to be good.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Website and Public Filings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www.lendingtree.com</w:t>
      </w:r>
      <w:r>
        <w:rPr>
          <w:rFonts w:ascii="Arial" w:cs="Arial" w:eastAsia="Arial" w:hAnsi="Arial"/>
          <w:sz w:val="18"/>
          <w:szCs w:val="18"/>
          <w:color w:val="auto"/>
        </w:rPr>
        <w:t xml:space="preserve"> and an investor relations website at </w:t>
      </w:r>
      <w:r>
        <w:rPr>
          <w:rFonts w:ascii="Arial" w:cs="Arial" w:eastAsia="Arial" w:hAnsi="Arial"/>
          <w:sz w:val="18"/>
          <w:szCs w:val="18"/>
          <w:i w:val="1"/>
          <w:iCs w:val="1"/>
          <w:color w:val="auto"/>
        </w:rPr>
        <w:t>investors.lendingtree.com</w:t>
      </w:r>
      <w:r>
        <w:rPr>
          <w:rFonts w:ascii="Arial" w:cs="Arial" w:eastAsia="Arial" w:hAnsi="Arial"/>
          <w:sz w:val="18"/>
          <w:szCs w:val="18"/>
          <w:color w:val="auto"/>
        </w:rPr>
        <w:t>. None of the information on our website is incorporated by reference in this report, or in any other filings with, or in any information furnished or submitted to, the Securities and Exchange Commission (the "SEC").</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make available, free of charge through our website, our reports on Forms 10-K, 10-Q and 8-K, our proxy statement for the annual shareholders' meeting and beneficial ownership reports on Forms 3, 4 and 5 as soon as reasonably practicable after we file such material with, or furnish such material to, the SEC. Our filings with the SEC are available to the public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or at the SEC's public reference room located at 100 F Street, N.E., Washington, DC 20549. Please call the SEC at 1-800-SEC-0330 for further information on the operation of the public reference room.</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Our code of business conduct and ethics, which applies to all employees, including all executive officers and senior financial officers and directors, is posted on our website at </w:t>
      </w:r>
      <w:r>
        <w:rPr>
          <w:rFonts w:ascii="Arial" w:cs="Arial" w:eastAsia="Arial" w:hAnsi="Arial"/>
          <w:sz w:val="18"/>
          <w:szCs w:val="18"/>
          <w:i w:val="1"/>
          <w:iCs w:val="1"/>
          <w:color w:val="auto"/>
        </w:rPr>
        <w:t>investors.lendingtree.com/corporate-governance.cfm</w:t>
      </w:r>
      <w:r>
        <w:rPr>
          <w:rFonts w:ascii="Arial" w:cs="Arial" w:eastAsia="Arial" w:hAnsi="Arial"/>
          <w:sz w:val="18"/>
          <w:szCs w:val="18"/>
          <w:color w:val="auto"/>
        </w:rPr>
        <w:t>. This is our code of ethics pursuant to Item 406 of SEC Regulation S-K and the rules of The NASDAQ Stock Market. Any amendments to or waivers of the code of business conduct and ethics that are of the type described in Item 406(b) and (d) of Regulation S-K will be disclosed on our website.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Before making an investment decision, you should carefully consider the risks described below, together with all of the other information included in this annual report and the information incorporated by reference herein. If any of the risks described below, or incorporated by reference into this annual report actually occur, our business, financial condition or results of operations could suffer. In that case, the trading price of our common stock may decline and you may lose all or part of your investment. The risks and uncertainties we have described are not the only ones we face. Additional risks and uncertainties not presently known to us or that we currently deem immaterial may also affect our business, financial condition and results of operations. Certain statements below are forward-looking statements. See the information included under the heading "Cautionary Statement Regarding Forward-Looking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Adverse conditions in the primary and secondary mortgage markets, as well as the general economy, could materially and adversely affect our business, financial condition and results of operations.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Constraints in the primary and secondary mortgage markets have in the past had, and may in the future have, an adverse effect on our business, financial condition and results of operations. Generally, increases in interest rates adversely affect the ability of our Network Lenders to close loans, and adverse economic trends limit the ability of our Network Lenders to offer home loans other than low-margin conforming loans. Our businesses may experience a decline in demand for their offerings due to decreased consumer demand as a result of the conditions described above, now or in the future. Conversely, during periods with decreased interest rates, Network Lenders have less incentive to use our marketplaces, or in the case of sudden increases in consumer demand, our Network Lenders may lack the ability to support sudden increases in volume.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relationships with Network Lenders and any adverse changes in these relationships could adversely affect our business, financial condition and results of operations.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success depends in significant part on the financial strength of lenders participating on our marketplaces and continuing relationships with such lenders. Network Lenders could, for any reason, experience financial difficulties and cease participating on our lender marketplace, fail to pay match and/or closing fees when due and/or drop the quality of their services to consumers. We could also have commercial or other disputes with such Network Lenders from time to time. The occurrence of one or more of these events with a significant number of Network Lenders could, alone or in combination, have a material and adverse effect on our business, financial condition and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brand recognition and attract and retain customers in a cost-effective manner could materially and adversely affect our business, financial condition and results of operations.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order to attract visitors to our websites, convert these visitors into loan requests for our Network Lenders and lead purchasers and generate repeat visits from consumers, our businesses must promote and maintain their various brands. Brand promotion and maintenance requires the expenditure of considerable money and resources for online and offline advertising, marketing and related efforts, as well as the continued provision and introduction of high-quality products and services.</w:t>
      </w:r>
    </w:p>
    <w:p>
      <w:pPr>
        <w:spacing w:after="0" w:line="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Brand recognition is a key differentiating factor among providers of online services. We believe that continuing to build and maintain the recognition of our various brands is critical to achieving increased demand for the services provided by our businesses. Accordingly, we have spent, and expect to continue to spend, significant amounts on, and devote significant resources to, branding, advertising and other marketing initiatives, which may not be successful or cost-effective. The failure of our businesses to maintain the recognition of their respective brands and attract and retain customers in a cost-effective manner could materially and adversely affect our business, financial condition and results of operations.</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Adverse publicity from legal proceedings against us or our businesses, including governmental proceedings and consumer class action litigation, or from the disclosure of information security breaches, could negatively impact our various brands, which could materially and adversely affect our business, financial condition and results of operations. In addition, the actions of our third-party marketing partners who engage in advertising on our behalf could negatively impact our various brands.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search engines and other online sources to attract visitors to our websites, and if we are unable to attract these visitors and convert them into loan requests for our Network Lenders and lead purchasers in a cost-effective manner, our business and financial results may be harmed.</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success depends on our ability to attract online consumers to our websites and convert them into customers in a cost-effective manner. We depend, in part, on search engines and other online sources for our website traffic. We are included in search results as a result of both paid search listings, where we purchase specific search terms that result in the inclusion of our listing,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algorithmic searches, that depend upon the searchable content on our sites. Search engines and other online sources revise their algorithms from time to time in an attempt to optimize their search results.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one or more of the search engines or other online sources on which we rely for website traffic were to modify its general methodology for how it displays our websites, resulting in fewer consumers clicking through to our websites, our business could suffer. If any free search engine on which we rely begins charging fees for listing or placement, or if one or more of the search engines or other online sources on which we rely for purchased listings, modifies or terminates its relationship with us, our expenses could rise, we could lose customers, and traffic to our websites could decrease, all of which could have a material and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with a number of other online marketing companies, and we face the possibility of new competitors.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currently compete with a number of other online marketing companies and we expect that competition will intensify. Some of these existing competitors may have more capital or complementary products or services than we do, and they may leverage their greater capital or diversification in a manner that adversely affects our competitive position, including by making strategic acquisitions. In addition, new competitors may enter the market and may be able to innovate and bring products and services to market faster, or anticipate and meet consumer or Network Lender demand before we do. Other newcomers, including major search engines and content aggregators, may be able to leverage their existing products and services to our disadvantage. We may be forced to expend significant resources to remain competitive with current and potential competitors. If any of our competitors are more successful than we are at attracting and retaining customers or Network Lenders, our business, financial condition and results of operations could be materially and adversely affected.</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success depends, in part, on the integrity of our systems and infrastructures. System interruption and the lack of integration and redundancy in these systems and infrastructures may have a material and adverse impact on our business, financial condition and results of operations.</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success depends, in part, on our ability to maintain the integrity of our systems and infrastructures, including websites, information and related systems, call centers and distribution and fulfillment facilities. System interruption and the lack of integration and redundancy in our information systems and infrastructures may materially and adversely affect our ability to operate websites, process and fulfill transactions, respond to customer inquiries and generally maintain cost-efficient operations. We may experience occasional system interruptions that make some or all systems or data unavailable or prevent our businesses from efficiently providing services or fulfilling orders. We also rely on affiliate and third-party computer systems, broadband and other communications systems and service providers in connection with the provision of services generally, as well as to facilitate, process and fulfill transactions. Any interruptions, outages or delays in our systems and infrastructures, our businesses, our affiliates and/or third parties, or deterioration in the performance of these systems and infrastructures, could impair the ability of our businesses to provide services, fulfill orders and/or process transactions. Fire, flood, power loss, telecommunications failure, hurricanes, tornadoes, earthquakes, acts of war or terrorism, acts of God, unauthorized intrusions or computer viruses, and similar events or disruptions may damage or interrupt computer, broadband or other communications systems and infrastructures at any time. Any of these events could cause system interruption, delays and loss of critical data, and could prevent our businesses from providing services, fulfilling orders and/or processing transactions. While our businesses have backup systems for certain aspects of their operations, these systems are not fully redundant and disaster recovery planning is not sufficient for all eventualities. In addition, we may not have adequate insurance coverage to compensate for losses from a major interruption. If any of these events were to occur, it could materially and adversely affect our business, financial condition and results of operations.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breach of our network security or the misappropriation or misuse of personal consumer information may have a material and adverse impact on our business, financial condition and results of operations.</w:t>
      </w:r>
    </w:p>
    <w:p>
      <w:pPr>
        <w:spacing w:after="0" w:line="1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Any penetration of network security or other misappropriation or misuse of personal consumer information maintained by us or our third-party marketing partners could cause interruptions in the operations of our businesses and subject us to increased costs, litigation and other liabilities. Claims could also be made against us or our third-party marketing partners for other misuse of personal information, such as for unauthorized purposes or identity theft, which could result in litigation and financial liabilities, as well as administrative action from governmental authorities. Real or perceived security breaches could also significantly damage our reputation with consumers and third parties with whom we do business.</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be required to expend significant capital and other resources to protect against and remedy any potential or existing security breaches and their consequences. We also face risks associated with security breaches affecting third parties with whom we are affiliated or otherwise conduct business with online. Consumers are generally concerned with security and privacy of the Internet, and any publicized security problems affecting our businesses and/or those of third parties may discourage consumers from doing business with us, which could have a material and adverse effect on our business, financial condition and results of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Litigation and indemnification of secondary market purchasers could have a material and adverse effect on our business, financial condition, results of operations and liquidity.</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sale of loans to secondary market purchasers, Home Loan Center, Inc. ("HLC") may be liable for certain indemnification, repurchase and premium repayment obligations. For example, in connection with the sale of loans to secondary market purchasers, HLC made certain representations regarding related borrower credit information, loan documentation and collateral. To the extent that these representations were incorrect, HLC may be required to repurchase loans or indemnify secondary market purchasers for losses due to borrower defaults. HLC also agreed to repurchase loans or indemnify secondary market purchasers for losses due to early payment defaults (</w:t>
      </w:r>
      <w:r>
        <w:rPr>
          <w:rFonts w:ascii="Arial" w:cs="Arial" w:eastAsia="Arial" w:hAnsi="Arial"/>
          <w:sz w:val="18"/>
          <w:szCs w:val="18"/>
          <w:i w:val="1"/>
          <w:iCs w:val="1"/>
          <w:color w:val="auto"/>
        </w:rPr>
        <w:t>i.e.,</w:t>
      </w:r>
      <w:r>
        <w:rPr>
          <w:rFonts w:ascii="Arial" w:cs="Arial" w:eastAsia="Arial" w:hAnsi="Arial"/>
          <w:sz w:val="18"/>
          <w:szCs w:val="18"/>
          <w:color w:val="auto"/>
        </w:rPr>
        <w:t xml:space="preserve"> late payments during a limited time period immediately following HLC's origination of the loan). Further, HLC agreed to repay all or a portion of the initial premiums paid by secondary market purchasers in instances where the borrower prepays the loan within a specified period of time. HLC has made payments for these liabilities in the past and expects to make payments for these liabilities in the future.</w:t>
      </w:r>
    </w:p>
    <w:p>
      <w:pPr>
        <w:spacing w:after="0" w:line="8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continue to be liable for these indemnification obligations, repurchase obligations and premium repayment obligations following the sale of substantially all of the operating assets of our LendingTree Loans business. We have in the past and intend to continue to negotiate in the future with secondary market purchasers to settle any existing and future contingent liabilities, but we cannot assure you we will be able to do so on terms acceptable to us, or at all. The occurrence of indemnification claims, repurchase obligations or premium repayments beyond our reserves for these contingencies, or our inability to settle with secondary market purchasers, may have a material and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 market conditions have adversely affected the mortgage industry.</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Declines in the housing market from 2006 through early 2012, as measured by the S&amp;P/Case-Schiller 20-city composite home price index, with home price declines and increased foreclosures, unemployment and under-employment, negatively impacted the credit performance of mortgage loans and resulted in significant write-downs of asset values by financial institutions, including government-sponsored entities as well as major commercial and investment banks. These write-downs, initially of mortgage-backed securities but subsequently of other asset-backed securities, credit default swaps and other derivative and cash securities, in turn, caused many financial institutions to seek additional capital, merge with larger and stronger institutions and, in some cases, to fail.</w:t>
      </w:r>
    </w:p>
    <w:p>
      <w:pPr>
        <w:spacing w:after="0" w:line="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Reflecting concern about the stability of the housing markets generally and the strength of counterparties, many lenders and institutional investors reduced or ceased providing funding to borrowers, including to other financial institutions. This market disruption and tightening of credit led to an increased level of commercial and consumer delinquencies, lack of consumer confidence and increased market volatility. The resulting economic pressure on consumers and lack of confidence in the financial markets has had in the past and may have in the future, an adverse effect on our business, financial condition and results of operations.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conditions in the housing markets have improved since 2013, the failure to sustain such improvements could have adverse effects on us and our Network Lenders. Further, our business could be adversely affected by the actions and commercial soundness of other businesses in the financial services sector. As a result, defaults by, or even rumors or questions about, one or more of these entities, or the financial services industry generally, have in the past, and may in the future, lead to market-wide liquidity problems and could lead to disruptions in the mortgage industry. Any such disruption could have a material and adverse effect on our business, financial condition and results of operations.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recent revenue growth has been driven in significant part by personal loan offerings. If lenders participating on our marketplace decide to reduce their offerings of personal loans or if such loans become unattractive to consumers because of higher interest rates demanded by lenders, then our results of operations and future growth prospects could be materially and adversely affected.</w:t>
      </w:r>
    </w:p>
    <w:p>
      <w:pPr>
        <w:spacing w:after="0" w:line="12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re-launched our personal loan product in the third quarter of 2013. Revenue from personal loan offerings substantially increased in 2015 compared to 2014 and 2014 compared to 2013 and was responsible for a significant portion of the $55.7 million increase in non-mortgage revenue in the year ended December 31, 2015 and the $17.1 million increase in non-mortgage revenue in the year ended December 31, 2014. Personal loans are unsecured obligations and generally carry shorter terms and smaller loan amounts than mortgages. Because they are unsecured, they are generally riskier assets for lenders than mortgages or other secured loans. Consumer demand for unsecured loans offered on our marketplace is often for refinancing of higher interest credit card debt or for a lower interest alternative to credit card debt for a contemplated larger purchase that would otherwise be purchased with a credit card. Lenders participating on our marketplace may reduce their willingness to make personal loans at more attractive interest rates than credit card debt and may for that reason, or for any other reason, reduce their demand for personal loan requests generated from our personal loan marketplace. Reasons that lenders might reduce their willingness to make personal loans at attractive interest rates may include regulatory changes, stricter institutional lending criteria, a lack of adequate funding sources or capital for loan originations, or increased borrower default levels, which may occur upon adverse changes in regional, national or global economic conditions. If lenders participating on our marketplace decide to reduce their offerings of personal loans or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such loans become unattractive to consumers because of higher interest rates demanded by lenders, then our results of operations and future growth prospects could be materially and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 Lenders affiliated with our marketplaces are not precluded from offering products and services outside of our marketplaces.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Because our businesses do not have exclusive relationships with Network Lenders, consumers may obtain loans from these third-party service providers without having to use our marketplaces. Network Lenders can offer loans directly to consumers through their own marketing campaigns or other traditional methods of distribution, such as referral arrangements, physical store-front operations or broker agreements. Network Lenders may also offer loans and services to prospective customers online directly, through one or more online competitors of our businesses, or both. If a significant number of consumers seek loans and services directly from Network Lenders as opposed to through our marketplaces, our business, financial condition and results of operations could be materially and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lending services are new to the market and may fail to achieve or maintain customer acceptance and profitability.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2013, we expanded our lending offerings by launching LoanExplorer, a "rate table" loan marketplace, and loan marketplaces for reverse mortgages and credit card offerings, and we also re-launched a loan marketplace for personal loans. In 2014, we launched a new student loan offering and marketplace for student loan refinancings and small business loans. We do not have as much experience with these products as with the mortgage marketplaces. Accordingly, these new offerings may be subject to greater risks than our more mature mortgage marketplaces.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 of these and other new products we may offer will depend on a number of factors, including:</w:t>
      </w:r>
    </w:p>
    <w:p>
      <w:pPr>
        <w:spacing w:after="0" w:line="11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offered by our competitors and/or expected by consumers and lenders;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by consumers and lenders;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Offerings by current and future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management and other skilled personnel for these businesses;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collect amounts owed to us from third 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successful and cost-effective marketing campaigns;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timely adjust marketing expenditures in relation to changes in demand for the underlying products and services offered by our lead purchasers.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results of operations may suffer if we fail to successfully anticipate and manage these issues associated with new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continually enhance our products and services and adapt them to technological changes and consumer and lender and/or lead purchaser needs, including the emergence of new computing devices and more sophisticated online services, we may lose market share and revenue and our business could suffer.</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need to anticipate, develop and introduce new products, services and applications on a timely and cost-effective basis that keep pace with technological developments and changing consumer and customer needs. For example, the number of individuals who access the internet through devices other than a personal computer, such as tablets, mobile telephones, televisions and set-top box devices has increased significantly and this trend is likely to continue. Because each manufacturer or distributor may establish unique technical standards for its devices, our websites may not be functional or viewable on these devices. Additionally, new devices and new platforms are continually being released. Consumers access many traditional web services on mobile devices through applications, or apps.</w:t>
      </w:r>
    </w:p>
    <w:p>
      <w:pPr>
        <w:spacing w:after="0" w:line="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It is difficult to predict the problems we may encounter in improving our websites' functionality with these alternative devices or developing apps for mobile platforms. If we fail to develop our websites or apps to respond to these or other technological developments and changing consumer and customer needs cost effectively, we may lose market share, which could materially and adversely affect our business,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adequately protect our intellectual property rights or may be accused of infringing intellectual property rights of third parties.</w:t>
      </w:r>
    </w:p>
    <w:p>
      <w:pPr>
        <w:spacing w:after="0" w:line="1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regard our intellectual property rights, including patents, service marks, trademarks and domain names, copyrights, trade secrets and similar intellectual property (as applicable), as critical to our success. Our businesses also rely heavily upon software codes, informational databases and other components that make up their products and services.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rely on a combination of laws and contractual restrictions with employees, customers, suppliers, affiliates and others to establish and protect these proprietary rights. Despite these precautions, it may be possible for a third party to copy or otherwise obtain and use trade secrets or copyrighted intellectual property without authorization which, if discovered, might require legal action to correct. In addition, third parties may independently and lawfully develop substantially similar intellectual properties.</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generally registered and continue to apply to register, or secure by contract when appropriate, our principal trademarks and service marks as they are developed and used, and reserve and register domain names when and where we deem appropriate. We generally consider the protection of our trademarks to be important for purposes of brand maintenance and reputation. While we vigorously protect our trademarks, service marks and domain names, effective trademark protection may not be available or may not be sought in every country in which products and services are made available, and contractual disputes may affect the use of marks governed by private contract. Similarly, not every variation of a domain name may be available or be registered, even if available. Our failure to protect our intellectual property rights in a meaningful manner or challenges to related contractual rights could result in erosion of brand names and limit our ability to control marketing on or through the Internet using our various domain names or otherwise, which could materially and adversely affect our business, financial condition and results of operations.</w:t>
      </w:r>
    </w:p>
    <w:p>
      <w:pPr>
        <w:spacing w:after="0" w:line="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We have been granted patents and we have patent applications pending with the United States Patent and Trademark Office and various foreign patent authorities for various proprietary technologies and other inventions. The status of any patent involves complex legal and factual questions, and the breadth of claims allowed is uncertain. Accordingly, any patent application filed may not result in a patent being issued, or existing or future patents may not be adjudicated valid by a court or be afforded adequate protection against competitors with similar technology. In March 2014, a federal jury found our two issued patents invalid. In November 2014, we filed a notice of appeal to the U.S. Court of Appeals for the Federal Circuit. The appeal is now fully briefed. </w:t>
      </w:r>
      <w:r>
        <w:rPr>
          <w:rFonts w:ascii="Arial" w:cs="Arial" w:eastAsia="Arial" w:hAnsi="Arial"/>
          <w:sz w:val="16"/>
          <w:szCs w:val="16"/>
          <w:i w:val="1"/>
          <w:iCs w:val="1"/>
          <w:color w:val="auto"/>
        </w:rPr>
        <w:t xml:space="preserve">See </w:t>
      </w:r>
      <w:r>
        <w:rPr>
          <w:rFonts w:ascii="Arial" w:cs="Arial" w:eastAsia="Arial" w:hAnsi="Arial"/>
          <w:sz w:val="16"/>
          <w:szCs w:val="16"/>
          <w:color w:val="auto"/>
        </w:rPr>
        <w:t>Note 12—Contingencies—Intellectual Property Litigation—Zillow in the notes to the consolidated financial statements included elsewhere in this report.</w:t>
      </w:r>
      <w:r>
        <w:rPr>
          <w:rFonts w:ascii="Arial" w:cs="Arial" w:eastAsia="Arial" w:hAnsi="Arial"/>
          <w:sz w:val="16"/>
          <w:szCs w:val="16"/>
          <w:i w:val="1"/>
          <w:iCs w:val="1"/>
          <w:color w:val="auto"/>
        </w:rPr>
        <w:t xml:space="preserve"> </w:t>
      </w:r>
      <w:r>
        <w:rPr>
          <w:rFonts w:ascii="Arial" w:cs="Arial" w:eastAsia="Arial" w:hAnsi="Arial"/>
          <w:sz w:val="16"/>
          <w:szCs w:val="16"/>
          <w:color w:val="auto"/>
        </w:rPr>
        <w:t>In addition, third parties may create new products or methods that achieve similar results without infringing upon patents that we own.</w:t>
      </w:r>
    </w:p>
    <w:p>
      <w:pPr>
        <w:spacing w:after="0" w:line="5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Likewise, the issuance of a patent to us does not mean that our processes or inventions will be found not to infringe upon patents or other rights previously issued to third parties.</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From time to time, in the ordinary course of business we are subjected to legal proceedings, claims and counterclaims, or threatened legal proceedings, claims or counterclaims, including allegations of infringement of the trademarks, copyrights, patents and other intellectual property rights of third parties. In addition, litigation may be necessary in the future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materially and adversely affect our business, financial condition and results of operations. Patent litigation tends to be particularly protracted and expensive. In 2014, we participated in a jury trial for the litigation described in Note 12—Contingencies— Intellectual Property Litigation—Zillow in the notes to the consolidated financial statements included elsewhere in this report. The legal expenses associated with this jury trial were material and negatively affected our results of operations for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framework for managing risks may not be effective in mitigating our risk of loss.</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risk management framework seeks to mitigate risk and appropriately balance risk and return. We have established processes and procedures intended to identify, measure, monitor and report the types of risk to which we are subject, including credit risk, market risk, liquidity risk, operational risk, legal and compliance risk, and strategic risk. We seek to monitor and control our risk exposure through a framework of policies, procedures and reporting requirements. There may be risks that exist, or that develop in the future, that we have not appropriately anticipated, identified or mitigated. If our risk management framework does not effectively identify or mitigate our risks, we could suffer unexpected losses and could be materially and adversely affected.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 or strategic investments that we pursue may not be successful and could disrupt our business and harm our financial condition.</w:t>
      </w:r>
    </w:p>
    <w:p>
      <w:pPr>
        <w:spacing w:after="0" w:line="19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may consider or undertake strategic acquisitions of, or material investments in, businesses, products or technologies. We may not be able to identify suitable acquisition or investment candidates, or even if we do identify suitable candidates, they may be difficult to finance, expensive to fund and there is no guarantee that we can obtain any necessary regulatory approvals or complete such transactions on terms that are favorable to us. To the extent we pay the purchase price of any acquisition or investment in cash or through borrowings under our revolving credit facility, it would reduce our cash balances and/or result in indebtedness we must service, which may have a material and adverse effect on our business and financial condition. If the purchase price is paid with our stock, it would be dilutive to our stockholders. In addition, we may assume liabilities associated with a business acquisition or investment, including unrecorded liabilities that are not discovered at the time of the transaction, and the repayment of those liabilities may have a material and adverse effect on our financial condition. There may also be litigation or other claims arising in connection with an acquisition itself.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may not be able to successfully integrate the personnel, operations, businesses, products or technologies of an acquisition or investment. Integration may be particularly challenging if we enter into a line of business in which we have limited experience and the business operates in a difficult legal, regulatory or competitive environment. We may find that we do not have adequate operations or expertise to manage the new business. The integration of any acquisition or investment may divert management's time and resources from our core business, which could impair our relationships with our current employees, customers and strategic partners and disrupt our operations. Acquisitions and investments also may not perform to our expectations for various reasons, including the loss of key personnel or customers. If we fail to integrate acquisitions or investments or realize the expected benefits, we may lose the return on these acquisitions or investments or incur additional transaction costs and our business and financial condition may be harmed as a result.</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the performance of highly skilled personnel and if we are unable to attract, retain and motivate well-qualified employees, our business could be harmed.</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believe our success has depended, and continues to depend, on the efforts and talents of our management team and our highly skilled employees, including our software engineers, analysts, marketing professionals and sales staff. Our future success depends on our continuing ability to attract, develop, motivate and retain highly qualified and skilled employees. The loss of any of our senior management or key employees could materially and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 If we do not succeed in attracting well-qualified employees or retaining and motivating existing employees, our business and results of operations could be harmed.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Network Lenders and lead purchasers on our marketplaces may not provide competitive levels of service to consumers, which could materially and adversely affect our brands and businesses and their ability to attract consumers.</w:t>
      </w:r>
    </w:p>
    <w:p>
      <w:pPr>
        <w:spacing w:after="0" w:line="11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ability of our businesses to provide consumers with a high-quality experience depends, in part, on consumers receiving competitive levels of convenience, customer service, price and responsiveness from Network Lenders and lead purchasers participating on our other marketplaces with whom they are matched. If these providers do not provide consumers with competitive levels of convenience, customer service, price and responsiveness, the value of our various brands may be harmed, the ability of our businesses to attract consumers to our websites may be limited and the number of consumers matched through our marketplaces may decline, which could have a material and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in the past and we may not be able to generate sufficient revenue to be profitable over the long term.</w:t>
      </w:r>
    </w:p>
    <w:p>
      <w:pPr>
        <w:spacing w:after="0" w:line="1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a history of incurring operating losses, including for the years ended December 31, 2014 and 2013, and although we were profitable in 2015, we have an accumulated deficit of $750.1 million at December 31, 2015. If we fail to maintain or grow our revenue and manage our expenses, we may incur significant losses in the future and not be able to maintain profitability.</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revolving credit facility contains financial covenants and other restrictions on our actions, and it could therefore limit our operational flexibility or otherwise adversely affect our financial condition. Failure to comply with the terms of such facility could impair our rights to the assets that have been pledged as collateral under the facility.</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22, 2015, our wholly-owned subsidiary LendingTree, LLC entered into a $125.0 million five-year senior secured revolving credit facility which matures on October 22, 2020 (the "Revolving Credit Facility"). The proceeds of the Revolving Credit Facility can be used to finance working capital needs, capital expenditures, and general corporate purposes, including to finance permitted acquisitions. We do not currently have any borrowings outstanding under the Revolving Credit Facility.</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Revolving Credit Facility contains certain restrictive covenants, which include a consolidated debt to consolidated EBITDA ratio and a consolidated EBITDA to consolidated interest expense ratio. In addition, the Revolving Credit Facility contains customary affirmative and negative covenants, including, subject to certain exceptions, restrictions on our ability to, among other things:</w:t>
      </w:r>
    </w:p>
    <w:p>
      <w:pPr>
        <w:spacing w:after="0" w:line="7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mergers or make certain fundamental changes;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certain restricted payments, including dividends, distributions, stock repurchases or redemptions;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restrictive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hedging transactions;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certain other transactions without the prior consent of the lenders.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Revolving Credit Facility requires LendingTree, LLC to pledge as collateral, subject to certain customary exclusions, 100% of the assets, including 100% of its equity in all of its subsidiaries. The obligations under this facility are unconditionally guaranteed on a senior basis by LendingTree, Inc. and specific subsidiaries of LendingTree, LLC, which guarantees are secured by a pledge as collateral, subject to certain customary exclusions, of 100% of each such guarantor's assets, including 100% of its equity in all of its subsidiaries.</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If an event of default occurs or if we otherwise fail to comply with any of the negative or affirmative covenants of the Revolving Credit Facility, the lenders may declare all of the obligations and indebtedness under such facility due and payable. In such a scenario, the lenders could exercise their lien on the pledged collateral, which would have a material adverse effect on our business, operations, financial condition and liquidity. For additional information on the Revolving Credit Facility,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10—Revolving Credit Facility, in the notes to the consolidated financial statements included elsewhere in this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indefinite-lived intangible assets become impaired, we may be required to record a significant charge to earnings.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accounting principles generally accepted in the United States of America ("GAAP"), we review the carrying value of goodwill and indefinite-lived intangible assets on an annual basis as of October 1, or more frequently if an event occurs or circumstances change that would more likely than not reduce the fair value of a reporting unit below its carrying value. Factors that may be considered a change in circumstances, indicating that the carrying value of our goodwill or indefinite-lived intangible assets may not be recoverable, include a decline in stock price and market capitalization, reduced future cash flow estimates and slower growth rates in our industry or our customers' industries. We may be required to record a significant charge in our financial statements during a period in which any impairment of our goodwill or indefinite-lived intangible assets is determined, negatively impacting our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Compliance and Regulation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past, existing or new laws, rules and regulations, or to obtain and maintain required licenses, could materially and adversely affect our business, financial condition and results of operations.</w:t>
      </w:r>
    </w:p>
    <w:p>
      <w:pPr>
        <w:spacing w:after="0" w:line="1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market and provide services in heavily regulated industries through a number of different channels across the United States. As a result, our businesses have been and remain subject to a variety of statutes, rules, regulations, policies and procedures in various jurisdictions in the United States, which are subject to change at any time. The failure of our businesses to comply with past, existing or new laws, rules and regulations, or to obtain and maintain required licenses, could result in administrative fines and/or proceedings against us or our businesses by governmental agencies and/or litigation by consumers, which could materially and adversely affect our business, financial condition and results of operations and our brand.</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businesses conduct marketing activities via the telephone, the mail and/or through online marketing channels, which general marketing activities are governed by numerous federal and state regulations, such as the Telemarketing Sales Rule, state telemarketing laws, federal and state privacy laws, the CAN-SPAM Act, the Telephone Consumer Protection Act and the Federal Trade Commission Act and its accompanying regulations and guidelines, among others. Increased regulation by the U.S. Federal Trade Commission ("FTC") and Federal Communications Commission ("FCC") has resulted in restrictions on telephone calls to residential and wireless telephone subscribers.</w:t>
      </w:r>
    </w:p>
    <w:p>
      <w:pPr>
        <w:spacing w:after="0" w:line="8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Additional federal, state and in some instances, local, laws regulate residential lending activities, which impacts the marketplace, lenders and consumers. These laws generally regulate the manner in which lending and lending-related activities are marketed or made available, including advertising and other consumer disclosures, payments for services and record keeping requirements; these laws include RESPA, the Fair Credit Reporting Act, the Truth in Lending Act, the Equal Credit Opportunity Act, the Fair Housing Act and various state laws. State laws often restrict the amount of interest and fees that may be charged by a lender or mortgage broker, or otherwise regulate the manner in which lenders or mortgage brokers operate or advertise.</w:t>
      </w:r>
    </w:p>
    <w:p>
      <w:pPr>
        <w:spacing w:after="0" w:line="5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Failure to comply with applicable laws and regulatory requirements may result in, among other things, revocation of or inability to renew required licenses or registrations, loss of approval status, termination of contracts without compensation,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enforcement actions and fines, private lawsuits, including those styled as class actions, cease and desist orders and civil and criminal liability.</w:t>
      </w:r>
    </w:p>
    <w:p>
      <w:pPr>
        <w:spacing w:after="0" w:line="14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Most states require licenses to solicit, broker or make loans secured by residential mortgages and other consumer loans to residents of those states, as well as to operate real estate referral and brokerage services, and in many cases require the licensure or registration of individual employees engaged in aspects of these businesses. In 2008, Congress mandated that all states adopt certain minimum standards for the licensing of individuals involved in mortgage lending or loan brokering, and many state legislatures and state agencies have adopted or are in the process of adopting and implementing additional licensing, continuing education and similar requirements on mortgage lenders, brokers and their employees. Compliance with these new requirements may render it more difficult for us and our Network Lenders to operate or may raise our internal costs or the costs of our Network Lenders, which may be passed on to us through less favorable commercial arrangements. While our businesses have endeavored to comply with applicable requirements, the application of these requirements to persons operating online is not always clear. Moreover, any of the licenses or rights currently held by our businesses or our employees may be revoked prior to, or may not be renewed upon, their expiration. In addition, our businesses or our employees may not be granted new licenses or rights for which they may be required to apply from time to time in the future.</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Likewise, states or municipalities may adopt statutes or regulations making it unattractive, impracticable or infeasible for our businesses to continue to conduct business in such jurisdictions. The withdrawal from any jurisdiction due to emerging legal requirements could materially and adversely affect our business, financial condition and results of operations.</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businesses are also subject to various state, federal and/or local laws, rules and regulations that regulate the amount and nature of fees that may be charged for transactions and incentives, such as rebates, that may be offered to consumers by our businesses, as well as the manner in which these businesses may offer, advertise or promote transactions. For example, RESPA generally prohibits the payment or receipt of referral fees and fee shares or splits in connection with residential mortgage loan transactions, subject to certain exceptions. The applicability of referral fee and fee sharing prohibitions to lenders and real estate providers, including online networks, may have the effect of reducing the types and amounts of fees that may be charged or paid in connection with real estate-secured loan offerings or activities, including mortgage brokerage, lending and real estate brokerage services, or otherwise limiting our and our Network Lenders' ability to conduct marketing and referral activities.</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Various federal, state and in some instances, local, laws also prohibit unfair and deceptive sales practices. We have adopted appropriate policies and procedures to address these requirements (such as appropriate consumer disclosures and call scripting, call monitoring and other quality assurance and compliance measures), but it is not possible to ensure that all employees comply with our policies and procedures at all times.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Compliance with these laws, rules and regulations is a significant component of our internal costs, and new laws, rules and regulations are frequently proposed and adopted, requiring us to adopt new procedures and practices. Changes to existing laws, rules and regulations or changes to interpretation of existing laws, rules and regulations could result in further restriction of activities incidental to our business and could have a material and adverse effect on our business, results of operation and financial condition.</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Parties through which our businesses conduct business similarly may be subject to federal and state regulation. These parties typically act as independent contractors and not as agents in their solicitations and transactions with consumers. We cannot ensure that these entities will comply with applicable laws and regulations at all times. Failure on the part of a lender, secondary market purchaser, website operator or other third party to comply with these laws or regulations could result in, among other things, claims of vicarious liability or a negative impact on our reputation and business.</w:t>
      </w:r>
    </w:p>
    <w:p>
      <w:pPr>
        <w:spacing w:after="0" w:line="6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Regulatory authorities and private plaintiffs may allege that we failed to comply with applicable laws, rules and regulations where we believe we have complied. These allegations may relate to past conduct and/or past business operations, such as our discontinued real estate brokerage operation (which was subject to various state and local laws, rules and regulations). Even allegations that our activities have not complied or do not comply with all applicable laws and regulations may have a material and adverse effect on our business, financial condition and results of operations. The alleged violation of such laws, rules or regulations may entitle an individual plaintiff to seek monetary damages, or may entitle an enforcing government agency to seek significant civil or criminal penalties, costs and attorneys' fees. Regardless of its merit, an allegation typically requires legal fee expenditures to defend against. We have in the past and may in the future decide to settle allegations of non-compliance with laws, rules and regulations when we determine that the cost of settlement is less than the cost and risk of continuing to defend against an allegation. Settlements may require us to pay monetary fines and may require us to adopt new procedures and practices, which may render it more difficult to operate or may raise our internal costs. The future occurrence of one or more of these events could have a material and adverse effect on our business, financial condition and results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collection, processing, storage, use and disclosure of personal data could give rise to liabilities as a result of governmental regulation, conflicting legal requirements or differing views of personal privacy rights.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processing of consumer transactions, our businesses receive, transmit and store a large volume of personally identifiable information and other user data. The collection, sharing, use, disclosure and protection of this information are governed by the privacy and data security policies maintained by us and our businesses. Moreover, there are federal, state and international laws regarding privacy and the storing, sharing, use, disclosure and protection of personally identifiable information and user data. Specifically, personally identifiable information is increasingly subject to legislation and regulations in numerous jurisdictions around the world, the intent of which is to protect the privacy of personal information that is collected, processed and transmitted in or from the governing jurisdiction. We could be materially and adversely affected if legislation or regulations are expanded to require changes in business practices or privacy policies, or if governing jurisdictions interpret or implement their legislation or regulations in ways that negatively affect our business, financial condition and results of operations.</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failure, and/or the failure by the various third-party vendors and service providers with whom we do business, to comply with applicable privacy policies or federal, state or similar international laws and regulations or any compromise of security that results in the unauthorized release of personally identifiable information or other user data could damage the reputation of these businesses, discourage potential users from our products and services and/or result in fines and/or proceedings by governmental agencies and/or consumers, one or all of which could materially and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regulation of the Internet could negatively affect our business.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Laws, rules and regulations governing Internet communications, advertising and e-commerce are dynamic and the extent of future government regulation is uncertain. Federal and state regulations govern various aspects of our online business, including intellectual property ownership and infringement, trade secrets, the distribution of electronic communications, marketing and advertising, user privacy and data security, search engines and Internet tracking technologies. Future taxation on the use of the Internet or e-commerce transactions could also be imposed. Existing or future regulation or taxation could hinder growth in or negatively impact the use of the Internet generally, including the viability of Internet e-commerce, which could reduce our revenue, increase our operating expenses and expose us to significant liabilities.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Dodd-Frank Wall Street Reform and Consumer Protection Act and related legislative and regulatory actions may have a significant impact on our business, results of operations and financial condition.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July 2010, the President signed into law the Dodd-Frank Act, which contains a comprehensive set of provisions designed to govern the practices and oversight of financial institutions and other participants in the financial markets. The Dodd-Frank Act requires various federal agencies to adopt a broad range of new rules and regulations, many of which have not yet been adopted and to prepare numerous studies and reports for Congress, which could result in additional legislative or regulatory action. The Dodd-Frank Act, as well as other legislative and regulatory changes, could have a significant impact on us by, for example, requiring us to change our business practices, limiting our ability to pursue business opportunities, imposing additional costs on us, limiting fees we can charge, impacting the value of our assets, or otherwise adversely affecting our businesses. Among other things, the Dodd-Frank Act established the Consumer Financial Protection Bureau to regulate consumer financial services and products, including credit, savings and payment products. The effect of the Dodd-Frank Act on our business and operations has been and could continue to be significant, depending upon remaining implementing regulations, the actions of our competitors and the behavior of other marketplace participants. In addition, we have been, and likely will continue to be, required to invest significant management time and resources to address the various provisions of the Dodd-Frank Act and the numerous regulations that are required to be issued under it.</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light of recent conditions in the U.S. financial markets and economy, as well as a heightened regulatory and Congressional focus on consumer lending, regulators have increased their scrutiny of the financial services industry, the result of which has included new regulations and guidance. We are unable to predict the long-term impact of this enhanced scrutiny. We are also unable to predict whether any additional or similar changes to statutes or regulations, including the interpretation or implementation thereof, will occur in the future.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Network Lenders fail to produce required documents for examination by, or other affiliated parties fail to make certain filings with, state regulators, we may be subject to fines, forfeitures and the revocation of required licenses.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Some of the states in which our businesses maintain licenses require them to collect various loan documents from Network Lenders and produce these documents for examination by state regulators. While Network Lenders are contractually obligated to provide these documents upon request, these measures may be insufficient. Failure to produce required documents for examination could result in fines, as well as the revocation of our licenses to operate in certain states, which could have a material and adverse effect on our business, financial condition and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Regulations promulgated by some states may impose compliance obligations on directors, executive officers, large customers and any person who acquires a certain percentage (for example, 10% or more) of our common stock, including requiring such persons to periodically file financial and other personal and business information with state regulators. If any such person refuses or fails to comply with these requirements, we may be unable to obtain certain licenses and existing licensing arrangements may be jeopardized. The inability to obtain, or the loss of, required licenses could have a material and adverse effect on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Fluctuations in our operating results, quarter to quarter earnings and other factors may result in significant decreases in the price of our common stock.</w:t>
      </w:r>
    </w:p>
    <w:p>
      <w:pPr>
        <w:spacing w:after="0" w:line="20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market price for our common stock has been volatile since our spin-off. In addition, the trading volume in our common stock has fluctuated and may continue to fluctuate, causing significant price variations to occur. As of December 31, 2015, since our spin-off, the price per share of our common stock has fluctuated from an intra-day low of $1.42 per share to an intra-day high of $139.59 per share. If the market price of our shares declines significantly, the value of an investment in our common stock would decline. The market price of our common stock may fluctuate or decline significantly in the future. Some of the factors that could negatively affect the price of our common stock or result in fluctuations in the price or trading volume of our common stock include:</w:t>
      </w:r>
    </w:p>
    <w:p>
      <w:pPr>
        <w:spacing w:after="0" w:line="5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meet analysts' earnings estimates;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publication of research reports about us, our Network Lenders or our industry or the failure of securities analysts to cover our common shares or our industry;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preference or common shares we may issue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dividend payment policy or failure to execute our existing policy;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actions by shareholders;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market valuations of other companies in our industry, including our customers and competitors;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partnerships, joint ventures or capital commitments;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speculation in the press or investment community, including short selling;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affecting our industry or enforcement of these laws and regulations, or announcements relating to these matters.</w:t>
      </w:r>
    </w:p>
    <w:p>
      <w:pPr>
        <w:spacing w:after="0" w:line="11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Recently, and in the past, the stock market has experienced extreme price and volume fluctuations. These market fluctuations could result in extreme volatility in the trading price of our common stock, which could cause a decline in the value of your investment in our common shares. In addition, the trading price of our common stock could decline for reasons unrelated to our business or financial results, including in reaction to events that affect other companies in our industry even if those events do not directly affect us. You should also be aware that price volatility may be greater if the public float and trading volume of our common stock are low. These factors may result in short-term or long-term negative pressure on the value of our common stock.</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trading market for internet marketplace operators and lead-generation companies depends, in part, on the research and reports that securities or industry analysts publish about the industry and specific companies. If one or more analysts covering us currently or in the future fail to publish reports on us regularly, demand for our common stock could decline, which could cause our stock price and trading volume to decline. If one or more recognized securities or industry analysts that cover our company or our industry in the future downgrades our common stock or publishes inaccurate or unfavorable research about our business or industry, our stock price would likely decline.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Two holders of our common stock own a substantial portion of our outstanding common stock, which concentrates voting control and limits your ability to influence corporate matters.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February 19, 2016, Douglas Lebda, our Chairman and Chief Executive Officer, and Liberty Interactive Corporation beneficially owned approximately 21% and 23%, respectively, of our outstanding common stock. Liberty Interactive also has the right to nominate 20% of the total number of directors serving on the board, rounded up. Two of our seven directors, Neal Dermer and Craig Troyer, were nominated by Liberty Interactive.</w:t>
      </w:r>
    </w:p>
    <w:p>
      <w:pPr>
        <w:spacing w:after="0" w:line="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Therefore, for the foreseeable future, Mr. Lebda and Liberty Interactive will each have influence over our management and affairs and all matters requiring shareholder approval, including the election or removal (with or without cause) of directors and approval of any significant corporate transaction, such as a merger or other sale of us or our assets. The interests of Mr. Lebda or Liberty Interactive may not necessarily align with the interests of our other stockholders. Mr. Lebda or Liberty Interactive could elect to sell a significant interest in us and you may receive less than the then-current fair market value or the price you paid for your shares as a result of such transaction. This concentrated control could delay, defer or prevent a change of control, merger, consolidation, takeover or other business combination involving us that other stockholders may otherwise support. This concentrated control could also discourage a potential investor from acquiring our common stock and might harm the market price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will have broad discretion as to the use of proceeds from the November 2015 equity offering.</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We intend to use the proceeds of the November 2015 equity offering for general corporate purposes, including but not limited to, working capital and potential acquisitions. We have not designated the amount of net proceeds we will use for any particular purpose and our management will retain broad discretion to allocate the net proceeds of the offering. Moreover, our management may use the proceeds for corporate purposes that may not increase our market value or make us more profitable. In addition, it may take us some time to effectively deploy the proceeds from the equity offering. Until the proceeds are effectively deployed, our return on equity and earnings per share may be negatively impacted. Management's failure to use the net proceeds of the equity offering effectively could have an adverse effect on our business, financial condition and results of operations. For additional information on the equity offering,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7—Shareholders' Equity, in the notes to the consolidated financial statements included elsewhere in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common stock by our existing stockholders may cause our stock price to fall.</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market price of our common stock could decline as a result of sales by our existing stockholders in the market, or the perception that these sales could occur. These sales might also make it more difficult for us to sell equity securities at a time and price that we deem appropriate.</w:t>
      </w:r>
    </w:p>
    <w:p>
      <w:pPr>
        <w:spacing w:after="0" w:line="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issue additional shares of our common stock in the future pursuant to current or future equity incentive plans, or in connection with future acquisitions or financings. If we were to raise capital in the future by selling shares of our common stock, or securities that are convertible into our common stock or issuing shares of our common stock in a business acquisition, their issuance would have a dilutive effect on the percentage ownership of our stockholders and, depending on the prices at which such shares or convertible securities are sold or issued, on their investment in our common stock and, therefore, could have a material adverse effect on the market prices of our common stock.</w:t>
      </w:r>
    </w:p>
    <w:p>
      <w:pPr>
        <w:spacing w:after="0" w:line="13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Under a registration rights agreement with Liberty Interactive, Liberty Interactive and its permitted transferees are entitled to three demand registrations rights (and unlimited piggyback registration rights) in respect of the shares of our common stock received by Liberty Interactive as a result of the spin-off and other shares of our common stock acquired by Liberty Interactive or its affiliates. These holders will also be permitted to exercise their registration rights in connection with certain hedging transactions that they may enter into in respect of the registrable shares. The presence of additional shares of our common stock trading in the public market, as a result of the exercise of such registration rights, may have an adverse effect on the market price of our securities.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stockholders to replace or remove our management and affect the market price of our common stock.</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Provisions in our certificate of incorporation and bylaws, as amended and restated, may have the effect of delaying or preventing a change of control or changes in our management. Our amended and restated articles of incorporation and/or amended and restated bylaws include provisions that:</w:t>
      </w:r>
    </w:p>
    <w:p>
      <w:pPr>
        <w:spacing w:after="0" w:line="16"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our stockholders, up to five million shares of undesignated preferred stock, sometimes referred to as "blank check preferred";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the affirmative vote of a majority of directors then in office or by the sole remaining director;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that only our board of directors may change the size of our board of directors;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may be called only by or at the direction of our board of directors or by a person specifically designated with such authority by the board;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 stockholders from taking action by written consent.</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provisions described above may frustrate or prevent any attempts by our stockholders to replace or remove our current management by making it more difficult for stockholders to replace members of our board of directors, which is responsible for appointing our management. These provisions may also have the effect of delaying or preventing a change of control of our company, even if stockholders support such a change of control.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any cash dividends on our common stock in the foreseeable future.</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We have not declared or paid a cash dividend on our common stock during the three most recent fiscal years. We have no current intention to declare or pay cash dividends on our common stock in the foreseeable future. In addition, the Revolving Credit Facility contains certain restrictions on our ability to pay dividends.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10—Revolving Credit Facility, in the notes to the consolidated financial statements included elsewhere in this report. The declaration, payment and amount of future cash dividends, if any, will be at the discretion of our board of directors. As a result, capital appreciation, if any, of our common stock will be the sole source of gain for the foreseeable future for holders of our common stock.</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results fluctuate as a result of seasonality, which may make it difficult to predict our future performance and may adversely affect our common stock price.</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Our mortgage products business is historically subject to seasonal trends. These trends reflect the general patterns of the mortgage industry and housing sales, which typically peak in the spring and summer seasons. In recent periods, broader cyclical trends in interest rates, as well as the mortgage and real estate markets, have upset the customary seasonal trends. However, seasonal trends may resume and our quarterly operating results may fluctuate. Our non-mortgage products businesses have various seasonality trends which may create further uncertainty in our quarterly operating results if these business become more significant components of our total revenue.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1. Business—Seasonality" included elsewhere in this report for more information. Any of these seasonal trends, or the combination of them, may negatively impact the price of our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principal executive offices are currently located in approximately 37,800 square feet of office space in Charlotte, North Carolina under a lease that expires in December 2020. In addition, we have offices located in approximately 6,100 square feet of office space in Burlingame, California under a lease that expires in March 2017 and approximately 13,000 square feet of additional office space in Charlotte, North Carolina under a lease that expires in August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12</w:t>
      </w:r>
      <w:r>
        <w:rPr>
          <w:rFonts w:ascii="Arial" w:cs="Arial" w:eastAsia="Arial" w:hAnsi="Arial"/>
          <w:sz w:val="18"/>
          <w:szCs w:val="18"/>
          <w:b w:val="1"/>
          <w:bCs w:val="1"/>
          <w:color w:val="auto"/>
        </w:rPr>
        <w:t>—</w:t>
      </w:r>
      <w:r>
        <w:rPr>
          <w:rFonts w:ascii="Arial" w:cs="Arial" w:eastAsia="Arial" w:hAnsi="Arial"/>
          <w:sz w:val="18"/>
          <w:szCs w:val="18"/>
          <w:color w:val="auto"/>
        </w:rPr>
        <w:t>Contingencies in the notes to the consolidated financial statements included elsewhere in this report for a discussion of our current litigation.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Market Information, Holders and Dividends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common stock is quoted on the NASDAQ Global Select Market under the ticker symbol "TREE". The table below sets forth, for the calendar periods indicated, the high and low intraday sales prices per share for LendingTree common stock as reported on the NASDAQ Stock Market. The stock price information is based on published financial sources.</w:t>
      </w:r>
    </w:p>
    <w:p>
      <w:pPr>
        <w:spacing w:after="0" w:line="276" w:lineRule="exact"/>
        <w:rPr>
          <w:sz w:val="20"/>
          <w:szCs w:val="20"/>
          <w:color w:val="auto"/>
        </w:rPr>
      </w:pPr>
    </w:p>
    <w:p>
      <w:pPr>
        <w:ind w:left="40"/>
        <w:spacing w:after="0"/>
        <w:tabs>
          <w:tab w:leader="none" w:pos="9420" w:val="left"/>
          <w:tab w:leader="none" w:pos="10680" w:val="left"/>
        </w:tabs>
        <w:rPr>
          <w:sz w:val="20"/>
          <w:szCs w:val="20"/>
          <w:color w:val="auto"/>
        </w:rPr>
      </w:pPr>
      <w:r>
        <w:rPr>
          <w:rFonts w:ascii="Arial" w:cs="Arial" w:eastAsia="Arial" w:hAnsi="Arial"/>
          <w:sz w:val="16"/>
          <w:szCs w:val="16"/>
          <w:b w:val="1"/>
          <w:bCs w:val="1"/>
          <w:color w:val="auto"/>
        </w:rPr>
        <w:t>Year Ended December 31, 2015</w:t>
      </w:r>
      <w:r>
        <w:rPr>
          <w:sz w:val="20"/>
          <w:szCs w:val="20"/>
          <w:color w:val="auto"/>
        </w:rPr>
        <w:tab/>
      </w:r>
      <w:r>
        <w:rPr>
          <w:rFonts w:ascii="Arial" w:cs="Arial" w:eastAsia="Arial" w:hAnsi="Arial"/>
          <w:sz w:val="16"/>
          <w:szCs w:val="16"/>
          <w:b w:val="1"/>
          <w:bCs w:val="1"/>
          <w:color w:val="auto"/>
        </w:rPr>
        <w:t>High</w:t>
      </w:r>
      <w:r>
        <w:rPr>
          <w:sz w:val="20"/>
          <w:szCs w:val="20"/>
          <w:color w:val="auto"/>
        </w:rPr>
        <w:tab/>
      </w:r>
      <w:r>
        <w:rPr>
          <w:rFonts w:ascii="Arial" w:cs="Arial" w:eastAsia="Arial" w:hAnsi="Arial"/>
          <w:sz w:val="15"/>
          <w:szCs w:val="15"/>
          <w:b w:val="1"/>
          <w:bCs w:val="1"/>
          <w:color w:val="auto"/>
        </w:rPr>
        <w:t>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58.00</w:t>
            </w:r>
          </w:p>
        </w:tc>
        <w:tc>
          <w:tcPr>
            <w:tcW w:w="3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38.85</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6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78.78</w:t>
            </w: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54.32</w:t>
            </w:r>
          </w:p>
        </w:tc>
      </w:tr>
      <w:tr>
        <w:trPr>
          <w:trHeight w:val="27"/>
        </w:trPr>
        <w:tc>
          <w:tcPr>
            <w:tcW w:w="56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139.59</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73.56</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6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131.83</w:t>
            </w: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85.18</w:t>
            </w:r>
          </w:p>
        </w:tc>
      </w:tr>
      <w:tr>
        <w:trPr>
          <w:trHeight w:val="27"/>
        </w:trPr>
        <w:tc>
          <w:tcPr>
            <w:tcW w:w="5640" w:type="dxa"/>
            <w:vAlign w:val="bottom"/>
            <w:tcBorders>
              <w:bottom w:val="single" w:sz="8" w:color="999999"/>
            </w:tcBorders>
          </w:tcPr>
          <w:p>
            <w:pPr>
              <w:spacing w:after="0"/>
              <w:rPr>
                <w:sz w:val="2"/>
                <w:szCs w:val="2"/>
                <w:color w:val="auto"/>
              </w:rPr>
            </w:pPr>
          </w:p>
        </w:tc>
        <w:tc>
          <w:tcPr>
            <w:tcW w:w="3660" w:type="dxa"/>
            <w:vAlign w:val="bottom"/>
            <w:tcBorders>
              <w:bottom w:val="single" w:sz="8" w:color="999999"/>
            </w:tcBorders>
          </w:tcPr>
          <w:p>
            <w:pPr>
              <w:spacing w:after="0"/>
              <w:rPr>
                <w:sz w:val="2"/>
                <w:szCs w:val="2"/>
                <w:color w:val="auto"/>
              </w:rPr>
            </w:pPr>
          </w:p>
        </w:tc>
        <w:tc>
          <w:tcPr>
            <w:tcW w:w="900" w:type="dxa"/>
            <w:vAlign w:val="bottom"/>
            <w:tcBorders>
              <w:bottom w:val="single" w:sz="8" w:color="999999"/>
            </w:tcBorders>
          </w:tcPr>
          <w:p>
            <w:pPr>
              <w:spacing w:after="0"/>
              <w:rPr>
                <w:sz w:val="2"/>
                <w:szCs w:val="2"/>
                <w:color w:val="auto"/>
              </w:rPr>
            </w:pPr>
          </w:p>
        </w:tc>
        <w:tc>
          <w:tcPr>
            <w:tcW w:w="360" w:type="dxa"/>
            <w:vAlign w:val="bottom"/>
            <w:tcBorders>
              <w:bottom w:val="single" w:sz="8" w:color="999999"/>
            </w:tcBorders>
          </w:tcPr>
          <w:p>
            <w:pPr>
              <w:spacing w:after="0"/>
              <w:rPr>
                <w:sz w:val="2"/>
                <w:szCs w:val="2"/>
                <w:color w:val="auto"/>
              </w:rPr>
            </w:pPr>
          </w:p>
        </w:tc>
        <w:tc>
          <w:tcPr>
            <w:tcW w:w="860" w:type="dxa"/>
            <w:vAlign w:val="bottom"/>
            <w:tcBorders>
              <w:bottom w:val="single" w:sz="8" w:color="999999"/>
            </w:tcBorders>
          </w:tcPr>
          <w:p>
            <w:pPr>
              <w:spacing w:after="0"/>
              <w:rPr>
                <w:sz w:val="2"/>
                <w:szCs w:val="2"/>
                <w:color w:val="auto"/>
              </w:rPr>
            </w:pPr>
          </w:p>
        </w:tc>
      </w:tr>
      <w:tr>
        <w:trPr>
          <w:trHeight w:val="636"/>
        </w:trPr>
        <w:tc>
          <w:tcPr>
            <w:tcW w:w="564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2014</w:t>
            </w:r>
          </w:p>
        </w:tc>
        <w:tc>
          <w:tcPr>
            <w:tcW w:w="3660" w:type="dxa"/>
            <w:vAlign w:val="bottom"/>
          </w:tcPr>
          <w:p>
            <w:pPr>
              <w:spacing w:after="0"/>
              <w:rPr>
                <w:sz w:val="24"/>
                <w:szCs w:val="24"/>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High</w:t>
            </w:r>
          </w:p>
        </w:tc>
        <w:tc>
          <w:tcPr>
            <w:tcW w:w="360" w:type="dxa"/>
            <w:vAlign w:val="bottom"/>
          </w:tcPr>
          <w:p>
            <w:pPr>
              <w:spacing w:after="0"/>
              <w:rPr>
                <w:sz w:val="24"/>
                <w:szCs w:val="24"/>
                <w:color w:val="auto"/>
              </w:rPr>
            </w:pPr>
          </w:p>
        </w:tc>
        <w:tc>
          <w:tcPr>
            <w:tcW w:w="860" w:type="dxa"/>
            <w:vAlign w:val="bottom"/>
          </w:tcPr>
          <w:p>
            <w:pPr>
              <w:jc w:val="right"/>
              <w:ind w:right="331"/>
              <w:spacing w:after="0"/>
              <w:rPr>
                <w:sz w:val="20"/>
                <w:szCs w:val="20"/>
                <w:color w:val="auto"/>
              </w:rPr>
            </w:pPr>
            <w:r>
              <w:rPr>
                <w:rFonts w:ascii="Arial" w:cs="Arial" w:eastAsia="Arial" w:hAnsi="Arial"/>
                <w:sz w:val="16"/>
                <w:szCs w:val="16"/>
                <w:b w:val="1"/>
                <w:bCs w:val="1"/>
                <w:color w:val="auto"/>
              </w:rPr>
              <w:t>Low</w:t>
            </w:r>
          </w:p>
        </w:tc>
      </w:tr>
      <w:tr>
        <w:trPr>
          <w:trHeight w:val="33"/>
        </w:trPr>
        <w:tc>
          <w:tcPr>
            <w:tcW w:w="56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35.05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29.76</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6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31.66</w:t>
            </w: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22.94</w:t>
            </w:r>
          </w:p>
        </w:tc>
      </w:tr>
      <w:tr>
        <w:trPr>
          <w:trHeight w:val="27"/>
        </w:trPr>
        <w:tc>
          <w:tcPr>
            <w:tcW w:w="56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36.00</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24.61</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6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48.84</w:t>
            </w: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33.72</w:t>
            </w:r>
          </w:p>
        </w:tc>
      </w:tr>
      <w:tr>
        <w:trPr>
          <w:trHeight w:val="27"/>
        </w:trPr>
        <w:tc>
          <w:tcPr>
            <w:tcW w:w="5640" w:type="dxa"/>
            <w:vAlign w:val="bottom"/>
            <w:tcBorders>
              <w:bottom w:val="single" w:sz="8" w:color="999999"/>
            </w:tcBorders>
          </w:tcPr>
          <w:p>
            <w:pPr>
              <w:spacing w:after="0"/>
              <w:rPr>
                <w:sz w:val="2"/>
                <w:szCs w:val="2"/>
                <w:color w:val="auto"/>
              </w:rPr>
            </w:pPr>
          </w:p>
        </w:tc>
        <w:tc>
          <w:tcPr>
            <w:tcW w:w="3660" w:type="dxa"/>
            <w:vAlign w:val="bottom"/>
            <w:tcBorders>
              <w:bottom w:val="single" w:sz="8" w:color="999999"/>
            </w:tcBorders>
          </w:tcPr>
          <w:p>
            <w:pPr>
              <w:spacing w:after="0"/>
              <w:rPr>
                <w:sz w:val="2"/>
                <w:szCs w:val="2"/>
                <w:color w:val="auto"/>
              </w:rPr>
            </w:pPr>
          </w:p>
        </w:tc>
        <w:tc>
          <w:tcPr>
            <w:tcW w:w="900" w:type="dxa"/>
            <w:vAlign w:val="bottom"/>
            <w:tcBorders>
              <w:bottom w:val="single" w:sz="8" w:color="999999"/>
            </w:tcBorders>
          </w:tcPr>
          <w:p>
            <w:pPr>
              <w:spacing w:after="0"/>
              <w:rPr>
                <w:sz w:val="2"/>
                <w:szCs w:val="2"/>
                <w:color w:val="auto"/>
              </w:rPr>
            </w:pPr>
          </w:p>
        </w:tc>
        <w:tc>
          <w:tcPr>
            <w:tcW w:w="360" w:type="dxa"/>
            <w:vAlign w:val="bottom"/>
            <w:tcBorders>
              <w:bottom w:val="single" w:sz="8" w:color="999999"/>
            </w:tcBorders>
          </w:tcPr>
          <w:p>
            <w:pPr>
              <w:spacing w:after="0"/>
              <w:rPr>
                <w:sz w:val="2"/>
                <w:szCs w:val="2"/>
                <w:color w:val="auto"/>
              </w:rPr>
            </w:pPr>
          </w:p>
        </w:tc>
        <w:tc>
          <w:tcPr>
            <w:tcW w:w="860" w:type="dxa"/>
            <w:vAlign w:val="bottom"/>
            <w:tcBorders>
              <w:bottom w:val="single" w:sz="8" w:color="999999"/>
            </w:tcBorders>
          </w:tcPr>
          <w:p>
            <w:pPr>
              <w:spacing w:after="0"/>
              <w:rPr>
                <w:sz w:val="2"/>
                <w:szCs w:val="2"/>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February 19, 2016, there were approximately 870 holders of record of our common stock and the closing price of the common stock was $63.69.</w:t>
      </w:r>
    </w:p>
    <w:p>
      <w:pPr>
        <w:spacing w:after="0" w:line="14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We have not declared a cash dividend on our common stock during the three most recent fiscal years. We have no current intention to declare or pay cash dividends on our common stock in the foreseeable future. The declaration, payment and amount of future cash dividends, if any, will be at the discretion of our board of directors. The revolving credit facility we entered into on October 22, 2015 contains contractual restrictions on our ability to pay dividends.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10—Revolving Credit Facility, in the notes to the consolidated financial statements included elsewhere in this report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The performance graph shall not be deemed "filed" for purposes of Section 18 of the Exchange Act or incorporated by reference into any filings under the Securities Act or the Exchange Act, except as otherwise expressly set forth by specific reference in such filing.</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Set forth below is a line graph, for the period from December 31, 2010 through December 31, 2015, comparing the cumulative total stockholder return of $100 invested (assuming that all dividends were reinvested) in (1) our common stock, (2) the cumulative return of all companies listed on the NASDAQ Composite Index and (3) the cumulative total return of the Research Development Group ("RDG") Internet index. Returns over the indicated periods should not be considered indicative of future stock prices or stockholder returns.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374650</wp:posOffset>
            </wp:positionV>
            <wp:extent cx="5042535" cy="4081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42535" cy="408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2015, we did not issue or sell any shares of our common stock or other equity securities in transactions that were not registered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January 2010, our board of directors approved and we announced a stock repurchase program which allowed for the repurchase of up to $10.0 million of our common stock. In May 2014, our board of directors authorized and we announced an additional $10.0 million to the stock repurchase program. At December 31, 2015, approximately $7.3 million remained authorized for share repurchase under this program.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No shares of common stock were repurchased under the stock repurchase program during the quarter ended December 31, 2015. In January 2016, our board of directors authorized and we announced an additional $50.0 million to the stock repurchase program. In February 2016, the board of directors further authorized and we announced the addition of up to $40.0 million under the stock repurchase program. Between January 1, 2016 and February 26, 2016, 573,370 shares of common stock were repurchased and as of February 26, 2016, approximately $57.3 million remains authorized for share repurchase.</w:t>
      </w:r>
    </w:p>
    <w:p>
      <w:pPr>
        <w:spacing w:after="0" w:line="6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the LendingTree Fourth Amended and Restated 2008 Stock and Award Incentive Plan allows employees to forfeit shares of our common stock to satisfy federal and state withholding obligations upon the exercise of stock options, the settlement of restricted stock unit awards and the vesting of restricted stock awards granted to those individuals under this plan. During the quarter ended December 31, 2015, 12,395 shares were purchased related to these obligations under the LendingTree Fourth Amended and Restated 2008 Stock and Award Incentive Plan. The withholding of those shares does not affect the dollar amount or number of shares that may be purchased under the stock repurchase program described above.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December 31,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center"/>
              <w:ind w:right="101"/>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5"/>
              </w:rPr>
              <w:t>Number/Approximate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2"/>
                <w:szCs w:val="12"/>
                <w:color w:val="auto"/>
              </w:rPr>
            </w:pPr>
          </w:p>
        </w:tc>
        <w:tc>
          <w:tcPr>
            <w:tcW w:w="17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Average Price</w:t>
            </w:r>
          </w:p>
        </w:tc>
        <w:tc>
          <w:tcPr>
            <w:tcW w:w="16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6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340" w:type="dxa"/>
            <w:vAlign w:val="bottom"/>
            <w:gridSpan w:val="2"/>
            <w:vMerge w:val="continue"/>
          </w:tcPr>
          <w:p>
            <w:pPr>
              <w:spacing w:after="0"/>
              <w:rPr>
                <w:sz w:val="16"/>
                <w:szCs w:val="16"/>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 xml:space="preserve">Shares Purchased </w:t>
            </w:r>
            <w:r>
              <w:rPr>
                <w:rFonts w:ascii="Arial" w:cs="Arial" w:eastAsia="Arial" w:hAnsi="Arial"/>
                <w:sz w:val="8"/>
                <w:szCs w:val="8"/>
                <w:b w:val="1"/>
                <w:bCs w:val="1"/>
                <w:color w:val="auto"/>
                <w:w w:val="89"/>
              </w:rPr>
              <w:t>(1)</w:t>
            </w:r>
          </w:p>
        </w:tc>
        <w:tc>
          <w:tcPr>
            <w:tcW w:w="300" w:type="dxa"/>
            <w:vAlign w:val="bottom"/>
          </w:tcPr>
          <w:p>
            <w:pPr>
              <w:spacing w:after="0"/>
              <w:rPr>
                <w:sz w:val="16"/>
                <w:szCs w:val="16"/>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Paid per Share</w:t>
            </w:r>
          </w:p>
        </w:tc>
        <w:tc>
          <w:tcPr>
            <w:tcW w:w="162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90"/>
        </w:trPr>
        <w:tc>
          <w:tcPr>
            <w:tcW w:w="32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3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10/1/15 - 10/31/15</w:t>
            </w:r>
          </w:p>
        </w:tc>
        <w:tc>
          <w:tcPr>
            <w:tcW w:w="1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11/1/15 - 11/30/15</w:t>
            </w:r>
          </w:p>
        </w:tc>
        <w:tc>
          <w:tcPr>
            <w:tcW w:w="140" w:type="dxa"/>
            <w:vAlign w:val="bottom"/>
          </w:tcPr>
          <w:p>
            <w:pPr>
              <w:spacing w:after="0"/>
              <w:rPr>
                <w:sz w:val="21"/>
                <w:szCs w:val="21"/>
                <w:color w:val="auto"/>
              </w:rPr>
            </w:pPr>
          </w:p>
        </w:tc>
        <w:tc>
          <w:tcPr>
            <w:tcW w:w="1940" w:type="dxa"/>
            <w:vAlign w:val="bottom"/>
          </w:tcPr>
          <w:p>
            <w:pPr>
              <w:jc w:val="right"/>
              <w:ind w:right="36"/>
              <w:spacing w:after="0"/>
              <w:rPr>
                <w:sz w:val="20"/>
                <w:szCs w:val="20"/>
                <w:color w:val="auto"/>
              </w:rPr>
            </w:pPr>
            <w:r>
              <w:rPr>
                <w:rFonts w:ascii="Arial" w:cs="Arial" w:eastAsia="Arial" w:hAnsi="Arial"/>
                <w:sz w:val="18"/>
                <w:szCs w:val="18"/>
                <w:color w:val="auto"/>
              </w:rPr>
              <w:t>11,271</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119.85</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21"/>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12/1/15 - 12/31/15</w:t>
            </w:r>
          </w:p>
        </w:tc>
        <w:tc>
          <w:tcPr>
            <w:tcW w:w="1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1,124</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95.78</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37"/>
        </w:trPr>
        <w:tc>
          <w:tcPr>
            <w:tcW w:w="33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12,395</w:t>
            </w: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117.66</w:t>
            </w:r>
          </w:p>
        </w:tc>
        <w:tc>
          <w:tcPr>
            <w:tcW w:w="1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34"/>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October 2015, November 2015 and December 2015, 0 shares, 11,271 shares and 1,124 shares, respectively (totaling 12,395 shares), were purchased to satisfy federal and state withholding obligations of our employees upon the settlement of restricted stock unit awards, all in accordance with our Fourth Amended and Restated 2008 Stock and Award Incentive Plan, as described above.</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summary financial data presented below represents portions of our consolidated financial statements and are not complete. The following financial information should be read in conjunction with "Item 7. Management's Discussion and Analysis of Financial Condition and Results of Operations" and our consolidated financial statements and notes thereto contained in "Item 8. Financial Statements and Supplementary Data" included elsewhere in this Annual Report. Historical results are not necessarily indicative of future performance or results of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5"/>
          </w:tcPr>
          <w:p>
            <w:pPr>
              <w:jc w:val="center"/>
              <w:ind w:right="170"/>
              <w:spacing w:after="0"/>
              <w:rPr>
                <w:sz w:val="20"/>
                <w:szCs w:val="20"/>
                <w:color w:val="auto"/>
              </w:rPr>
            </w:pPr>
            <w:r>
              <w:rPr>
                <w:rFonts w:ascii="Arial" w:cs="Arial" w:eastAsia="Arial" w:hAnsi="Arial"/>
                <w:sz w:val="16"/>
                <w:szCs w:val="16"/>
                <w:b w:val="1"/>
                <w:bCs w:val="1"/>
                <w:color w:val="auto"/>
                <w:w w:val="91"/>
              </w:rPr>
              <w:t>Year Ended December 31,</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58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2015</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2014</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70"/>
              <w:spacing w:after="0"/>
              <w:rPr>
                <w:sz w:val="20"/>
                <w:szCs w:val="20"/>
                <w:color w:val="auto"/>
              </w:rPr>
            </w:pPr>
            <w:r>
              <w:rPr>
                <w:rFonts w:ascii="Arial" w:cs="Arial" w:eastAsia="Arial" w:hAnsi="Arial"/>
                <w:sz w:val="16"/>
                <w:szCs w:val="16"/>
                <w:b w:val="1"/>
                <w:bCs w:val="1"/>
                <w:color w:val="auto"/>
                <w:w w:val="89"/>
              </w:rPr>
              <w:t>2013</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6"/>
                <w:szCs w:val="16"/>
                <w:b w:val="1"/>
                <w:bCs w:val="1"/>
                <w:color w:val="auto"/>
                <w:w w:val="94"/>
              </w:rPr>
              <w:t xml:space="preserve">2012 </w:t>
            </w:r>
            <w:r>
              <w:rPr>
                <w:rFonts w:ascii="Arial" w:cs="Arial" w:eastAsia="Arial" w:hAnsi="Arial"/>
                <w:sz w:val="21"/>
                <w:szCs w:val="21"/>
                <w:b w:val="1"/>
                <w:bCs w:val="1"/>
                <w:color w:val="auto"/>
                <w:w w:val="94"/>
                <w:vertAlign w:val="superscript"/>
              </w:rPr>
              <w:t>(1)</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2011</w:t>
            </w:r>
          </w:p>
        </w:tc>
      </w:tr>
      <w:tr>
        <w:trPr>
          <w:trHeight w:val="189"/>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00" w:type="dxa"/>
            <w:vAlign w:val="bottom"/>
            <w:gridSpan w:val="5"/>
          </w:tcPr>
          <w:p>
            <w:pPr>
              <w:jc w:val="center"/>
              <w:ind w:right="190"/>
              <w:spacing w:after="0"/>
              <w:rPr>
                <w:sz w:val="20"/>
                <w:szCs w:val="20"/>
                <w:color w:val="auto"/>
              </w:rPr>
            </w:pPr>
            <w:r>
              <w:rPr>
                <w:rFonts w:ascii="Arial" w:cs="Arial" w:eastAsia="Arial" w:hAnsi="Arial"/>
                <w:sz w:val="14"/>
                <w:szCs w:val="14"/>
                <w:b w:val="1"/>
                <w:bCs w:val="1"/>
                <w:i w:val="1"/>
                <w:iCs w:val="1"/>
                <w:color w:val="auto"/>
                <w:w w:val="82"/>
              </w:rPr>
              <w:t>(in thousands, except per share amounts)</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254,216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167,350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139,240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77,443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54,617</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8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51,316</w:t>
            </w: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(487)</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(49,710)</w:t>
            </w:r>
          </w:p>
        </w:tc>
      </w:tr>
      <w:tr>
        <w:trPr>
          <w:trHeight w:val="270"/>
        </w:trPr>
        <w:tc>
          <w:tcPr>
            <w:tcW w:w="58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Income (loss) from discontinued operations </w:t>
            </w:r>
            <w:r>
              <w:rPr>
                <w:rFonts w:ascii="Arial" w:cs="Arial" w:eastAsia="Arial" w:hAnsi="Arial"/>
                <w:sz w:val="25"/>
                <w:szCs w:val="25"/>
                <w:color w:val="auto"/>
                <w:vertAlign w:val="superscript"/>
              </w:rPr>
              <w:t>(3)</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(3,269)</w:t>
            </w:r>
          </w:p>
        </w:tc>
        <w:tc>
          <w:tcPr>
            <w:tcW w:w="30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9,849</w:t>
            </w:r>
          </w:p>
        </w:tc>
        <w:tc>
          <w:tcPr>
            <w:tcW w:w="28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4,620</w:t>
            </w:r>
          </w:p>
        </w:tc>
        <w:tc>
          <w:tcPr>
            <w:tcW w:w="26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48,874</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(9,793)</w:t>
            </w: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and comprehensive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48,047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9,362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3,947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46,625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(59,503)</w:t>
            </w:r>
          </w:p>
        </w:tc>
      </w:tr>
      <w:tr>
        <w:trPr>
          <w:trHeight w:val="324"/>
        </w:trPr>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11,516</w:t>
            </w:r>
          </w:p>
        </w:tc>
        <w:tc>
          <w:tcPr>
            <w:tcW w:w="30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11,188</w:t>
            </w:r>
          </w:p>
        </w:tc>
        <w:tc>
          <w:tcPr>
            <w:tcW w:w="2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11,035</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10,695</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10,377</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12,541</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11,188</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11,035</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10,695</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10,377</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Income (loss) per share from continuing operations: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4.09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(0.04)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per share from 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0.88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4.57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(0.94)</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(0.94)</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Net income (loss) per share:</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3.83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0.84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0.36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4.36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 per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206,975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86,212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91,667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80,190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45,541</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295,781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139,891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152,644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143,171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331,340</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Total long-term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612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4,889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5,437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5,883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5,544</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241,142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96,366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87,008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82,922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45,471</w:t>
            </w:r>
          </w:p>
        </w:tc>
      </w:tr>
      <w:tr>
        <w:trPr>
          <w:trHeight w:val="20"/>
        </w:trPr>
        <w:tc>
          <w:tcPr>
            <w:tcW w:w="5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 June 2012, we sold substantially all of the operating assets of our LendingTree Loans business.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7. Management's Discussion and Analysis of Financial Condition and Results of Operations—Results of Operations for the Years Ended December 31, 2015, 2014 and 2013— Discontinued Operations for more information.</w:t>
      </w:r>
    </w:p>
    <w:p>
      <w:pPr>
        <w:spacing w:after="0" w:line="127" w:lineRule="exact"/>
        <w:rPr>
          <w:rFonts w:ascii="Arial" w:cs="Arial" w:eastAsia="Arial" w:hAnsi="Arial"/>
          <w:sz w:val="18"/>
          <w:szCs w:val="18"/>
          <w:color w:val="auto"/>
        </w:rPr>
      </w:pPr>
    </w:p>
    <w:p>
      <w:pPr>
        <w:ind w:left="500" w:hanging="330"/>
        <w:spacing w:after="0" w:line="342"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In 2015, we released the majority of the valuation allowance, which, along with federal and state income taxes, resulted in a total tax benefit of $23.0 million.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9—Income Taxes in the notes to the consolidated financial statements included elsewhere in this report for additional information.</w:t>
      </w:r>
    </w:p>
    <w:p>
      <w:pPr>
        <w:spacing w:after="0" w:line="69" w:lineRule="exact"/>
        <w:rPr>
          <w:rFonts w:ascii="Arial" w:cs="Arial" w:eastAsia="Arial" w:hAnsi="Arial"/>
          <w:sz w:val="16"/>
          <w:szCs w:val="16"/>
          <w:color w:val="auto"/>
        </w:rPr>
      </w:pPr>
    </w:p>
    <w:p>
      <w:pPr>
        <w:ind w:left="500" w:right="20" w:hanging="330"/>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ITEM 7. Management's Discussion and Analysis of Financial Condition and Results of Operations—Results of Operations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2014 and 2013—Discontinued Operations for a discussion of discontinued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should be read in conjunction with our consolidated financial statements and accompanying notes included elsewhere within this report. This discussion includes both historical information and forward-looking information that involves risks, uncertainties and assumptions. Our actual results may differ materially from management's expectations as a result of various factors, including but not limited to those discussed in the sections entitled "Risk Factors" and "Cautionary Statement Regarding Forward-Looking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LendingTree, Inc. is the parent of LendingTree, LLC and several companies owned by LendingTree, LLC.</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LendingTree operates what we believe to be the leading online loan marketplace for consumers seeking loans and other credit-based offerings. Our online marketplace provides consumers with access to product offerings from our Network Lenders, including mortgage loans, home equity, reverse mortgage, auto loans, credit cards, personal loans, student loans and small business loans and other related offerings. In addition, we offer tools and resources, including free credit scores, that facilitate comparison shopping for these loan and other credit-based offerings. We seek to match consumers with multiple lenders, who can provide them with competing quotes for the product they are seeking. We also serve as a valued partner to lenders seeking an efficient, scalable and flexible source of customer acquisition with directly measurable benefits, by matching the consumer inquiries we generate with these lenders.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2014, we re-launched My LendingTree, a platform that offers a personalized loan comparison-shopping experience, by providing free credit scores and credit score analysis. This new platform enables us to observe consumers' credit profiles and then identify and alert them to loan and other credit-based offerings on our marketplace that may be more favorable than the loans they may have at a given point in time. This is designed to provide consumers with measurable savings opportunities over their lifetimes.</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operating our core mortgage business, we are focused on growing our non-mortgage lending businesses and developing new product offerings and enhancements to improve the experiences that consumers and lenders have as they interact with us. By expanding our portfolio of loan and credit-based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46"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Reportable and Operating Segments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2015, management made certain changes to its organizational structure that impacted its previous operating segments. As a result, management concluded it had one reportable segment representing our Lending activities. Previously reported segment results have been revised to conform to our reportable segments at December 31, 2015.</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Typically, a decline in mortgage interest rates will lead to reduced lender demand, as there are more consumers in the marketplace seeking financing and, accordingly, lenders receive more organic lead volume. Conversely, an increase in mortgage interest rates will typically lead to an increase in lender demand, as there are fewer consumers in the marketplace and, accordingly, the supply of organic mortgage lead volume decreases.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374650</wp:posOffset>
            </wp:positionV>
            <wp:extent cx="4802505" cy="2263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0250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According to Freddie Mac, mortgage interest rates were at all time lows in December 2012. In 2013, rates rose gradually through the first five months of the year, to 3.54% in May. Thereafter, rates increased more significantly, subsequently peaking at 4.49% in September and finished the year at 4.46%. Mortgage interest rates generally declined as 2014 progressed, to an average of 3.86% in December 2014, the lowest since May 2013. In January 2015, mortgage interest rates continued to decline, reaching a monthly average of 3.67%, after which the mortgage interest rates generally increased to 3.96% by the end of 2015.</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 full-year basis, mortgage interest rates declined to an average 3.85% in 2015, as compared to 4.17% and 3.98% in 2014 and 2013,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97790</wp:posOffset>
            </wp:positionV>
            <wp:extent cx="4888230" cy="25126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8823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Typically, as mortgage interest rates rise, there are fewer consumers in the marketplace seeking refinancings and, accordingly, the mix of mortgage origination dollars moves towards purchase mortgages. According to Mortgage Bankers Association ("MBA") data, total refinance origination dollars dropped from 60% of total 2013 mortgage origination dollars to 43% in 2014 and increased to 45% in 2015, as a result of an increase and subsequent decrease in average mortgage interest rates.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Looking forward, MBA is projecting mortgage interest rates to climb in 2016, to an average 4.3% on 30-year fixed rate mortgages. According to MBA projections, as interest rates climb, the mix of mortgage origination dollars will continue to move towards purchase mortgages with the refinance share representing just 33% for 2016.</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accordingly, lenders receive more organic lead volume. Conversely, a weaker real estate market will typically lead to an increase in lender demand, as there are fewer consumers in the marketplace seeking mortgages.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2013, existing home sales nationwide increased 9% over 2012, according to the National Association of Realtors ("NAR"), as job growth improved and demand drove the market, despite rising mortgage interest rates. In fact, existing home sales for all of 2013 were the highest since 2006 and median prices maintained strong growth, up 11% from 2012 to $197 thousand, partially attributable to the shrinking share of distressed home sales. Although home prices as of December 2013 were up, they were still approximately 20% below their mid-2006 peaks.</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Despite continued indications of economic recovery, in 2014, existing home sales nationwide declined approximately 3% over 2013, according to the NAR, likely due to lessening housing affordability and higher mortgage interest rates. However, sales of existing homes in the second half of 2014 were up 6% from the first half of the year, as economic growth accelerated, housing inventory increased and sales prices moderated. This momentum continued into 2015, with nationwide existing home sales increasing approximately 7% over 2014, equating to the housing market's best year in nearly a decade.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2016, the NAR expects moderate growth in existing home sales compared to 2015, due to slower economic expansion and rising mortgage rates.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2015, 2014 and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80" w:type="dxa"/>
            <w:vAlign w:val="bottom"/>
            <w:gridSpan w:val="5"/>
          </w:tcPr>
          <w:p>
            <w:pPr>
              <w:jc w:val="right"/>
              <w:ind w:right="362"/>
              <w:spacing w:after="0"/>
              <w:rPr>
                <w:sz w:val="20"/>
                <w:szCs w:val="20"/>
                <w:color w:val="auto"/>
              </w:rPr>
            </w:pPr>
            <w:r>
              <w:rPr>
                <w:rFonts w:ascii="Arial" w:cs="Arial" w:eastAsia="Arial" w:hAnsi="Arial"/>
                <w:sz w:val="16"/>
                <w:szCs w:val="16"/>
                <w:b w:val="1"/>
                <w:bCs w:val="1"/>
                <w:color w:val="auto"/>
              </w:rPr>
              <w:t>Year Ended December 31,</w:t>
            </w:r>
          </w:p>
        </w:tc>
        <w:tc>
          <w:tcPr>
            <w:tcW w:w="2060" w:type="dxa"/>
            <w:vAlign w:val="bottom"/>
            <w:gridSpan w:val="2"/>
          </w:tcPr>
          <w:p>
            <w:pPr>
              <w:jc w:val="right"/>
              <w:ind w:right="463"/>
              <w:spacing w:after="0"/>
              <w:rPr>
                <w:sz w:val="20"/>
                <w:szCs w:val="20"/>
                <w:color w:val="auto"/>
              </w:rPr>
            </w:pPr>
            <w:r>
              <w:rPr>
                <w:rFonts w:ascii="Arial" w:cs="Arial" w:eastAsia="Arial" w:hAnsi="Arial"/>
                <w:sz w:val="16"/>
                <w:szCs w:val="16"/>
                <w:b w:val="1"/>
                <w:bCs w:val="1"/>
                <w:color w:val="auto"/>
              </w:rPr>
              <w:t>2015 vs. 2014</w:t>
            </w:r>
          </w:p>
        </w:tc>
        <w:tc>
          <w:tcPr>
            <w:tcW w:w="1980" w:type="dxa"/>
            <w:vAlign w:val="bottom"/>
            <w:gridSpan w:val="2"/>
          </w:tcPr>
          <w:p>
            <w:pPr>
              <w:jc w:val="right"/>
              <w:ind w:right="403"/>
              <w:spacing w:after="0"/>
              <w:rPr>
                <w:sz w:val="20"/>
                <w:szCs w:val="20"/>
                <w:color w:val="auto"/>
              </w:rPr>
            </w:pPr>
            <w:r>
              <w:rPr>
                <w:rFonts w:ascii="Arial" w:cs="Arial" w:eastAsia="Arial" w:hAnsi="Arial"/>
                <w:sz w:val="16"/>
                <w:szCs w:val="16"/>
                <w:b w:val="1"/>
                <w:bCs w:val="1"/>
                <w:color w:val="auto"/>
              </w:rPr>
              <w:t>2014 vs. 2013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8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2013</w:t>
            </w:r>
          </w:p>
        </w:tc>
        <w:tc>
          <w:tcPr>
            <w:tcW w:w="1080" w:type="dxa"/>
            <w:vAlign w:val="bottom"/>
          </w:tcPr>
          <w:p>
            <w:pPr>
              <w:jc w:val="right"/>
              <w:ind w:right="425"/>
              <w:spacing w:after="0" w:line="147"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03"/>
              <w:spacing w:after="0" w:line="147"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423"/>
              <w:spacing w:after="0" w:line="147" w:lineRule="exact"/>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363"/>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4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60" w:type="dxa"/>
            <w:vAlign w:val="bottom"/>
            <w:gridSpan w:val="2"/>
          </w:tcPr>
          <w:p>
            <w:pPr>
              <w:jc w:val="right"/>
              <w:ind w:right="703"/>
              <w:spacing w:after="0"/>
              <w:rPr>
                <w:sz w:val="20"/>
                <w:szCs w:val="20"/>
                <w:color w:val="auto"/>
              </w:rPr>
            </w:pPr>
            <w:r>
              <w:rPr>
                <w:rFonts w:ascii="Arial" w:cs="Arial" w:eastAsia="Arial" w:hAnsi="Arial"/>
                <w:sz w:val="13"/>
                <w:szCs w:val="13"/>
                <w:b w:val="1"/>
                <w:bCs w:val="1"/>
                <w:i w:val="1"/>
                <w:iCs w:val="1"/>
                <w:color w:val="auto"/>
                <w:w w:val="91"/>
              </w:rPr>
              <w:t>(Dollars in thousands)</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Mortgage products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165,272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134,137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123,091</w:t>
            </w:r>
          </w:p>
        </w:tc>
        <w:tc>
          <w:tcPr>
            <w:tcW w:w="108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6"/>
                <w:szCs w:val="16"/>
                <w:color w:val="auto"/>
              </w:rPr>
              <w:t>$   31,135</w:t>
            </w: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23 %</w:t>
            </w:r>
          </w:p>
        </w:tc>
        <w:tc>
          <w:tcPr>
            <w:tcW w:w="104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6"/>
                <w:szCs w:val="16"/>
                <w:color w:val="auto"/>
              </w:rPr>
              <w:t>$   11,046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Non-mortgage products</w:t>
            </w:r>
          </w:p>
        </w:tc>
        <w:tc>
          <w:tcPr>
            <w:tcW w:w="840" w:type="dxa"/>
            <w:vAlign w:val="bottom"/>
          </w:tcPr>
          <w:p>
            <w:pPr>
              <w:jc w:val="right"/>
              <w:spacing w:after="0"/>
              <w:rPr>
                <w:sz w:val="20"/>
                <w:szCs w:val="20"/>
                <w:color w:val="auto"/>
              </w:rPr>
            </w:pPr>
            <w:r>
              <w:rPr>
                <w:rFonts w:ascii="Arial" w:cs="Arial" w:eastAsia="Arial" w:hAnsi="Arial"/>
                <w:sz w:val="16"/>
                <w:szCs w:val="16"/>
                <w:color w:val="auto"/>
              </w:rPr>
              <w:t>88,944</w:t>
            </w:r>
          </w:p>
        </w:tc>
        <w:tc>
          <w:tcPr>
            <w:tcW w:w="220" w:type="dxa"/>
            <w:vAlign w:val="bottom"/>
          </w:tcPr>
          <w:p>
            <w:pPr>
              <w:spacing w:after="0"/>
              <w:rPr>
                <w:sz w:val="20"/>
                <w:szCs w:val="20"/>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33,213</w:t>
            </w:r>
          </w:p>
        </w:tc>
        <w:tc>
          <w:tcPr>
            <w:tcW w:w="220" w:type="dxa"/>
            <w:vAlign w:val="bottom"/>
          </w:tcPr>
          <w:p>
            <w:pPr>
              <w:spacing w:after="0"/>
              <w:rPr>
                <w:sz w:val="20"/>
                <w:szCs w:val="20"/>
                <w:color w:val="auto"/>
              </w:rPr>
            </w:pP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16,149</w:t>
            </w:r>
          </w:p>
        </w:tc>
        <w:tc>
          <w:tcPr>
            <w:tcW w:w="1080" w:type="dxa"/>
            <w:vAlign w:val="bottom"/>
          </w:tcPr>
          <w:p>
            <w:pPr>
              <w:jc w:val="right"/>
              <w:ind w:right="125"/>
              <w:spacing w:after="0"/>
              <w:rPr>
                <w:sz w:val="20"/>
                <w:szCs w:val="20"/>
                <w:color w:val="auto"/>
              </w:rPr>
            </w:pPr>
            <w:r>
              <w:rPr>
                <w:rFonts w:ascii="Arial" w:cs="Arial" w:eastAsia="Arial" w:hAnsi="Arial"/>
                <w:sz w:val="16"/>
                <w:szCs w:val="16"/>
                <w:color w:val="auto"/>
              </w:rPr>
              <w:t>55,731</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168 %</w:t>
            </w:r>
          </w:p>
        </w:tc>
        <w:tc>
          <w:tcPr>
            <w:tcW w:w="1040" w:type="dxa"/>
            <w:vAlign w:val="bottom"/>
          </w:tcPr>
          <w:p>
            <w:pPr>
              <w:jc w:val="right"/>
              <w:ind w:right="123"/>
              <w:spacing w:after="0"/>
              <w:rPr>
                <w:sz w:val="20"/>
                <w:szCs w:val="20"/>
                <w:color w:val="auto"/>
              </w:rPr>
            </w:pPr>
            <w:r>
              <w:rPr>
                <w:rFonts w:ascii="Arial" w:cs="Arial" w:eastAsia="Arial" w:hAnsi="Arial"/>
                <w:sz w:val="16"/>
                <w:szCs w:val="16"/>
                <w:color w:val="auto"/>
              </w:rPr>
              <w:t>17,064</w:t>
            </w:r>
          </w:p>
        </w:tc>
        <w:tc>
          <w:tcPr>
            <w:tcW w:w="940" w:type="dxa"/>
            <w:vAlign w:val="bottom"/>
          </w:tcPr>
          <w:p>
            <w:pPr>
              <w:jc w:val="right"/>
              <w:spacing w:after="0"/>
              <w:rPr>
                <w:sz w:val="20"/>
                <w:szCs w:val="20"/>
                <w:color w:val="auto"/>
              </w:rPr>
            </w:pPr>
            <w:r>
              <w:rPr>
                <w:rFonts w:ascii="Arial" w:cs="Arial" w:eastAsia="Arial" w:hAnsi="Arial"/>
                <w:sz w:val="16"/>
                <w:szCs w:val="16"/>
                <w:color w:val="auto"/>
              </w:rPr>
              <w:t>106 %</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9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254,216</w:t>
            </w:r>
          </w:p>
        </w:tc>
        <w:tc>
          <w:tcPr>
            <w:tcW w:w="88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167,350</w:t>
            </w:r>
          </w:p>
        </w:tc>
        <w:tc>
          <w:tcPr>
            <w:tcW w:w="96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139,240</w:t>
            </w:r>
          </w:p>
        </w:tc>
        <w:tc>
          <w:tcPr>
            <w:tcW w:w="108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86,866</w:t>
            </w:r>
          </w:p>
        </w:tc>
        <w:tc>
          <w:tcPr>
            <w:tcW w:w="100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52 %</w:t>
            </w:r>
          </w:p>
        </w:tc>
        <w:tc>
          <w:tcPr>
            <w:tcW w:w="1040" w:type="dxa"/>
            <w:vAlign w:val="bottom"/>
            <w:tcBorders>
              <w:top w:val="single" w:sz="8" w:color="auto"/>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28,110</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20 %</w:t>
            </w:r>
          </w:p>
        </w:tc>
      </w:tr>
      <w:tr>
        <w:trPr>
          <w:trHeight w:val="237"/>
        </w:trPr>
        <w:tc>
          <w:tcPr>
            <w:tcW w:w="476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4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5"/>
              </w:rPr>
              <w:t>Cost of revenue (exclusive of depreciation shown separately below)</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9,370</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7,903</w:t>
            </w:r>
          </w:p>
        </w:tc>
        <w:tc>
          <w:tcPr>
            <w:tcW w:w="9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6,542</w:t>
            </w:r>
          </w:p>
        </w:tc>
        <w:tc>
          <w:tcPr>
            <w:tcW w:w="1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1,467</w:t>
            </w:r>
          </w:p>
        </w:tc>
        <w:tc>
          <w:tcPr>
            <w:tcW w:w="10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19 %</w:t>
            </w:r>
          </w:p>
        </w:tc>
        <w:tc>
          <w:tcPr>
            <w:tcW w:w="10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1,361</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37"/>
        </w:trPr>
        <w:tc>
          <w:tcPr>
            <w:tcW w:w="4760" w:type="dxa"/>
            <w:vAlign w:val="bottom"/>
          </w:tcPr>
          <w:p>
            <w:pPr>
              <w:ind w:left="180"/>
              <w:spacing w:after="0"/>
              <w:rPr>
                <w:sz w:val="20"/>
                <w:szCs w:val="20"/>
                <w:color w:val="auto"/>
              </w:rPr>
            </w:pPr>
            <w:r>
              <w:rPr>
                <w:rFonts w:ascii="Arial" w:cs="Arial" w:eastAsia="Arial" w:hAnsi="Arial"/>
                <w:sz w:val="16"/>
                <w:szCs w:val="16"/>
                <w:color w:val="auto"/>
              </w:rPr>
              <w:t>Selling and marketing expense</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172,849</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112,704</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91,121</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60,145</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53 %</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21,583</w:t>
            </w:r>
          </w:p>
        </w:tc>
        <w:tc>
          <w:tcPr>
            <w:tcW w:w="780" w:type="dxa"/>
            <w:vAlign w:val="bottom"/>
          </w:tcPr>
          <w:p>
            <w:pPr>
              <w:jc w:val="right"/>
              <w:spacing w:after="0"/>
              <w:rPr>
                <w:sz w:val="20"/>
                <w:szCs w:val="20"/>
                <w:color w:val="auto"/>
              </w:rPr>
            </w:pPr>
            <w:r>
              <w:rPr>
                <w:rFonts w:ascii="Arial" w:cs="Arial" w:eastAsia="Arial" w:hAnsi="Arial"/>
                <w:sz w:val="16"/>
                <w:szCs w:val="16"/>
                <w:color w:val="auto"/>
              </w:rPr>
              <w:t>24 %</w:t>
            </w:r>
          </w:p>
        </w:tc>
      </w:tr>
      <w:tr>
        <w:trPr>
          <w:trHeight w:val="33"/>
        </w:trPr>
        <w:tc>
          <w:tcPr>
            <w:tcW w:w="4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 expense</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30,030</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25,883</w:t>
            </w:r>
          </w:p>
        </w:tc>
        <w:tc>
          <w:tcPr>
            <w:tcW w:w="9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24,658</w:t>
            </w:r>
          </w:p>
        </w:tc>
        <w:tc>
          <w:tcPr>
            <w:tcW w:w="1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4,147</w:t>
            </w:r>
          </w:p>
        </w:tc>
        <w:tc>
          <w:tcPr>
            <w:tcW w:w="10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16 %</w:t>
            </w:r>
          </w:p>
        </w:tc>
        <w:tc>
          <w:tcPr>
            <w:tcW w:w="10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1,225</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37"/>
        </w:trPr>
        <w:tc>
          <w:tcPr>
            <w:tcW w:w="476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10,485</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7,457</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5,264</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3,028</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41 %</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2,193</w:t>
            </w:r>
          </w:p>
        </w:tc>
        <w:tc>
          <w:tcPr>
            <w:tcW w:w="78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33"/>
        </w:trPr>
        <w:tc>
          <w:tcPr>
            <w:tcW w:w="4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3,008</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3,245</w:t>
            </w:r>
          </w:p>
        </w:tc>
        <w:tc>
          <w:tcPr>
            <w:tcW w:w="9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3,501</w:t>
            </w:r>
          </w:p>
        </w:tc>
        <w:tc>
          <w:tcPr>
            <w:tcW w:w="10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(237)</w:t>
            </w:r>
          </w:p>
        </w:tc>
        <w:tc>
          <w:tcPr>
            <w:tcW w:w="10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w:t>
            </w:r>
          </w:p>
        </w:tc>
        <w:tc>
          <w:tcPr>
            <w:tcW w:w="10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(256)</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4760" w:type="dxa"/>
            <w:vAlign w:val="bottom"/>
          </w:tcPr>
          <w:p>
            <w:pPr>
              <w:ind w:left="180"/>
              <w:spacing w:after="0"/>
              <w:rPr>
                <w:sz w:val="20"/>
                <w:szCs w:val="20"/>
                <w:color w:val="auto"/>
              </w:rPr>
            </w:pPr>
            <w:r>
              <w:rPr>
                <w:rFonts w:ascii="Arial" w:cs="Arial" w:eastAsia="Arial" w:hAnsi="Arial"/>
                <w:sz w:val="16"/>
                <w:szCs w:val="16"/>
                <w:color w:val="auto"/>
              </w:rPr>
              <w:t>Amortization of intangibles</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149</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136</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147</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13</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10 %</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(11)</w:t>
            </w: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4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and severance</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422</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373</w:t>
            </w:r>
          </w:p>
        </w:tc>
        <w:tc>
          <w:tcPr>
            <w:tcW w:w="9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159</w:t>
            </w:r>
          </w:p>
        </w:tc>
        <w:tc>
          <w:tcPr>
            <w:tcW w:w="1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49</w:t>
            </w:r>
          </w:p>
        </w:tc>
        <w:tc>
          <w:tcPr>
            <w:tcW w:w="10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13 %</w:t>
            </w:r>
          </w:p>
        </w:tc>
        <w:tc>
          <w:tcPr>
            <w:tcW w:w="10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214</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135 %</w:t>
            </w:r>
          </w:p>
        </w:tc>
      </w:tr>
      <w:tr>
        <w:trPr>
          <w:trHeight w:val="237"/>
        </w:trPr>
        <w:tc>
          <w:tcPr>
            <w:tcW w:w="4760" w:type="dxa"/>
            <w:vAlign w:val="bottom"/>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(611)</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10,618</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8,955</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(11,229)</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(106)%</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1,663</w:t>
            </w:r>
          </w:p>
        </w:tc>
        <w:tc>
          <w:tcPr>
            <w:tcW w:w="780" w:type="dxa"/>
            <w:vAlign w:val="bottom"/>
          </w:tcPr>
          <w:p>
            <w:pPr>
              <w:jc w:val="right"/>
              <w:spacing w:after="0"/>
              <w:rPr>
                <w:sz w:val="20"/>
                <w:szCs w:val="20"/>
                <w:color w:val="auto"/>
              </w:rPr>
            </w:pPr>
            <w:r>
              <w:rPr>
                <w:rFonts w:ascii="Arial" w:cs="Arial" w:eastAsia="Arial" w:hAnsi="Arial"/>
                <w:sz w:val="16"/>
                <w:szCs w:val="16"/>
                <w:color w:val="auto"/>
              </w:rPr>
              <w:t>19 %</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4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costs and expenses</w:t>
            </w:r>
          </w:p>
        </w:tc>
        <w:tc>
          <w:tcPr>
            <w:tcW w:w="1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225,702</w:t>
            </w:r>
          </w:p>
        </w:tc>
        <w:tc>
          <w:tcPr>
            <w:tcW w:w="180" w:type="dxa"/>
            <w:vAlign w:val="bottom"/>
            <w:tcBorders>
              <w:top w:val="single" w:sz="8" w:color="auto"/>
              <w:bottom w:val="single" w:sz="8" w:color="CCEEFF"/>
            </w:tcBorders>
            <w:shd w:val="clear" w:color="auto" w:fill="CCEEFF"/>
          </w:tcPr>
          <w:p>
            <w:pPr>
              <w:spacing w:after="0"/>
              <w:rPr>
                <w:sz w:val="24"/>
                <w:szCs w:val="24"/>
                <w:color w:val="auto"/>
              </w:rPr>
            </w:pP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168,319</w:t>
            </w:r>
          </w:p>
        </w:tc>
        <w:tc>
          <w:tcPr>
            <w:tcW w:w="200" w:type="dxa"/>
            <w:vAlign w:val="bottom"/>
            <w:tcBorders>
              <w:top w:val="single" w:sz="8" w:color="auto"/>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140,347</w:t>
            </w:r>
          </w:p>
        </w:tc>
        <w:tc>
          <w:tcPr>
            <w:tcW w:w="112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57,383</w:t>
            </w:r>
          </w:p>
        </w:tc>
        <w:tc>
          <w:tcPr>
            <w:tcW w:w="1200" w:type="dxa"/>
            <w:vAlign w:val="bottom"/>
            <w:tcBorders>
              <w:top w:val="single" w:sz="8" w:color="auto"/>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34 %</w:t>
            </w:r>
          </w:p>
        </w:tc>
        <w:tc>
          <w:tcPr>
            <w:tcW w:w="90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27,972</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20 %</w:t>
            </w:r>
          </w:p>
        </w:tc>
      </w:tr>
      <w:tr>
        <w:trPr>
          <w:trHeight w:val="231"/>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28,514</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(969)</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(1,107)</w:t>
            </w:r>
          </w:p>
        </w:tc>
        <w:tc>
          <w:tcPr>
            <w:tcW w:w="11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29,483</w:t>
            </w:r>
          </w:p>
        </w:tc>
        <w:tc>
          <w:tcPr>
            <w:tcW w:w="12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3,043 %</w:t>
            </w:r>
          </w:p>
        </w:tc>
        <w:tc>
          <w:tcPr>
            <w:tcW w:w="9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138</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12 %</w:t>
            </w:r>
          </w:p>
        </w:tc>
      </w:tr>
      <w:tr>
        <w:trPr>
          <w:trHeight w:val="33"/>
        </w:trPr>
        <w:tc>
          <w:tcPr>
            <w:tcW w:w="4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1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422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1360" w:type="dxa"/>
            <w:vAlign w:val="bottom"/>
          </w:tcPr>
          <w:p>
            <w:pPr>
              <w:jc w:val="right"/>
              <w:spacing w:after="0"/>
              <w:rPr>
                <w:sz w:val="20"/>
                <w:szCs w:val="20"/>
                <w:color w:val="auto"/>
              </w:rPr>
            </w:pPr>
            <w:r>
              <w:rPr>
                <w:rFonts w:ascii="Arial" w:cs="Arial" w:eastAsia="Arial" w:hAnsi="Arial"/>
                <w:sz w:val="16"/>
                <w:szCs w:val="16"/>
                <w:color w:val="auto"/>
              </w:rPr>
              <w:t>(171)</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(169)</w:t>
            </w: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8,450 %</w:t>
            </w:r>
          </w:p>
        </w:tc>
        <w:tc>
          <w:tcPr>
            <w:tcW w:w="900" w:type="dxa"/>
            <w:vAlign w:val="bottom"/>
          </w:tcPr>
          <w:p>
            <w:pPr>
              <w:jc w:val="right"/>
              <w:ind w:right="259"/>
              <w:spacing w:after="0"/>
              <w:rPr>
                <w:sz w:val="20"/>
                <w:szCs w:val="20"/>
                <w:color w:val="auto"/>
              </w:rPr>
            </w:pPr>
            <w:r>
              <w:rPr>
                <w:rFonts w:ascii="Arial" w:cs="Arial" w:eastAsia="Arial" w:hAnsi="Arial"/>
                <w:sz w:val="16"/>
                <w:szCs w:val="16"/>
                <w:color w:val="auto"/>
              </w:rPr>
              <w:t>17</w:t>
            </w:r>
          </w:p>
        </w:tc>
        <w:tc>
          <w:tcPr>
            <w:tcW w:w="800" w:type="dxa"/>
            <w:vAlign w:val="bottom"/>
          </w:tcPr>
          <w:p>
            <w:pPr>
              <w:jc w:val="right"/>
              <w:spacing w:after="0"/>
              <w:rPr>
                <w:sz w:val="20"/>
                <w:szCs w:val="20"/>
                <w:color w:val="auto"/>
              </w:rPr>
            </w:pPr>
            <w:r>
              <w:rPr>
                <w:rFonts w:ascii="Arial" w:cs="Arial" w:eastAsia="Arial" w:hAnsi="Arial"/>
                <w:sz w:val="16"/>
                <w:szCs w:val="16"/>
                <w:color w:val="auto"/>
              </w:rPr>
              <w:t>89 %</w:t>
            </w:r>
          </w:p>
        </w:tc>
      </w:tr>
      <w:tr>
        <w:trPr>
          <w:trHeight w:val="33"/>
        </w:trPr>
        <w:tc>
          <w:tcPr>
            <w:tcW w:w="4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28,343</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(971)</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(1,126)</w:t>
            </w: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29,314</w:t>
            </w:r>
          </w:p>
        </w:tc>
        <w:tc>
          <w:tcPr>
            <w:tcW w:w="12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3,019 %</w:t>
            </w:r>
          </w:p>
        </w:tc>
        <w:tc>
          <w:tcPr>
            <w:tcW w:w="9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155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14 %</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22,973</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484</w:t>
            </w: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453</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22,489</w:t>
            </w: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4,646 %</w:t>
            </w:r>
          </w:p>
        </w:tc>
        <w:tc>
          <w:tcPr>
            <w:tcW w:w="900" w:type="dxa"/>
            <w:vAlign w:val="bottom"/>
          </w:tcPr>
          <w:p>
            <w:pPr>
              <w:jc w:val="right"/>
              <w:ind w:right="259"/>
              <w:spacing w:after="0"/>
              <w:rPr>
                <w:sz w:val="20"/>
                <w:szCs w:val="20"/>
                <w:color w:val="auto"/>
              </w:rPr>
            </w:pPr>
            <w:r>
              <w:rPr>
                <w:rFonts w:ascii="Arial" w:cs="Arial" w:eastAsia="Arial" w:hAnsi="Arial"/>
                <w:sz w:val="16"/>
                <w:szCs w:val="16"/>
                <w:color w:val="auto"/>
              </w:rPr>
              <w:t>31</w:t>
            </w:r>
          </w:p>
        </w:tc>
        <w:tc>
          <w:tcPr>
            <w:tcW w:w="80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33"/>
        </w:trPr>
        <w:tc>
          <w:tcPr>
            <w:tcW w:w="4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from continuing operations</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51,316</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(487)</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(673)</w:t>
            </w: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51,803</w:t>
            </w:r>
          </w:p>
        </w:tc>
        <w:tc>
          <w:tcPr>
            <w:tcW w:w="12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10,637 %</w:t>
            </w:r>
          </w:p>
        </w:tc>
        <w:tc>
          <w:tcPr>
            <w:tcW w:w="9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186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28 %</w:t>
            </w:r>
          </w:p>
        </w:tc>
      </w:tr>
      <w:tr>
        <w:trPr>
          <w:trHeight w:val="231"/>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Discontinued operations:</w:t>
            </w:r>
          </w:p>
        </w:tc>
        <w:tc>
          <w:tcPr>
            <w:tcW w:w="13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33"/>
        </w:trPr>
        <w:tc>
          <w:tcPr>
            <w:tcW w:w="4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from sale of discontinued operations, net of tax</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9,561</w:t>
            </w: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 %</w:t>
            </w:r>
          </w:p>
        </w:tc>
        <w:tc>
          <w:tcPr>
            <w:tcW w:w="9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(9,561)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4220" w:type="dxa"/>
            <w:vAlign w:val="bottom"/>
          </w:tcPr>
          <w:p>
            <w:pPr>
              <w:ind w:left="180"/>
              <w:spacing w:after="0"/>
              <w:rPr>
                <w:sz w:val="20"/>
                <w:szCs w:val="20"/>
                <w:color w:val="auto"/>
              </w:rPr>
            </w:pPr>
            <w:r>
              <w:rPr>
                <w:rFonts w:ascii="Arial" w:cs="Arial" w:eastAsia="Arial" w:hAnsi="Arial"/>
                <w:sz w:val="16"/>
                <w:szCs w:val="16"/>
                <w:color w:val="auto"/>
              </w:rPr>
              <w:t>(Loss) income from discontinued operations, net of tax</w:t>
            </w:r>
          </w:p>
        </w:tc>
        <w:tc>
          <w:tcPr>
            <w:tcW w:w="1360" w:type="dxa"/>
            <w:vAlign w:val="bottom"/>
          </w:tcPr>
          <w:p>
            <w:pPr>
              <w:jc w:val="right"/>
              <w:spacing w:after="0"/>
              <w:rPr>
                <w:sz w:val="20"/>
                <w:szCs w:val="20"/>
                <w:color w:val="auto"/>
              </w:rPr>
            </w:pPr>
            <w:r>
              <w:rPr>
                <w:rFonts w:ascii="Arial" w:cs="Arial" w:eastAsia="Arial" w:hAnsi="Arial"/>
                <w:sz w:val="16"/>
                <w:szCs w:val="16"/>
                <w:color w:val="auto"/>
              </w:rPr>
              <w:t>(3,269)</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9,849</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(4,941)</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(13,118)</w:t>
            </w:r>
          </w:p>
        </w:tc>
        <w:tc>
          <w:tcPr>
            <w:tcW w:w="1200" w:type="dxa"/>
            <w:vAlign w:val="bottom"/>
          </w:tcPr>
          <w:p>
            <w:pPr>
              <w:jc w:val="right"/>
              <w:ind w:right="279"/>
              <w:spacing w:after="0"/>
              <w:rPr>
                <w:sz w:val="20"/>
                <w:szCs w:val="20"/>
                <w:color w:val="auto"/>
              </w:rPr>
            </w:pPr>
            <w:r>
              <w:rPr>
                <w:rFonts w:ascii="Arial" w:cs="Arial" w:eastAsia="Arial" w:hAnsi="Arial"/>
                <w:sz w:val="16"/>
                <w:szCs w:val="16"/>
                <w:color w:val="auto"/>
              </w:rPr>
              <w:t>(133)%</w:t>
            </w:r>
          </w:p>
        </w:tc>
        <w:tc>
          <w:tcPr>
            <w:tcW w:w="900" w:type="dxa"/>
            <w:vAlign w:val="bottom"/>
          </w:tcPr>
          <w:p>
            <w:pPr>
              <w:jc w:val="right"/>
              <w:ind w:right="259"/>
              <w:spacing w:after="0"/>
              <w:rPr>
                <w:sz w:val="20"/>
                <w:szCs w:val="20"/>
                <w:color w:val="auto"/>
              </w:rPr>
            </w:pPr>
            <w:r>
              <w:rPr>
                <w:rFonts w:ascii="Arial" w:cs="Arial" w:eastAsia="Arial" w:hAnsi="Arial"/>
                <w:sz w:val="16"/>
                <w:szCs w:val="16"/>
                <w:color w:val="auto"/>
              </w:rPr>
              <w:t>14,790</w:t>
            </w:r>
          </w:p>
        </w:tc>
        <w:tc>
          <w:tcPr>
            <w:tcW w:w="800" w:type="dxa"/>
            <w:vAlign w:val="bottom"/>
          </w:tcPr>
          <w:p>
            <w:pPr>
              <w:jc w:val="right"/>
              <w:spacing w:after="0"/>
              <w:rPr>
                <w:sz w:val="20"/>
                <w:szCs w:val="20"/>
                <w:color w:val="auto"/>
              </w:rPr>
            </w:pPr>
            <w:r>
              <w:rPr>
                <w:rFonts w:ascii="Arial" w:cs="Arial" w:eastAsia="Arial" w:hAnsi="Arial"/>
                <w:sz w:val="16"/>
                <w:szCs w:val="16"/>
                <w:color w:val="auto"/>
              </w:rPr>
              <w:t>299 %</w:t>
            </w:r>
          </w:p>
        </w:tc>
      </w:tr>
      <w:tr>
        <w:trPr>
          <w:trHeight w:val="33"/>
        </w:trPr>
        <w:tc>
          <w:tcPr>
            <w:tcW w:w="4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income from discontinued operations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(3,269)</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9,849</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4,620</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(13,118)</w:t>
            </w:r>
          </w:p>
        </w:tc>
        <w:tc>
          <w:tcPr>
            <w:tcW w:w="12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(133)%</w:t>
            </w:r>
          </w:p>
        </w:tc>
        <w:tc>
          <w:tcPr>
            <w:tcW w:w="9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5,229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113 %</w:t>
            </w:r>
          </w:p>
        </w:tc>
      </w:tr>
      <w:tr>
        <w:trPr>
          <w:trHeight w:val="231"/>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income and comprehensive income</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48,047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9,362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3,947</w:t>
            </w:r>
          </w:p>
        </w:tc>
        <w:tc>
          <w:tcPr>
            <w:tcW w:w="11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38,685</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413 %  $</w:t>
            </w:r>
          </w:p>
        </w:tc>
        <w:tc>
          <w:tcPr>
            <w:tcW w:w="9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5,415</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137 %</w:t>
            </w:r>
          </w:p>
        </w:tc>
      </w:tr>
      <w:tr>
        <w:trPr>
          <w:trHeight w:val="40"/>
        </w:trPr>
        <w:tc>
          <w:tcPr>
            <w:tcW w:w="4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increased $86.9 million in 2015 compared to 2014 due to increases in our non-mortgage products of $55.7 million and in our mortgage products of $31.1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non-mortgage products include the following non-mortgage lending products: personal loans, home equity, reverse mortgage, credit cards, auto loans, student loans and small business loans. Our non-mortgage products also include home improvement referrals and education enrollment referrals. The increase in revenue from our non-mortgage products in 2015 is primarily due to increases in revenue from our personal loans product and our credit cards product. Revenue from our personal loans product increased $38.9 million in 2015 compared to 2014 due to growing awareness in the market of the product, an increase in lenders on our exchange, increases in revenue earned per matched consumer and increased marketing efforts. Revenue from our credit cards product increased $9.2 million in 2015 compared to 2014 due to increases in payouts from issuers in addition to increased marketing efforts. Revenue from each of our non-mortgage lending products increased in 2015 compared to 2014.</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increase in revenue from our mortgage products in 2015 compared to 2014 is primarily due to an increase in revenue from our refinance product. Revenue from our refinance product increased in 2015 compared to 2014 due to increased demand of both new and existing lenders on our marketplace. Additionally, mortgage interest rates were lower in 2015 compared to 2014, causing an increase in sales of the refinance product. The number of consumers matched for our mortgage products increased by 44% in 2015 compared to 2014, while our average revenue earned from mortgage lenders per matched consumer decreased by 14% in 2015 compared to 2014.</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increased $28.1 million in 2014 compared to 2013 due to increases in our non-mortgage products of $17.1 million and in our mortgage products of $11.0 million.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revenue from our non-mortgage products in 2014 from 2013 was primarily due to increases in revenue from our personal loans product, although revenue from each of our non-mortgage lending products increased. Revenue from our personal loans product increased $11.0 million in 2014 compared to 2013. Our reverse mortgage product was introduced in the first quarter of 2013, our credit card offering was introduced in the second quarter of 2013 and our personal loan product was re-launched in the third quarter of 2013.</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increase in our mortgage products in 2014 compared to 2013 was primarily due to an increase in our purchase product, partially offset by a modest decrease in our refinance product. The number of consumers matched on for our mortgage products increased by 38% in 2014 compared to 2013, while our average revenue earned from mortgage lenders per matched consumer decreased by 21% in 2014 compared to 2013.</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and website network hosting and server fees.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 increased in 2015 from 2014, primarily due to increases of $1.1 million in compensation and benefits as a result of increases in headcount and $0.7 million in credit card fees, partially offset by a $0.7 million decrease in credit scoring fees.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 increased in 2014 from 2013, primarily due to increases of $0.8 million in credit scoring fees, $0.5 million in credit card fees and $0.2 million in third-party call center fees, partially offset by a $0.2 million decrease in compensation and benefits.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as a percentage of revenue decreased slightly to 4% in 2015 from 5% in 2014 and 2013.</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for consumer inquiries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increases in selling and marketing expense in 2015 compared to 2014 and 2014 compared to 2013 were primarily due to increases in advertising and promotional expense of $57.1 million and $21.5 million, respectively, as discussed below. In addition, selling and marketing expense increased in 2015 compared to 2014 due to an increase in compensation and benefits of $3.1 million as a result of increases in headcount.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ind w:left="440"/>
              <w:spacing w:after="0"/>
              <w:rPr>
                <w:sz w:val="20"/>
                <w:szCs w:val="20"/>
                <w:color w:val="auto"/>
              </w:rPr>
            </w:pPr>
            <w:r>
              <w:rPr>
                <w:rFonts w:ascii="Arial" w:cs="Arial" w:eastAsia="Arial" w:hAnsi="Arial"/>
                <w:sz w:val="16"/>
                <w:szCs w:val="16"/>
                <w:b w:val="1"/>
                <w:bCs w:val="1"/>
                <w:color w:val="auto"/>
              </w:rPr>
              <w:t>2015 vs. 2014</w:t>
            </w:r>
          </w:p>
        </w:tc>
        <w:tc>
          <w:tcPr>
            <w:tcW w:w="180" w:type="dxa"/>
            <w:vAlign w:val="bottom"/>
          </w:tcPr>
          <w:p>
            <w:pPr>
              <w:spacing w:after="0"/>
              <w:rPr>
                <w:sz w:val="18"/>
                <w:szCs w:val="18"/>
                <w:color w:val="auto"/>
              </w:rPr>
            </w:pPr>
          </w:p>
        </w:tc>
        <w:tc>
          <w:tcPr>
            <w:tcW w:w="2000" w:type="dxa"/>
            <w:vAlign w:val="bottom"/>
            <w:gridSpan w:val="2"/>
          </w:tcPr>
          <w:p>
            <w:pPr>
              <w:jc w:val="right"/>
              <w:ind w:right="533"/>
              <w:spacing w:after="0"/>
              <w:rPr>
                <w:sz w:val="20"/>
                <w:szCs w:val="20"/>
                <w:color w:val="auto"/>
              </w:rPr>
            </w:pPr>
            <w:r>
              <w:rPr>
                <w:rFonts w:ascii="Arial" w:cs="Arial" w:eastAsia="Arial" w:hAnsi="Arial"/>
                <w:sz w:val="16"/>
                <w:szCs w:val="16"/>
                <w:b w:val="1"/>
                <w:bCs w:val="1"/>
                <w:color w:val="auto"/>
              </w:rPr>
              <w:t>2014 vs. 2013</w:t>
            </w:r>
          </w:p>
        </w:tc>
      </w:tr>
      <w:tr>
        <w:trPr>
          <w:trHeight w:val="33"/>
        </w:trPr>
        <w:tc>
          <w:tcPr>
            <w:tcW w:w="3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494"/>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7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514"/>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413"/>
              <w:spacing w:after="0"/>
              <w:rPr>
                <w:sz w:val="20"/>
                <w:szCs w:val="20"/>
                <w:color w:val="auto"/>
              </w:rPr>
            </w:pPr>
            <w:r>
              <w:rPr>
                <w:rFonts w:ascii="Arial" w:cs="Arial" w:eastAsia="Arial" w:hAnsi="Arial"/>
                <w:sz w:val="16"/>
                <w:szCs w:val="16"/>
                <w:b w:val="1"/>
                <w:bCs w:val="1"/>
                <w:color w:val="auto"/>
              </w:rPr>
              <w:t>%</w:t>
            </w:r>
          </w:p>
        </w:tc>
      </w:tr>
      <w:tr>
        <w:trPr>
          <w:trHeight w:val="210"/>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2014</w:t>
            </w:r>
          </w:p>
        </w:tc>
        <w:tc>
          <w:tcPr>
            <w:tcW w:w="420" w:type="dxa"/>
            <w:vAlign w:val="bottom"/>
          </w:tcPr>
          <w:p>
            <w:pPr>
              <w:spacing w:after="0"/>
              <w:rPr>
                <w:sz w:val="18"/>
                <w:szCs w:val="18"/>
                <w:color w:val="auto"/>
              </w:rPr>
            </w:pPr>
          </w:p>
        </w:tc>
        <w:tc>
          <w:tcPr>
            <w:tcW w:w="800" w:type="dxa"/>
            <w:vAlign w:val="bottom"/>
          </w:tcPr>
          <w:p>
            <w:pPr>
              <w:jc w:val="right"/>
              <w:ind w:right="314"/>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74"/>
              <w:spacing w:after="0"/>
              <w:rPr>
                <w:sz w:val="20"/>
                <w:szCs w:val="20"/>
                <w:color w:val="auto"/>
              </w:rPr>
            </w:pPr>
            <w:r>
              <w:rPr>
                <w:rFonts w:ascii="Arial" w:cs="Arial" w:eastAsia="Arial" w:hAnsi="Arial"/>
                <w:sz w:val="16"/>
                <w:szCs w:val="16"/>
                <w:b w:val="1"/>
                <w:bCs w:val="1"/>
                <w:color w:val="auto"/>
                <w:w w:val="98"/>
              </w:rPr>
              <w:t>Change</w:t>
            </w: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8"/>
                <w:szCs w:val="18"/>
                <w:color w:val="auto"/>
              </w:rPr>
            </w:pPr>
          </w:p>
        </w:tc>
        <w:tc>
          <w:tcPr>
            <w:tcW w:w="980" w:type="dxa"/>
            <w:vAlign w:val="bottom"/>
          </w:tcPr>
          <w:p>
            <w:pPr>
              <w:jc w:val="right"/>
              <w:ind w:right="294"/>
              <w:spacing w:after="0"/>
              <w:rPr>
                <w:sz w:val="20"/>
                <w:szCs w:val="20"/>
                <w:color w:val="auto"/>
              </w:rPr>
            </w:pPr>
            <w:r>
              <w:rPr>
                <w:rFonts w:ascii="Arial" w:cs="Arial" w:eastAsia="Arial" w:hAnsi="Arial"/>
                <w:sz w:val="16"/>
                <w:szCs w:val="16"/>
                <w:b w:val="1"/>
                <w:bCs w:val="1"/>
                <w:color w:val="auto"/>
                <w:w w:val="98"/>
              </w:rPr>
              <w:t>Change</w:t>
            </w:r>
          </w:p>
        </w:tc>
        <w:tc>
          <w:tcPr>
            <w:tcW w:w="1020" w:type="dxa"/>
            <w:vAlign w:val="bottom"/>
          </w:tcPr>
          <w:p>
            <w:pPr>
              <w:jc w:val="right"/>
              <w:ind w:right="213"/>
              <w:spacing w:after="0"/>
              <w:rPr>
                <w:sz w:val="20"/>
                <w:szCs w:val="20"/>
                <w:color w:val="auto"/>
              </w:rPr>
            </w:pPr>
            <w:r>
              <w:rPr>
                <w:rFonts w:ascii="Arial" w:cs="Arial" w:eastAsia="Arial" w:hAnsi="Arial"/>
                <w:sz w:val="16"/>
                <w:szCs w:val="16"/>
                <w:b w:val="1"/>
                <w:bCs w:val="1"/>
                <w:color w:val="auto"/>
              </w:rPr>
              <w:t>Change</w:t>
            </w:r>
          </w:p>
        </w:tc>
      </w:tr>
      <w:tr>
        <w:trPr>
          <w:trHeight w:val="33"/>
        </w:trPr>
        <w:tc>
          <w:tcPr>
            <w:tcW w:w="3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60" w:type="dxa"/>
            <w:vAlign w:val="bottom"/>
            <w:gridSpan w:val="4"/>
          </w:tcPr>
          <w:p>
            <w:pPr>
              <w:jc w:val="right"/>
              <w:ind w:right="74"/>
              <w:spacing w:after="0"/>
              <w:rPr>
                <w:sz w:val="20"/>
                <w:szCs w:val="20"/>
                <w:color w:val="auto"/>
              </w:rPr>
            </w:pPr>
            <w:r>
              <w:rPr>
                <w:rFonts w:ascii="Arial" w:cs="Arial" w:eastAsia="Arial" w:hAnsi="Arial"/>
                <w:sz w:val="14"/>
                <w:szCs w:val="14"/>
                <w:b w:val="1"/>
                <w:bCs w:val="1"/>
                <w:i w:val="1"/>
                <w:iCs w:val="1"/>
                <w:color w:val="auto"/>
              </w:rPr>
              <w:t>(Dollars 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Online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127,294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86,088</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64,777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41,206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21,311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Broadcast</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28,066</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14,011</w:t>
            </w:r>
          </w:p>
        </w:tc>
        <w:tc>
          <w:tcPr>
            <w:tcW w:w="4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14,597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14,055</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(586)</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3,863</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2,056</w:t>
            </w: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1,306</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1,807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750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advertising expense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159,223</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102,155</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80,680</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57,068</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21,475</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27 %</w:t>
            </w:r>
          </w:p>
        </w:tc>
      </w:tr>
      <w:tr>
        <w:trPr>
          <w:trHeight w:val="34"/>
        </w:trPr>
        <w:tc>
          <w:tcPr>
            <w:tcW w:w="3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increased our advertising expenditures in 2015 compared to 2014 and in 2014 compared to 2013, in order to generate additional consumer inquiries to meet the increased demand of lenders on our marketplace.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adjust selling and marketing expenditures dynamically in relation to anticipated revenue opportunities.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increased in 2015 compared to 2014, primarily due to increases in compensation and benefits of $2.0 million, increases in recruiting expenses of $0.5 million, increases in computer software maintenance of $0.8 million, increases in professional fees of $0.8 million, partially offset by decreases in asset impairments of $0.3 million.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General and administrative expense as a percentage of revenue decreased to 12% in 2015 compared to 15% in 2014.</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 increased in 2014 compared to 2013, primarily due to an impairment charge on long-lived assets of $0.8 million in 2014, increases in compensation and benefits of $0.3 million and increases in computer software maintenance of $0.3 million. Additionally, 2013 included a one-time contribution of $0.4 million to an educational trust, and a compensation charge of $0.9 million related to a discretionary cash bonus payment to employee stock option holders.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General and administrative expense as a percentage of revenue decreased to 15% in 2014 compared to 18% in 2013.</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that are not capitalized, for personnel engaged in the design, development, testing and enhancement of technology.</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Product development expense increased in 2015 compared to 2014 and in 2014 compared to 2013, as we continued to invest in internal development of new and enhanced features, functionality and business opportunities that we believe will enable us to better and more fully serve consumers and lenders. Product development expenses are comprised primarily of compensation and other employee-related costs. We increased headcount in 2015 compared to 2014 and in 2014 compared to 2013, in order to support planned product launches.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we are pursuing.</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2014, we participated in a jury trial for the Zillow litigation described in Note 12—Contingencies in the notes to the consolidated financial statements included elsewhere in this report. The legal expenses associated with this jury trial and post-trial motions increased our litigation settlements and contingencies expense for 2014. In addition, in October 2014, the court awarded NexTag's attorney fees and costs totaling $2.3 million, which were recorded as litigation expense in 2014. We appealed the award of NexTag's attorney fees and costs in November 2014 and, in June 2015, we reached a settlement agreement with NexTag for $1.1 million. During the year ended December 31, 2015, we recorded $0.6 million in income primarily due to an adjustment in the reserve for NexTag attorney fees and costs associated with this matter, partially offset by legal fees. During the years ended December 31, 2014 and 2013, we recorded $10.6 million and $9.0 million, respectively, in expenses. These expenses were due primarily to legal fees incurred in connection with this patent litigation.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60" w:type="dxa"/>
            <w:vAlign w:val="bottom"/>
            <w:gridSpan w:val="3"/>
          </w:tcPr>
          <w:p>
            <w:pPr>
              <w:jc w:val="center"/>
              <w:ind w:right="170"/>
              <w:spacing w:after="0"/>
              <w:rPr>
                <w:sz w:val="20"/>
                <w:szCs w:val="20"/>
                <w:color w:val="auto"/>
              </w:rPr>
            </w:pPr>
            <w:r>
              <w:rPr>
                <w:rFonts w:ascii="Arial" w:cs="Arial" w:eastAsia="Arial" w:hAnsi="Arial"/>
                <w:sz w:val="16"/>
                <w:szCs w:val="16"/>
                <w:b w:val="1"/>
                <w:bCs w:val="1"/>
                <w:color w:val="auto"/>
                <w:w w:val="91"/>
              </w:rPr>
              <w:t>Year Ended December 31,</w:t>
            </w:r>
          </w:p>
        </w:tc>
        <w:tc>
          <w:tcPr>
            <w:tcW w:w="1040" w:type="dxa"/>
            <w:vAlign w:val="bottom"/>
          </w:tcPr>
          <w:p>
            <w:pPr>
              <w:spacing w:after="0"/>
              <w:rPr>
                <w:sz w:val="18"/>
                <w:szCs w:val="18"/>
                <w:color w:val="auto"/>
              </w:rPr>
            </w:pPr>
          </w:p>
        </w:tc>
      </w:tr>
      <w:tr>
        <w:trPr>
          <w:trHeight w:val="33"/>
        </w:trPr>
        <w:tc>
          <w:tcPr>
            <w:tcW w:w="6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6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354"/>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1180" w:type="dxa"/>
            <w:vAlign w:val="bottom"/>
          </w:tcPr>
          <w:p>
            <w:pPr>
              <w:jc w:val="center"/>
              <w:ind w:right="333"/>
              <w:spacing w:after="0"/>
              <w:rPr>
                <w:sz w:val="20"/>
                <w:szCs w:val="20"/>
                <w:color w:val="auto"/>
              </w:rPr>
            </w:pPr>
            <w:r>
              <w:rPr>
                <w:rFonts w:ascii="Arial" w:cs="Arial" w:eastAsia="Arial" w:hAnsi="Arial"/>
                <w:sz w:val="16"/>
                <w:szCs w:val="16"/>
                <w:b w:val="1"/>
                <w:bCs w:val="1"/>
                <w:color w:val="auto"/>
                <w:w w:val="89"/>
              </w:rPr>
              <w:t>2014</w:t>
            </w:r>
          </w:p>
        </w:tc>
        <w:tc>
          <w:tcPr>
            <w:tcW w:w="480" w:type="dxa"/>
            <w:vAlign w:val="bottom"/>
          </w:tcPr>
          <w:p>
            <w:pPr>
              <w:spacing w:after="0"/>
              <w:rPr>
                <w:sz w:val="20"/>
                <w:szCs w:val="20"/>
                <w:color w:val="auto"/>
              </w:rPr>
            </w:pPr>
          </w:p>
        </w:tc>
        <w:tc>
          <w:tcPr>
            <w:tcW w:w="10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2013</w:t>
            </w:r>
          </w:p>
        </w:tc>
      </w:tr>
      <w:tr>
        <w:trPr>
          <w:trHeight w:val="33"/>
        </w:trPr>
        <w:tc>
          <w:tcPr>
            <w:tcW w:w="6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6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gridSpan w:val="4"/>
          </w:tcPr>
          <w:p>
            <w:pPr>
              <w:jc w:val="center"/>
              <w:ind w:left="634"/>
              <w:spacing w:after="0"/>
              <w:rPr>
                <w:sz w:val="20"/>
                <w:szCs w:val="20"/>
                <w:color w:val="auto"/>
              </w:rPr>
            </w:pPr>
            <w:r>
              <w:rPr>
                <w:rFonts w:ascii="Arial" w:cs="Arial" w:eastAsia="Arial" w:hAnsi="Arial"/>
                <w:sz w:val="16"/>
                <w:szCs w:val="16"/>
                <w:i w:val="1"/>
                <w:iCs w:val="1"/>
                <w:color w:val="auto"/>
                <w:w w:val="89"/>
              </w:rPr>
              <w:t>(in thousands, except percentages)</w:t>
            </w:r>
          </w:p>
        </w:tc>
        <w:tc>
          <w:tcPr>
            <w:tcW w:w="1040" w:type="dxa"/>
            <w:vAlign w:val="bottom"/>
          </w:tcPr>
          <w:p>
            <w:pPr>
              <w:spacing w:after="0"/>
              <w:rPr>
                <w:sz w:val="18"/>
                <w:szCs w:val="18"/>
                <w:color w:val="auto"/>
              </w:rPr>
            </w:pPr>
          </w:p>
        </w:tc>
      </w:tr>
      <w:tr>
        <w:trPr>
          <w:trHeight w:val="33"/>
        </w:trPr>
        <w:tc>
          <w:tcPr>
            <w:tcW w:w="6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22,973</w:t>
            </w:r>
          </w:p>
        </w:tc>
        <w:tc>
          <w:tcPr>
            <w:tcW w:w="6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484</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453</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360" w:type="dxa"/>
            <w:vAlign w:val="bottom"/>
          </w:tcPr>
          <w:p>
            <w:pPr>
              <w:spacing w:after="0"/>
              <w:rPr>
                <w:sz w:val="21"/>
                <w:szCs w:val="21"/>
                <w:color w:val="auto"/>
              </w:rPr>
            </w:pPr>
          </w:p>
        </w:tc>
        <w:tc>
          <w:tcPr>
            <w:tcW w:w="1580" w:type="dxa"/>
            <w:vAlign w:val="bottom"/>
            <w:gridSpan w:val="2"/>
          </w:tcPr>
          <w:p>
            <w:pPr>
              <w:jc w:val="right"/>
              <w:ind w:right="414"/>
              <w:spacing w:after="0"/>
              <w:rPr>
                <w:sz w:val="20"/>
                <w:szCs w:val="20"/>
                <w:color w:val="auto"/>
              </w:rPr>
            </w:pPr>
            <w:r>
              <w:rPr>
                <w:rFonts w:ascii="Arial" w:cs="Arial" w:eastAsia="Arial" w:hAnsi="Arial"/>
                <w:sz w:val="18"/>
                <w:szCs w:val="18"/>
                <w:i w:val="1"/>
                <w:iCs w:val="1"/>
                <w:color w:val="auto"/>
              </w:rPr>
              <w:t>(81.1)%</w:t>
            </w:r>
          </w:p>
        </w:tc>
        <w:tc>
          <w:tcPr>
            <w:tcW w:w="1180" w:type="dxa"/>
            <w:vAlign w:val="bottom"/>
          </w:tcPr>
          <w:p>
            <w:pPr>
              <w:jc w:val="right"/>
              <w:ind w:right="13"/>
              <w:spacing w:after="0"/>
              <w:rPr>
                <w:sz w:val="20"/>
                <w:szCs w:val="20"/>
                <w:color w:val="auto"/>
              </w:rPr>
            </w:pPr>
            <w:r>
              <w:rPr>
                <w:rFonts w:ascii="Arial" w:cs="Arial" w:eastAsia="Arial" w:hAnsi="Arial"/>
                <w:sz w:val="18"/>
                <w:szCs w:val="18"/>
                <w:i w:val="1"/>
                <w:iCs w:val="1"/>
                <w:color w:val="auto"/>
              </w:rPr>
              <w:t>(49.8)%</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(40.2)%</w:t>
            </w:r>
          </w:p>
        </w:tc>
      </w:tr>
      <w:tr>
        <w:trPr>
          <w:trHeight w:val="27"/>
        </w:trPr>
        <w:tc>
          <w:tcPr>
            <w:tcW w:w="6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2015, the effective tax rate varied from the statutory rate primarily due to the reversal of the federal and partial reversal of the state valuation allowance set up in prior years against our deferred tax assets, partially offset by state taxes.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2014 and 2013, the effective tax rates varied from the statutory rate primarily due to state taxes.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6, 2012, we sold substantially all of the operating assets of our LendingTree Loans business for approximately $55.9 million in cash to Discover. Of the total purchase price, $8.0 million was paid prior to the closing, $37.9 million was paid upon the closing and the contingent amount of $10.0 million was paid and recognized as a gain from sale of discontinued operations in the second quarter of 2013.</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Discover generally did not assume liabilities of the LendingTree Loans business that arose before the closing date, except for certain liabilities directly related to assets Discover acquired. Of the purchase price paid, as of December 31, 2015, $4.0 million is being held in escrow in accordance with the agreement with Discover for certain loan loss obligations that remain with us following the sale.</w:t>
      </w:r>
    </w:p>
    <w:p>
      <w:pPr>
        <w:spacing w:after="0" w:line="12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2015, 2014 and 2013, (loss) income from discontinued operations of $(3.3) million, $9.8 million and $4.6 million, respectively, was primarily attributable to the LendingTree Loans business. In 2013, the results of discontinued operations were primarily due to a pre-tax gain of $10.0 million for an additional purchase price payment made on the first anniversary of the sale of the business, offset by costs relating to the ongoing wind-down of the business. In 2014, results of discontinued operations were primarily due to income from an adjustment in the loan loss reserve as a result of a settlement with one of LendingTree Loans' secondary market purchasers, partially offset by costs relating to the ongoing wind-down of the business. In 2015, loss from discontinued operations was primarily due to litigation settlements and contingencies and legal fees associated with ongoing legal proceedings.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Earnings Before Interest, Taxes, Depreciation and Amortization</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report Adjusted EBITDA as operating income or loss (which excludes interest expense and taxes) adjusted to exclude amortization of intangibles and depreciation, and to further exclude (1) non-cash compensation expense, (2) non-cash impairment charges, (3) gain/loss on disposal of assets,</w:t>
      </w:r>
    </w:p>
    <w:p>
      <w:pPr>
        <w:jc w:val="both"/>
        <w:ind w:firstLine="8"/>
        <w:spacing w:after="0" w:line="252" w:lineRule="auto"/>
        <w:tabs>
          <w:tab w:leader="none" w:pos="2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restructuring and severance expenses, (5) litigation settlements and contingencies and legal fees for certain patent litigation, (6) adjustments for acquisitions or dispositions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 except for $0.1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million related to an estimated settlement for unclaimed property in 2015, $0.9 million related to a discretionary cash bonus payment to employee stock option holders in 2013 and a one-time contribution of $0.4 million to an educational trust in 2013.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restricted stock units and stock options.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reconciliation of Adjusted EBITDA to net income (loss) from continuing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3"/>
          </w:tcPr>
          <w:p>
            <w:pPr>
              <w:jc w:val="center"/>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2015</w:t>
            </w:r>
          </w:p>
        </w:tc>
        <w:tc>
          <w:tcPr>
            <w:tcW w:w="380" w:type="dxa"/>
            <w:vAlign w:val="bottom"/>
          </w:tcPr>
          <w:p>
            <w:pPr>
              <w:spacing w:after="0"/>
              <w:rPr>
                <w:sz w:val="20"/>
                <w:szCs w:val="20"/>
                <w:color w:val="auto"/>
              </w:rPr>
            </w:pPr>
          </w:p>
        </w:tc>
        <w:tc>
          <w:tcPr>
            <w:tcW w:w="1300" w:type="dxa"/>
            <w:vAlign w:val="bottom"/>
          </w:tcPr>
          <w:p>
            <w:pPr>
              <w:jc w:val="center"/>
              <w:ind w:right="172"/>
              <w:spacing w:after="0"/>
              <w:rPr>
                <w:sz w:val="20"/>
                <w:szCs w:val="20"/>
                <w:color w:val="auto"/>
              </w:rPr>
            </w:pPr>
            <w:r>
              <w:rPr>
                <w:rFonts w:ascii="Arial" w:cs="Arial" w:eastAsia="Arial" w:hAnsi="Arial"/>
                <w:sz w:val="16"/>
                <w:szCs w:val="16"/>
                <w:b w:val="1"/>
                <w:bCs w:val="1"/>
                <w:color w:val="auto"/>
                <w:w w:val="89"/>
              </w:rPr>
              <w:t>2014</w:t>
            </w:r>
          </w:p>
        </w:tc>
        <w:tc>
          <w:tcPr>
            <w:tcW w:w="42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center"/>
              <w:ind w:right="192"/>
              <w:spacing w:after="0"/>
              <w:rPr>
                <w:sz w:val="20"/>
                <w:szCs w:val="20"/>
                <w:color w:val="auto"/>
              </w:rPr>
            </w:pPr>
            <w:r>
              <w:rPr>
                <w:rFonts w:ascii="Arial" w:cs="Arial" w:eastAsia="Arial" w:hAnsi="Arial"/>
                <w:sz w:val="14"/>
                <w:szCs w:val="14"/>
                <w:b w:val="1"/>
                <w:bCs w:val="1"/>
                <w:i w:val="1"/>
                <w:iCs w:val="1"/>
                <w:color w:val="auto"/>
                <w:w w:val="89"/>
              </w:rPr>
              <w:t>(in thousands)</w:t>
            </w: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40,818</w:t>
            </w: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21,827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18,717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Adjustments to reconcile to net income (loss) from continuing operations: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(3,008)</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(3,245)</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(748)</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(8,370)</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(7,277)</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Estimated settlement for unclaimed property</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Acquisition expense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Discretionary cash bonus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Trust contribution</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22,973</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484</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51,316</w:t>
            </w:r>
          </w:p>
        </w:tc>
        <w:tc>
          <w:tcPr>
            <w:tcW w:w="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(487)</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(673)</w:t>
            </w:r>
          </w:p>
        </w:tc>
      </w:tr>
      <w:tr>
        <w:trPr>
          <w:trHeight w:val="34"/>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2015, we had $207.0 million of cash and cash equivalents and $6.5 million of restricted cash and cash equivalents, compared to $86.2 million of cash and cash equivalents and $18.7 million of restricted cash and cash equivalents as of December 31, 2014. In February 2016, $2.5 million in escrow for the surety bonds was released due to a reduction in collateral requirements.</w:t>
      </w:r>
    </w:p>
    <w:p>
      <w:pPr>
        <w:spacing w:after="0" w:line="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November 2015, the Company completed an equity offering of 852,500 shares of its common stock. The Company received net proceeds of $91.5 million, after deducting approximately $5.9 million in underwriting discounts and $0.7 million in offering expenses. The Company expects to use the net proceeds of the offering for general corporate purposes, including but not limited to, working capital and potential acquisitions.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revolving credit facility described below is an additional potential source of liquidity.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October 22, 2015, we established a $125.0 million five-year Senior Secured Revolving Credit Facility which matures on October 22, 2020 (the "Revolving Credit Facility"). The proceeds of the Revolving Credit Facility can be used to finance working</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18" w:right="239" w:bottom="1440" w:gutter="0" w:footer="0" w:header="0"/>
          <w:type w:val="continuous"/>
        </w:sectPr>
      </w:pPr>
    </w:p>
    <w:bookmarkStart w:id="31" w:name="page32"/>
    <w:bookmarkEnd w:id="3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needs, capital expenditures and general corporate purposes, including to finance permitted acquisitions. As of February 19, 2016, we do not have any borrowings under the Revolving Credit Facility.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additional information on the Revolving Credit Facility,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10—Revolving Credit Facility in the notes to the consolidated financial statements included elsewhere in this report.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left="517"/>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r>
      <w:tr>
        <w:trPr>
          <w:trHeight w:val="264"/>
        </w:trPr>
        <w:tc>
          <w:tcPr>
            <w:tcW w:w="74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2014</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r>
      <w:tr>
        <w:trPr>
          <w:trHeight w:val="196"/>
        </w:trPr>
        <w:tc>
          <w:tcPr>
            <w:tcW w:w="7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32,584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9,075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10,238</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4,901</w:t>
            </w:r>
          </w:p>
        </w:tc>
        <w:tc>
          <w:tcPr>
            <w:tcW w:w="220" w:type="dxa"/>
            <w:vAlign w:val="bottom"/>
          </w:tcPr>
          <w:p>
            <w:pPr>
              <w:spacing w:after="0"/>
              <w:rPr>
                <w:sz w:val="21"/>
                <w:szCs w:val="21"/>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2,704</w:t>
            </w:r>
          </w:p>
        </w:tc>
        <w:tc>
          <w:tcPr>
            <w:tcW w:w="3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647</w:t>
            </w:r>
          </w:p>
        </w:tc>
      </w:tr>
      <w:tr>
        <w:trPr>
          <w:trHeight w:val="27"/>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86,909</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(7,651)</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(5,983)</w:t>
            </w:r>
          </w:p>
        </w:tc>
      </w:tr>
      <w:tr>
        <w:trPr>
          <w:trHeight w:val="20"/>
        </w:trPr>
        <w:tc>
          <w:tcPr>
            <w:tcW w:w="7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largest source of cash provided by our operating activities is revenues generated by our mortgage and non-mortgage products. Our primary uses of cash from our operating activities include advertising and promotional payments and fees paid for consumer inquiries. In addition, our uses of cash from operating activities include compensation and other employee-related costs, other general corporate expenditures, litigation settlements and contingencies, and income taxes.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operating activities attributable to continuing operations increased in 2015 from 2014 primarily due to an increase in revenue, partially offset by an increase in cost of revenue and selling and marketing. Additionally, there was a decrease in payments related to litigation settlements and contingencies and a net increase in cash from changes in working capital primarily driven by changes in accounts receivable and accounts payable and other current liabilities and income taxes payable.</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provided by operating activities attributable to continuing operations decreased in 2014 from 2013 primarily due to negative working capital primarily driven by changes in accounts payable and other current liabilities.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provided by investing activities attributable to continuing operations in 2015 of $4.9 million consisted primarily of $12.2 million in the release of restricted cash previously held in escrow in connection with the sale of LendingTree Loans, offset by capital expenditures of $7.2 million primarily related to internally developed software.</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provided by investing activities attributable to continuing operations in 2014 of $2.7 million consisted primarily of capital expenditures of $3.9 million and $0.7 million in payments made to acquire a business, which was more than offset by a decrease in restricted cash of $7.3 million. In 2014, we reached and executed a settlement with the disputing party on the earnout related to an acquisition, upon which $2.0 million of cash previously held in escrow was released. Additionally, in 2014, we reached and executed a settlement with one of our LendingTree Loans' secondary market purchasers related to loan loss obligations, upon which $2.0 million of cash previously held in escrow was released. Finally, in 2014, we reached and executed a settlement with another secondary market purchaser related to loan loss obligations, upon which $3.1 million of cash previously held by such secondary market purchaser was paid out.</w:t>
      </w:r>
    </w:p>
    <w:p>
      <w:pPr>
        <w:spacing w:after="0" w:line="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investing activities attributable to continuing operations in 2013 of $0.6 million consisted primarily of capital expenditures of $2.8 million, which was more than offset by a decrease in restricted cash of $3.4 million. The decrease in restricted cash is associated with a reduction in the collateral requirement for certain of our surety bonds, which are required by the various states in which we currently operate or previously operated. As a result, $4.0 million of cash previously held in escrow was released.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attributable to continuing operations in 2015 of $86.9 million consisted primarily of net proceeds from the November 2015 equity offering of $91.5 million and $4.6 million in excess tax benefits from stock-based award activity, offset by $7.6 million in withholding taxes paid by us upon the surrender of shares to satisfy obligations on equity awards, $1.2 million for the payment of debt issuance costs, the repurchase of our stock of $0.2 million and $0.1 million in dividend payments.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Net cash used in financing activities attributable to continuing operations in 2014 of $7.7 million consisted primarily of $4.8 million in withholding taxes paid by us upon the surrender of shares to satisfy obligations on equity awards and the repurchase of our stock of $2.6 million.</w:t>
      </w:r>
    </w:p>
    <w:p>
      <w:pPr>
        <w:spacing w:after="0" w:line="38"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Net cash used in financing activities attributable to continuing operations in 2013 of $6.0 million consisted primarily of $2.8 million in withholding taxes paid by us upon the surrender of shares to satisfy obligations on equity awards and the repurchase of our stock of $3.3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We have no off-balance sheet arrangements other than our operating lease obligations and funding commitments pursuant to our surety bonds.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11—Commitments to the consolidated financial statements included elsewhere in the report for further details.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contractual obligations and commercial commitments as of December 31,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5"/>
          </w:tcPr>
          <w:p>
            <w:pPr>
              <w:jc w:val="right"/>
              <w:ind w:right="396"/>
              <w:spacing w:after="0"/>
              <w:rPr>
                <w:sz w:val="20"/>
                <w:szCs w:val="20"/>
                <w:color w:val="auto"/>
              </w:rPr>
            </w:pPr>
            <w:r>
              <w:rPr>
                <w:rFonts w:ascii="Arial" w:cs="Arial" w:eastAsia="Arial" w:hAnsi="Arial"/>
                <w:sz w:val="14"/>
                <w:szCs w:val="14"/>
                <w:b w:val="1"/>
                <w:bCs w:val="1"/>
                <w:color w:val="auto"/>
                <w:w w:val="99"/>
              </w:rPr>
              <w:t>Payments Due By Period as of December 31, 2015</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25"/>
                <w:szCs w:val="25"/>
                <w:b w:val="1"/>
                <w:bCs w:val="1"/>
                <w:color w:val="auto"/>
                <w:vertAlign w:val="superscript"/>
              </w:rPr>
              <w:t>(a)</w:t>
            </w:r>
          </w:p>
        </w:tc>
        <w:tc>
          <w:tcPr>
            <w:tcW w:w="340" w:type="dxa"/>
            <w:vAlign w:val="bottom"/>
          </w:tcPr>
          <w:p>
            <w:pPr>
              <w:spacing w:after="0"/>
              <w:rPr>
                <w:sz w:val="13"/>
                <w:szCs w:val="13"/>
                <w:color w:val="auto"/>
              </w:rPr>
            </w:pPr>
          </w:p>
        </w:tc>
        <w:tc>
          <w:tcPr>
            <w:tcW w:w="100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108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3"/>
                <w:szCs w:val="13"/>
                <w:color w:val="auto"/>
              </w:rPr>
            </w:pPr>
          </w:p>
        </w:tc>
        <w:tc>
          <w:tcPr>
            <w:tcW w:w="10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1-3 Years</w:t>
            </w:r>
          </w:p>
        </w:tc>
        <w:tc>
          <w:tcPr>
            <w:tcW w:w="280" w:type="dxa"/>
            <w:vAlign w:val="bottom"/>
          </w:tcPr>
          <w:p>
            <w:pPr>
              <w:spacing w:after="0"/>
              <w:rPr>
                <w:sz w:val="13"/>
                <w:szCs w:val="13"/>
                <w:color w:val="auto"/>
              </w:rPr>
            </w:pPr>
          </w:p>
        </w:tc>
        <w:tc>
          <w:tcPr>
            <w:tcW w:w="10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3-5 Years</w:t>
            </w:r>
          </w:p>
        </w:tc>
        <w:tc>
          <w:tcPr>
            <w:tcW w:w="260" w:type="dxa"/>
            <w:vAlign w:val="bottom"/>
          </w:tcPr>
          <w:p>
            <w:pPr>
              <w:spacing w:after="0"/>
              <w:rPr>
                <w:sz w:val="13"/>
                <w:szCs w:val="13"/>
                <w:color w:val="auto"/>
              </w:rPr>
            </w:pPr>
          </w:p>
        </w:tc>
        <w:tc>
          <w:tcPr>
            <w:tcW w:w="1140" w:type="dxa"/>
            <w:vAlign w:val="bottom"/>
          </w:tcPr>
          <w:p>
            <w:pPr>
              <w:jc w:val="center"/>
              <w:ind w:right="159"/>
              <w:spacing w:after="0" w:line="153"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98"/>
        </w:trPr>
        <w:tc>
          <w:tcPr>
            <w:tcW w:w="458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1 Year</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5"/>
                <w:szCs w:val="25"/>
                <w:color w:val="auto"/>
                <w:vertAlign w:val="superscript"/>
              </w:rPr>
              <w:t>(b)</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Total contractual obligations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6,348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1,668</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2,600</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2,080</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4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right="2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potential obligations under surety and litigation bonds and the indemnification obligations, repurchase obligations and premium repayment obligations for which our HLC subsidiary continues to be liable following the sale of substantially all of the operating assets of our LendingTree Loans business in the second quarter of 2012.</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operating lease obligations are associated with office space in both our continuing and discontinued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following disclosure is provided to supplement the description of our accounting policies contained in Note 2—Significant Accounting Policies to the consolidated financial statements included elsewhere in this report in regard to significant areas of judgment. This disclosure includes accounting policies related to both continuing operations and discontinued operations. Management is required to make certain estimates and assumptions during the preparation of the consolidated financial statements in accordance with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Because of the size of the financial statement elements to which they relate, some of our accounting policies and estimates have a more significant impact on our consolidated financial statements than others. A discussion of some of our more significant accounting policies and estimates follows.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 Loss Obligations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make estimates as to our exposure related to our obligation to repurchase loans previously sold to investors or to repay premiums paid by investors in purchasing loans, and reserve for such contingencies accordingly. Such payments to investors may be required in cases where underwriting deficiencies, borrower fraud, documentation defects, early payment defaults and early loan payoffs occurred.</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HLC subsidiary continues to be liable for certain indemnification obligations, repurchase obligations and premium repayment obligations following the sale of substantially all of the operating assets of our LendingTree Loans business on June 6, 2012. Approximately $4.0 million is being held in escrow pending resolution of certain of these contingent liabilities. We have been negotiating with certain secondary market purchasers to settle any existing and future contingent liabilities, but we may not be able to complete such negotiations on acceptable terms, or at all. Because we do not service the loans LendingTree Loans sold, we do not maintain nor have access to the current balances and loan performance data with respect to the individual loans previously sold to investors. Accordingly, we are unable to determine, with precision, our maximum exposure for breaches of the representations and warranties LendingTree Loans made to the investors that purchased such loans.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estimate the liability for loan losses using a settlement discount framework. This approach estimates the lifetime losses on the population of remaining loans originated and sold by LendingTree Loans using actual defaults for loans with similar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characteristics and projected future defaults. It also considers the likelihood of claims expected due to alleged breaches of representations and warranties made by LendingTree Loans and the percentage of those claims investors estimate LendingTree Loans may agree to repurchase. We then apply a settlement discount factor to the result of the foregoing to reflect publicly- announced bulk settlements for similar loan types and vintages, our own settlement experience, as well as LendingTree Loans' non-operating status, in order to estimate a range of the potential obligation. Changes to any one of these factors could significantly impact the estimate of the liability and could have a material and adverse impact on our results of operations for any particular period.</w:t>
      </w:r>
    </w:p>
    <w:p>
      <w:pPr>
        <w:spacing w:after="0" w:line="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have considered both objective and subjective factors in our estimation process, but given current general industry trends in mortgage loans as well as housing prices, market expectations and actual losses related to LendingTree Loans' obligations could vary significantly from the obligation recorded as of December 31, 2015 of $8.1 million or the range of remaining loan losses of $5.7 million to $10.3 million.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16—Discontinued Operations— LendingTree Loans—Loan Loss Obligations to the consolidated financial statements included elsewhere in this report for additional information on the loan loss reserve.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Estimates of deferred income taxes and the significant items giving rise to the deferred assets and liabilities are shown in Note 9—Income Taxes to the consolidated financial statements included elsewhere in this report, and reflect management's assessment of actual future taxes to be paid on items reflected in the consolidated financial statements, giving consideration to both timing and the probability of realization. Actual income taxes could vary from these estimates due to future changes in income tax law, state income tax apportionment or the outcome of any review of our tax returns by the IRS, as well as actual operating results that may vary significantly from anticipated results.</w:t>
      </w:r>
    </w:p>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also recognize liabilities for uncertain tax positions based on the two-step process prescribed by the accounting guidance for uncertainty in income taxes.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 This measurement step is inherently difficult and requires subjective estimations of such amounts to determine the probability of various possible outcomes. We consider many factors when evaluating and estimating our tax positions and tax benefits, which may require periodic adjustments and which may not accurately anticipate actual outcomes.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A valuation allowance is provided on deferred tax assets if it is determined that it is </w:t>
      </w:r>
      <w:r>
        <w:rPr>
          <w:rFonts w:ascii="Arial" w:cs="Arial" w:eastAsia="Arial" w:hAnsi="Arial"/>
          <w:sz w:val="16"/>
          <w:szCs w:val="16"/>
          <w:i w:val="1"/>
          <w:iCs w:val="1"/>
          <w:color w:val="auto"/>
        </w:rPr>
        <w:t>"more likely than not"</w:t>
      </w:r>
      <w:r>
        <w:rPr>
          <w:rFonts w:ascii="Arial" w:cs="Arial" w:eastAsia="Arial" w:hAnsi="Arial"/>
          <w:sz w:val="16"/>
          <w:szCs w:val="16"/>
          <w:color w:val="auto"/>
        </w:rPr>
        <w:t xml:space="preserve"> that the deferred tax asset will not be realized.</w:t>
      </w:r>
    </w:p>
    <w:p>
      <w:pPr>
        <w:spacing w:after="0" w:line="14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fourth quarter of 2015, we concluded, based upon all available evidence, it was more likely than not we would have sufficient future taxable income to realize the majority of our net deferred tax assets. As a result, we released the majority of the valuation allowance in 2015. We significantly improved our operating performance in 2015, emerged from cumulative losses in recent years to a cumulative profit position and project taxable income in future years. While we believe the assumptions included in our projections of future taxable income are reasonable, if the actual results vary from expected results due to unforeseen changes in the economy or mortgage industry, or other factors, we may need to make future adjustments to the valuation allowance for all, or a portion, of the net deferred tax assets. At December 31, 2015, we recorded a partial valuation allowance of $2.3 million primarily related to state net operating losses, which we do not expect to be able to utilize prior to expiration. At December 31, 2014, we had recorded a full valuation allowance of $40.1 million against our deferred tax assets.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forms of stock-based awards granted to our employees are principally restricted stock units ("RSUs"), restricted stock and stock options. The value of RSU and restricted stock awards is measured at their grant dates as the fair value of common stock and amortized ratably as non-cash compensation expense over the vesting term. The value of stock options issued, as discussed in Note 8—Stock-Based Compensation to the consolidated financial statements included elsewhere in this report, is estimated using a Black-Scholes option pricing model. If an award is modified, we determine if the modification requires a new calculation of fair value or change in the vesting term of the award.</w:t>
      </w:r>
    </w:p>
    <w:p>
      <w:pPr>
        <w:spacing w:after="0" w:line="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2015, there was approximately $8.2 million, $7.5 million and $1.0 million of unrecognized compensation cost, net of estimated forfeitures, related to stock options, RSUs and restricted stock, respectively. These costs are expected to be recognized over a weighted-average period of approximately 2.0 years for stock options, 2.0 years for RSUs and 1.0 year for restricted stock.</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Recoverability of Long-Lived Assets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review the carrying value of all long-lived assets, primarily property and equipment, and definite-lived intangible assets for impairment whenever events or changes in circumstances indicate that the carrying value of an asset may be impaired.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Impairment is considered to have occurred whenever the carrying value of a long-lived asset cannot be recovered from cash flows that are expected to result from the use and eventual disposition of the asset. This recoverability test requires us to make assumptions and judgments related to factors used in a calculation of undiscounted cash flows, including, but not limited to, management’s expectations for future operations and projected cash flows. The key assumptions used in this calculation include Adjusted EBITDA, the remaining useful lives of the primary cash flow generating asset in the asset group and, to a lesser extent, the deduction of capital expenditures and taxes paid in cash to arrive at net cash flows.</w:t>
      </w:r>
    </w:p>
    <w:p>
      <w:pPr>
        <w:spacing w:after="0" w:line="6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During the fourth quarter of 2014, we lost key customers and experienced a decline in revenue for a certain product included within the Education business. Accordingly, in early 2015, we amended our strategic course for this product, resulting in a reduction in anticipated future cash flows. At December 31, 2014, we reviewed the long-lived assets associated with this product for recoverability, resulting in an impairment charge to customer lists and internally developed software of approximately $0.8 million. The fair value of the long-lived assets was determined using a discounted cash flow model. The impairment charge is included in general and administrative expense on the accompanying consolidated statement of operations and comprehensive income.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long-lived assets subject to assessment for impairment is $10.3 million at December 31, 2015.</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2—Significant Accounting Policies to the consolidated financial statements included elsewhere in this report for a description of recent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pronouncements.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Other than our Revolving Credit Facility, which currently has no borrowings outstanding, we do not have any financial instruments that are exposed to significant market risk. We maintain our cash and cash equivalents in short-term, highly liquid money market investments. A hypothetical 100-basis increase or decrease in market interest rates would not have a material impact on the fair value of our cash equivalents securities, or our earnings on such cash equivalents, but would have an effect on the interest paid on borrowings under the Revolving Credit Facility, if any.</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3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230"/>
        </w:trPr>
        <w:tc>
          <w:tcPr>
            <w:tcW w:w="5480" w:type="dxa"/>
            <w:vAlign w:val="bottom"/>
            <w:gridSpan w:val="8"/>
          </w:tcPr>
          <w:p>
            <w:pPr>
              <w:spacing w:after="0"/>
              <w:rPr>
                <w:sz w:val="20"/>
                <w:szCs w:val="20"/>
                <w:color w:val="auto"/>
              </w:rPr>
            </w:pPr>
            <w:r>
              <w:rPr>
                <w:rFonts w:ascii="Arial" w:cs="Arial" w:eastAsia="Arial" w:hAnsi="Arial"/>
                <w:sz w:val="18"/>
                <w:szCs w:val="18"/>
                <w:color w:val="auto"/>
              </w:rPr>
              <w:t>LENDINGTREE, INC. AND SUBSIDIARIES:</w:t>
            </w:r>
          </w:p>
        </w:tc>
        <w:tc>
          <w:tcPr>
            <w:tcW w:w="4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80" w:type="dxa"/>
            <w:vAlign w:val="bottom"/>
            <w:gridSpan w:val="8"/>
          </w:tcPr>
          <w:p>
            <w:pPr>
              <w:spacing w:after="0"/>
              <w:rPr>
                <w:sz w:val="20"/>
                <w:szCs w:val="20"/>
                <w:color w:val="auto"/>
              </w:rPr>
            </w:pPr>
            <w:r>
              <w:rPr>
                <w:rFonts w:ascii="Arial" w:cs="Arial" w:eastAsia="Arial" w:hAnsi="Arial"/>
                <w:sz w:val="18"/>
                <w:szCs w:val="18"/>
                <w:b w:val="1"/>
                <w:bCs w:val="1"/>
                <w:i w:val="1"/>
                <w:iCs w:val="1"/>
                <w:color w:val="0000EE"/>
              </w:rPr>
              <w:t>Report of Independent Registered Public Accounting Firm</w:t>
            </w:r>
          </w:p>
        </w:tc>
        <w:tc>
          <w:tcPr>
            <w:tcW w:w="59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37</w:t>
              </w:r>
            </w:hyperlink>
          </w:p>
        </w:tc>
      </w:tr>
      <w:tr>
        <w:trPr>
          <w:trHeight w:val="574"/>
        </w:trPr>
        <w:tc>
          <w:tcPr>
            <w:tcW w:w="43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CONSOLIDATED FINANCIAL STATEMENTS:</w:t>
            </w:r>
          </w:p>
        </w:tc>
        <w:tc>
          <w:tcPr>
            <w:tcW w:w="1140" w:type="dxa"/>
            <w:vAlign w:val="bottom"/>
            <w:gridSpan w:val="2"/>
          </w:tcPr>
          <w:p>
            <w:pPr>
              <w:spacing w:after="0"/>
              <w:rPr>
                <w:sz w:val="24"/>
                <w:szCs w:val="24"/>
                <w:color w:val="auto"/>
              </w:rPr>
            </w:pPr>
          </w:p>
        </w:tc>
        <w:tc>
          <w:tcPr>
            <w:tcW w:w="4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5020" w:type="dxa"/>
            <w:vAlign w:val="bottom"/>
            <w:tcBorders>
              <w:bottom w:val="single" w:sz="8" w:color="0000FF"/>
            </w:tcBorders>
            <w:gridSpan w:val="6"/>
          </w:tcPr>
          <w:p>
            <w:pPr>
              <w:spacing w:after="0"/>
              <w:rPr>
                <w:rFonts w:ascii="Arial" w:cs="Arial" w:eastAsia="Arial" w:hAnsi="Arial"/>
                <w:sz w:val="18"/>
                <w:szCs w:val="18"/>
                <w:b w:val="1"/>
                <w:bCs w:val="1"/>
                <w:i w:val="1"/>
                <w:iCs w:val="1"/>
                <w:color w:val="0000FF"/>
                <w:w w:val="85"/>
              </w:rPr>
            </w:pPr>
            <w:hyperlink w:anchor="page37">
              <w:r>
                <w:rPr>
                  <w:rFonts w:ascii="Arial" w:cs="Arial" w:eastAsia="Arial" w:hAnsi="Arial"/>
                  <w:sz w:val="18"/>
                  <w:szCs w:val="18"/>
                  <w:b w:val="1"/>
                  <w:bCs w:val="1"/>
                  <w:i w:val="1"/>
                  <w:iCs w:val="1"/>
                  <w:color w:val="0000FF"/>
                  <w:w w:val="85"/>
                </w:rPr>
                <w:t xml:space="preserve">Consolidated Statements of Operations </w:t>
              </w:r>
            </w:hyperlink>
            <w:r>
              <w:rPr>
                <w:rFonts w:ascii="Arial" w:cs="Arial" w:eastAsia="Arial" w:hAnsi="Arial"/>
                <w:sz w:val="18"/>
                <w:szCs w:val="18"/>
                <w:b w:val="1"/>
                <w:bCs w:val="1"/>
                <w:i w:val="1"/>
                <w:iCs w:val="1"/>
                <w:color w:val="0000FF"/>
                <w:w w:val="85"/>
              </w:rPr>
              <w:t>and Comprehensive Income</w:t>
            </w:r>
          </w:p>
        </w:tc>
        <w:tc>
          <w:tcPr>
            <w:tcW w:w="120" w:type="dxa"/>
            <w:vAlign w:val="bottom"/>
          </w:tcPr>
          <w:p>
            <w:pPr>
              <w:spacing w:after="0"/>
              <w:rPr>
                <w:sz w:val="19"/>
                <w:szCs w:val="19"/>
                <w:color w:val="auto"/>
              </w:rPr>
            </w:pPr>
          </w:p>
        </w:tc>
        <w:tc>
          <w:tcPr>
            <w:tcW w:w="59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38</w:t>
              </w:r>
            </w:hyperlink>
          </w:p>
        </w:tc>
      </w:tr>
      <w:tr>
        <w:trPr>
          <w:trHeight w:val="250"/>
        </w:trPr>
        <w:tc>
          <w:tcPr>
            <w:tcW w:w="340" w:type="dxa"/>
            <w:vAlign w:val="bottom"/>
          </w:tcPr>
          <w:p>
            <w:pPr>
              <w:spacing w:after="0"/>
              <w:rPr>
                <w:sz w:val="21"/>
                <w:szCs w:val="21"/>
                <w:color w:val="auto"/>
              </w:rPr>
            </w:pPr>
          </w:p>
        </w:tc>
        <w:tc>
          <w:tcPr>
            <w:tcW w:w="2160" w:type="dxa"/>
            <w:vAlign w:val="bottom"/>
            <w:tcBorders>
              <w:bottom w:val="single" w:sz="8" w:color="0000EE"/>
            </w:tcBorders>
          </w:tcPr>
          <w:p>
            <w:pPr>
              <w:spacing w:after="0"/>
              <w:rPr>
                <w:rFonts w:ascii="Arial" w:cs="Arial" w:eastAsia="Arial" w:hAnsi="Arial"/>
                <w:sz w:val="18"/>
                <w:szCs w:val="18"/>
                <w:b w:val="1"/>
                <w:bCs w:val="1"/>
                <w:i w:val="1"/>
                <w:iCs w:val="1"/>
                <w:color w:val="0000EE"/>
                <w:w w:val="84"/>
              </w:rPr>
            </w:pPr>
            <w:hyperlink w:anchor="page38">
              <w:r>
                <w:rPr>
                  <w:rFonts w:ascii="Arial" w:cs="Arial" w:eastAsia="Arial" w:hAnsi="Arial"/>
                  <w:sz w:val="18"/>
                  <w:szCs w:val="18"/>
                  <w:b w:val="1"/>
                  <w:bCs w:val="1"/>
                  <w:i w:val="1"/>
                  <w:iCs w:val="1"/>
                  <w:color w:val="0000EE"/>
                  <w:w w:val="84"/>
                </w:rPr>
                <w:t>Consolidated Balance Sheets</w:t>
              </w:r>
            </w:hyperlink>
          </w:p>
        </w:tc>
        <w:tc>
          <w:tcPr>
            <w:tcW w:w="2980" w:type="dxa"/>
            <w:vAlign w:val="bottom"/>
            <w:gridSpan w:val="6"/>
          </w:tcPr>
          <w:p>
            <w:pPr>
              <w:spacing w:after="0"/>
              <w:rPr>
                <w:sz w:val="21"/>
                <w:szCs w:val="21"/>
                <w:color w:val="auto"/>
              </w:rPr>
            </w:pPr>
          </w:p>
        </w:tc>
        <w:tc>
          <w:tcPr>
            <w:tcW w:w="59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39</w:t>
              </w:r>
            </w:hyperlink>
          </w:p>
        </w:tc>
      </w:tr>
      <w:tr>
        <w:trPr>
          <w:trHeight w:val="250"/>
        </w:trPr>
        <w:tc>
          <w:tcPr>
            <w:tcW w:w="340" w:type="dxa"/>
            <w:vAlign w:val="bottom"/>
          </w:tcPr>
          <w:p>
            <w:pPr>
              <w:spacing w:after="0"/>
              <w:rPr>
                <w:sz w:val="21"/>
                <w:szCs w:val="21"/>
                <w:color w:val="auto"/>
              </w:rPr>
            </w:pPr>
          </w:p>
        </w:tc>
        <w:tc>
          <w:tcPr>
            <w:tcW w:w="5140" w:type="dxa"/>
            <w:vAlign w:val="bottom"/>
            <w:gridSpan w:val="7"/>
          </w:tcPr>
          <w:p>
            <w:pPr>
              <w:spacing w:after="0"/>
              <w:rPr>
                <w:rFonts w:ascii="Arial" w:cs="Arial" w:eastAsia="Arial" w:hAnsi="Arial"/>
                <w:sz w:val="18"/>
                <w:szCs w:val="18"/>
                <w:b w:val="1"/>
                <w:bCs w:val="1"/>
                <w:i w:val="1"/>
                <w:iCs w:val="1"/>
                <w:color w:val="0000EE"/>
              </w:rPr>
            </w:pPr>
            <w:hyperlink w:anchor="page39">
              <w:r>
                <w:rPr>
                  <w:rFonts w:ascii="Arial" w:cs="Arial" w:eastAsia="Arial" w:hAnsi="Arial"/>
                  <w:sz w:val="18"/>
                  <w:szCs w:val="18"/>
                  <w:b w:val="1"/>
                  <w:bCs w:val="1"/>
                  <w:i w:val="1"/>
                  <w:iCs w:val="1"/>
                  <w:color w:val="0000EE"/>
                </w:rPr>
                <w:t>Consolidated Statements of Shareholders' Equity</w:t>
              </w:r>
            </w:hyperlink>
          </w:p>
        </w:tc>
        <w:tc>
          <w:tcPr>
            <w:tcW w:w="59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40</w:t>
              </w:r>
            </w:hyperlink>
          </w:p>
        </w:tc>
      </w:tr>
      <w:tr>
        <w:trPr>
          <w:trHeight w:val="250"/>
        </w:trPr>
        <w:tc>
          <w:tcPr>
            <w:tcW w:w="340" w:type="dxa"/>
            <w:vAlign w:val="bottom"/>
          </w:tcPr>
          <w:p>
            <w:pPr>
              <w:spacing w:after="0"/>
              <w:rPr>
                <w:sz w:val="21"/>
                <w:szCs w:val="21"/>
                <w:color w:val="auto"/>
              </w:rPr>
            </w:pPr>
          </w:p>
        </w:tc>
        <w:tc>
          <w:tcPr>
            <w:tcW w:w="3640" w:type="dxa"/>
            <w:vAlign w:val="bottom"/>
            <w:tcBorders>
              <w:top w:val="single" w:sz="8" w:color="0000EE"/>
            </w:tcBorders>
            <w:gridSpan w:val="4"/>
          </w:tcPr>
          <w:p>
            <w:pPr>
              <w:spacing w:after="0"/>
              <w:rPr>
                <w:rFonts w:ascii="Arial" w:cs="Arial" w:eastAsia="Arial" w:hAnsi="Arial"/>
                <w:sz w:val="18"/>
                <w:szCs w:val="18"/>
                <w:b w:val="1"/>
                <w:bCs w:val="1"/>
                <w:i w:val="1"/>
                <w:iCs w:val="1"/>
                <w:color w:val="0000EE"/>
              </w:rPr>
            </w:pPr>
            <w:hyperlink w:anchor="page40">
              <w:r>
                <w:rPr>
                  <w:rFonts w:ascii="Arial" w:cs="Arial" w:eastAsia="Arial" w:hAnsi="Arial"/>
                  <w:sz w:val="18"/>
                  <w:szCs w:val="18"/>
                  <w:b w:val="1"/>
                  <w:bCs w:val="1"/>
                  <w:i w:val="1"/>
                  <w:iCs w:val="1"/>
                  <w:color w:val="0000EE"/>
                </w:rPr>
                <w:t>Consolidated Statements of Cash Flows</w:t>
              </w:r>
            </w:hyperlink>
          </w:p>
        </w:tc>
        <w:tc>
          <w:tcPr>
            <w:tcW w:w="1500" w:type="dxa"/>
            <w:vAlign w:val="bottom"/>
            <w:gridSpan w:val="3"/>
          </w:tcPr>
          <w:p>
            <w:pPr>
              <w:spacing w:after="0"/>
              <w:rPr>
                <w:sz w:val="21"/>
                <w:szCs w:val="21"/>
                <w:color w:val="auto"/>
              </w:rPr>
            </w:pPr>
          </w:p>
        </w:tc>
        <w:tc>
          <w:tcPr>
            <w:tcW w:w="59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41</w:t>
              </w:r>
            </w:hyperlink>
          </w:p>
        </w:tc>
      </w:tr>
      <w:tr>
        <w:trPr>
          <w:trHeight w:val="20"/>
        </w:trPr>
        <w:tc>
          <w:tcPr>
            <w:tcW w:w="34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140" w:type="dxa"/>
            <w:vAlign w:val="bottom"/>
            <w:gridSpan w:val="7"/>
          </w:tcPr>
          <w:p>
            <w:pPr>
              <w:spacing w:after="0"/>
              <w:rPr>
                <w:rFonts w:ascii="Arial" w:cs="Arial" w:eastAsia="Arial" w:hAnsi="Arial"/>
                <w:sz w:val="18"/>
                <w:szCs w:val="18"/>
                <w:b w:val="1"/>
                <w:bCs w:val="1"/>
                <w:i w:val="1"/>
                <w:iCs w:val="1"/>
                <w:color w:val="0000EE"/>
              </w:rPr>
            </w:pPr>
            <w:hyperlink w:anchor="page41">
              <w:r>
                <w:rPr>
                  <w:rFonts w:ascii="Arial" w:cs="Arial" w:eastAsia="Arial" w:hAnsi="Arial"/>
                  <w:sz w:val="18"/>
                  <w:szCs w:val="18"/>
                  <w:b w:val="1"/>
                  <w:bCs w:val="1"/>
                  <w:i w:val="1"/>
                  <w:iCs w:val="1"/>
                  <w:color w:val="0000EE"/>
                </w:rPr>
                <w:t>Notes to Consolidated Financial Statements</w:t>
              </w:r>
            </w:hyperlink>
          </w:p>
        </w:tc>
        <w:tc>
          <w:tcPr>
            <w:tcW w:w="59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42</w:t>
              </w:r>
            </w:hyperlink>
          </w:p>
        </w:tc>
      </w:tr>
      <w:tr>
        <w:trPr>
          <w:trHeight w:val="723"/>
        </w:trPr>
        <w:tc>
          <w:tcPr>
            <w:tcW w:w="340" w:type="dxa"/>
            <w:vAlign w:val="bottom"/>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tcPr>
          <w:p>
            <w:pPr>
              <w:jc w:val="right"/>
              <w:ind w:right="3930"/>
              <w:spacing w:after="0"/>
              <w:rPr>
                <w:sz w:val="20"/>
                <w:szCs w:val="20"/>
                <w:color w:val="auto"/>
              </w:rPr>
            </w:pPr>
            <w:r>
              <w:rPr>
                <w:rFonts w:ascii="Arial" w:cs="Arial" w:eastAsia="Arial" w:hAnsi="Arial"/>
                <w:sz w:val="18"/>
                <w:szCs w:val="18"/>
                <w:color w:val="auto"/>
              </w:rPr>
              <w:t>36</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LendingTree, Inc.</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and comprehensive income, shareholders’ equity and cash flows present fairly, in all material respects, the financial position of LendingTree, Inc. and its subsidiaries at December 31, 2015 and December 31, 2014, and the results of their operations and their cash flows for each of the three years in the period ended December 31, 2015 in conformity with accounting principles generally accepted in the United States of America. Also in our opinion, the Company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2016</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4"/>
          </w:tcPr>
          <w:p>
            <w:pPr>
              <w:jc w:val="center"/>
              <w:ind w:left="491"/>
              <w:spacing w:after="0"/>
              <w:rPr>
                <w:sz w:val="20"/>
                <w:szCs w:val="20"/>
                <w:color w:val="auto"/>
              </w:rPr>
            </w:pPr>
            <w:r>
              <w:rPr>
                <w:rFonts w:ascii="Arial" w:cs="Arial" w:eastAsia="Arial" w:hAnsi="Arial"/>
                <w:sz w:val="16"/>
                <w:szCs w:val="16"/>
                <w:b w:val="1"/>
                <w:bCs w:val="1"/>
                <w:color w:val="auto"/>
                <w:w w:val="90"/>
              </w:rPr>
              <w:t>Year Ended December 31,</w:t>
            </w:r>
          </w:p>
        </w:tc>
        <w:tc>
          <w:tcPr>
            <w:tcW w:w="8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320" w:type="dxa"/>
            <w:vAlign w:val="bottom"/>
          </w:tcPr>
          <w:p>
            <w:pPr>
              <w:spacing w:after="0"/>
              <w:rPr>
                <w:sz w:val="20"/>
                <w:szCs w:val="20"/>
                <w:color w:val="auto"/>
              </w:rPr>
            </w:pPr>
          </w:p>
        </w:tc>
        <w:tc>
          <w:tcPr>
            <w:tcW w:w="920" w:type="dxa"/>
            <w:vAlign w:val="bottom"/>
          </w:tcPr>
          <w:p>
            <w:pPr>
              <w:jc w:val="center"/>
              <w:ind w:right="210"/>
              <w:spacing w:after="0"/>
              <w:rPr>
                <w:sz w:val="20"/>
                <w:szCs w:val="20"/>
                <w:color w:val="auto"/>
              </w:rPr>
            </w:pPr>
            <w:r>
              <w:rPr>
                <w:rFonts w:ascii="Arial" w:cs="Arial" w:eastAsia="Arial" w:hAnsi="Arial"/>
                <w:sz w:val="16"/>
                <w:szCs w:val="16"/>
                <w:b w:val="1"/>
                <w:bCs w:val="1"/>
                <w:color w:val="auto"/>
                <w:w w:val="95"/>
              </w:rPr>
              <w:t>2014</w:t>
            </w:r>
          </w:p>
        </w:tc>
        <w:tc>
          <w:tcPr>
            <w:tcW w:w="38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6"/>
                <w:szCs w:val="16"/>
                <w:b w:val="1"/>
                <w:bCs w:val="1"/>
                <w:color w:val="auto"/>
              </w:rPr>
              <w:t>2013</w:t>
            </w: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5"/>
          </w:tcPr>
          <w:p>
            <w:pPr>
              <w:spacing w:after="0"/>
              <w:rPr>
                <w:sz w:val="2"/>
                <w:szCs w:val="2"/>
                <w:color w:val="auto"/>
              </w:rPr>
            </w:pPr>
          </w:p>
        </w:tc>
      </w:tr>
      <w:tr>
        <w:trPr>
          <w:trHeight w:val="189"/>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5"/>
          </w:tcPr>
          <w:p>
            <w:pPr>
              <w:jc w:val="center"/>
              <w:ind w:right="150"/>
              <w:spacing w:after="0"/>
              <w:rPr>
                <w:sz w:val="20"/>
                <w:szCs w:val="20"/>
                <w:color w:val="auto"/>
              </w:rPr>
            </w:pPr>
            <w:r>
              <w:rPr>
                <w:rFonts w:ascii="Arial" w:cs="Arial" w:eastAsia="Arial" w:hAnsi="Arial"/>
                <w:sz w:val="14"/>
                <w:szCs w:val="14"/>
                <w:b w:val="1"/>
                <w:bCs w:val="1"/>
                <w:i w:val="1"/>
                <w:iCs w:val="1"/>
                <w:color w:val="auto"/>
                <w:w w:val="82"/>
              </w:rPr>
              <w:t>(in thousands, except per share amounts)</w:t>
            </w: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254,216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167,350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139,240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shown separately below)</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9,370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7,903</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6,542</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172,849</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112,704</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91,121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30,030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25,883</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24,658</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10,485</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7,457</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5,264</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3,008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3,245</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3,501</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136</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373</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(611)</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10,618</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8,955</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225,702</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168,319</w:t>
            </w: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140,347</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28,514</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(969)</w:t>
            </w: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28,343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(971)</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22,973</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484</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453</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51,316</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(487)</w:t>
            </w: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(673)</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sale of discontinued operations,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9,561</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(Loss) income from discontinued operations, net of tax</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(3,269)</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9,849</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(4,941)</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from discontinued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(3,269)</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9,849</w:t>
            </w: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4,620</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and comprehensive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48,047</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9,362</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3,947</w:t>
            </w:r>
          </w:p>
        </w:tc>
      </w:tr>
      <w:tr>
        <w:trPr>
          <w:trHeight w:val="34"/>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0"/>
        </w:trPr>
        <w:tc>
          <w:tcPr>
            <w:tcW w:w="7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11,516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11,188</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12,541</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11,188</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11,035</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per share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4.46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(Loss) income per share from discontinued operations: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(0.26)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0.88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0.42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Net income per share: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4.17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0.84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0.36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r>
      <w:tr>
        <w:trPr>
          <w:trHeight w:val="20"/>
        </w:trPr>
        <w:tc>
          <w:tcPr>
            <w:tcW w:w="7780" w:type="dxa"/>
            <w:vAlign w:val="bottom"/>
            <w:shd w:val="clear" w:color="auto" w:fill="999999"/>
          </w:tcPr>
          <w:p>
            <w:pPr>
              <w:spacing w:after="0" w:line="20" w:lineRule="exact"/>
              <w:rPr>
                <w:sz w:val="1"/>
                <w:szCs w:val="1"/>
                <w:color w:val="auto"/>
              </w:rPr>
            </w:pPr>
          </w:p>
        </w:tc>
        <w:tc>
          <w:tcPr>
            <w:tcW w:w="260" w:type="dxa"/>
            <w:vAlign w:val="bottom"/>
            <w:shd w:val="clear" w:color="auto" w:fill="999999"/>
          </w:tcPr>
          <w:p>
            <w:pPr>
              <w:spacing w:after="0" w:line="20" w:lineRule="exact"/>
              <w:rPr>
                <w:sz w:val="1"/>
                <w:szCs w:val="1"/>
                <w:color w:val="auto"/>
              </w:rPr>
            </w:pPr>
          </w:p>
        </w:tc>
        <w:tc>
          <w:tcPr>
            <w:tcW w:w="940" w:type="dxa"/>
            <w:vAlign w:val="bottom"/>
            <w:shd w:val="clear" w:color="auto" w:fill="999999"/>
          </w:tcPr>
          <w:p>
            <w:pPr>
              <w:spacing w:after="0" w:line="20" w:lineRule="exact"/>
              <w:rPr>
                <w:sz w:val="1"/>
                <w:szCs w:val="1"/>
                <w:color w:val="auto"/>
              </w:rPr>
            </w:pPr>
          </w:p>
        </w:tc>
        <w:tc>
          <w:tcPr>
            <w:tcW w:w="320" w:type="dxa"/>
            <w:vAlign w:val="bottom"/>
            <w:shd w:val="clear" w:color="auto" w:fill="999999"/>
          </w:tcPr>
          <w:p>
            <w:pPr>
              <w:spacing w:after="0" w:line="20" w:lineRule="exact"/>
              <w:rPr>
                <w:sz w:val="1"/>
                <w:szCs w:val="1"/>
                <w:color w:val="auto"/>
              </w:rPr>
            </w:pPr>
          </w:p>
        </w:tc>
        <w:tc>
          <w:tcPr>
            <w:tcW w:w="920" w:type="dxa"/>
            <w:vAlign w:val="bottom"/>
            <w:shd w:val="clear" w:color="auto" w:fill="999999"/>
          </w:tcPr>
          <w:p>
            <w:pPr>
              <w:spacing w:after="0" w:line="20" w:lineRule="exact"/>
              <w:rPr>
                <w:sz w:val="1"/>
                <w:szCs w:val="1"/>
                <w:color w:val="auto"/>
              </w:rPr>
            </w:pPr>
          </w:p>
        </w:tc>
        <w:tc>
          <w:tcPr>
            <w:tcW w:w="380" w:type="dxa"/>
            <w:vAlign w:val="bottom"/>
            <w:shd w:val="clear" w:color="auto" w:fill="999999"/>
          </w:tcPr>
          <w:p>
            <w:pPr>
              <w:spacing w:after="0" w:line="20" w:lineRule="exact"/>
              <w:rPr>
                <w:sz w:val="1"/>
                <w:szCs w:val="1"/>
                <w:color w:val="auto"/>
              </w:rPr>
            </w:pPr>
          </w:p>
        </w:tc>
        <w:tc>
          <w:tcPr>
            <w:tcW w:w="820" w:type="dxa"/>
            <w:vAlign w:val="bottom"/>
            <w:shd w:val="clear" w:color="auto" w:fill="999999"/>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December 31, 2015</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1"/>
              </w:rPr>
              <w:t>December 31, 2014</w:t>
            </w:r>
          </w:p>
        </w:tc>
      </w:tr>
      <w:tr>
        <w:trPr>
          <w:trHeight w:val="156"/>
        </w:trPr>
        <w:tc>
          <w:tcPr>
            <w:tcW w:w="8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gridSpan w:val="3"/>
          </w:tcPr>
          <w:p>
            <w:pPr>
              <w:jc w:val="right"/>
              <w:ind w:right="511"/>
              <w:spacing w:after="0" w:line="157" w:lineRule="exact"/>
              <w:rPr>
                <w:sz w:val="20"/>
                <w:szCs w:val="20"/>
                <w:color w:val="auto"/>
              </w:rPr>
            </w:pPr>
            <w:r>
              <w:rPr>
                <w:rFonts w:ascii="Arial" w:cs="Arial" w:eastAsia="Arial" w:hAnsi="Arial"/>
                <w:sz w:val="14"/>
                <w:szCs w:val="14"/>
                <w:b w:val="1"/>
                <w:bCs w:val="1"/>
                <w:i w:val="1"/>
                <w:iCs w:val="1"/>
                <w:color w:val="auto"/>
              </w:rPr>
              <w:t>(in thousands, except par value</w:t>
            </w:r>
          </w:p>
        </w:tc>
      </w:tr>
      <w:tr>
        <w:trPr>
          <w:trHeight w:val="188"/>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3"/>
          </w:tcPr>
          <w:p>
            <w:pPr>
              <w:jc w:val="right"/>
              <w:ind w:right="851"/>
              <w:spacing w:after="0"/>
              <w:rPr>
                <w:sz w:val="20"/>
                <w:szCs w:val="20"/>
                <w:color w:val="auto"/>
              </w:rPr>
            </w:pPr>
            <w:r>
              <w:rPr>
                <w:rFonts w:ascii="Arial" w:cs="Arial" w:eastAsia="Arial" w:hAnsi="Arial"/>
                <w:sz w:val="14"/>
                <w:szCs w:val="14"/>
                <w:b w:val="1"/>
                <w:bCs w:val="1"/>
                <w:i w:val="1"/>
                <w:iCs w:val="1"/>
                <w:color w:val="auto"/>
              </w:rPr>
              <w:t>and share amounts)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206,975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86,212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6,541</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18,716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$606 and $349, respectively)</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29,873</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13,611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2,085</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189</w:t>
            </w:r>
          </w:p>
        </w:tc>
      </w:tr>
      <w:tr>
        <w:trPr>
          <w:trHeight w:val="27"/>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245,584</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119,659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9,415</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5,257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3,632</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10,992</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11,141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20,977</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1,039</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4,142</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295,781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139,891</w:t>
            </w:r>
          </w:p>
        </w:tc>
      </w:tr>
      <w:tr>
        <w:trPr>
          <w:trHeight w:val="34"/>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trade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34,885</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25,521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of discontinued operations (Note 16)</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13,401</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12,055</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54,027</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38,636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586</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4,738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54,639</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43,525</w:t>
            </w:r>
          </w:p>
        </w:tc>
      </w:tr>
      <w:tr>
        <w:trPr>
          <w:trHeight w:val="27"/>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11 and 12)</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7"/>
              </w:rPr>
              <w:t>Common stock $.01 par value; 50,000,000 shares authorized; 13,865,620 and 12,854,517 shares issued,</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respectively, and 12,392,093 and 11,386,240 shares outstanding, respectively</w:t>
            </w:r>
          </w:p>
        </w:tc>
        <w:tc>
          <w:tcPr>
            <w:tcW w:w="140" w:type="dxa"/>
            <w:vAlign w:val="bottom"/>
          </w:tcPr>
          <w:p>
            <w:pPr>
              <w:spacing w:after="0"/>
              <w:rPr>
                <w:sz w:val="20"/>
                <w:szCs w:val="20"/>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1,006,688</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909,751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(750,124)</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(798,171)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1,473,527 and 1,468,277 shares, respectively</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(15,561)</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(15,343)</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241,142</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96,366</w:t>
            </w:r>
          </w:p>
        </w:tc>
      </w:tr>
      <w:tr>
        <w:trPr>
          <w:trHeight w:val="27"/>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295,781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139,891</w:t>
            </w:r>
          </w:p>
        </w:tc>
      </w:tr>
      <w:tr>
        <w:trPr>
          <w:trHeight w:val="27"/>
        </w:trPr>
        <w:tc>
          <w:tcPr>
            <w:tcW w:w="8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6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193"/>
              <w:spacing w:after="0" w:line="139" w:lineRule="exact"/>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2"/>
                <w:szCs w:val="12"/>
                <w:color w:val="auto"/>
              </w:rPr>
            </w:pPr>
          </w:p>
        </w:tc>
        <w:tc>
          <w:tcPr>
            <w:tcW w:w="12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5"/>
              </w:rPr>
              <w:t>Accumulated</w:t>
            </w:r>
          </w:p>
        </w:tc>
        <w:tc>
          <w:tcPr>
            <w:tcW w:w="10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1000" w:type="dxa"/>
            <w:vAlign w:val="bottom"/>
          </w:tcPr>
          <w:p>
            <w:pPr>
              <w:jc w:val="right"/>
              <w:ind w:right="293"/>
              <w:spacing w:after="0" w:line="149"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Deficit</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93"/>
              </w:rPr>
              <w:t>(in thousands)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82,922</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12,195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903,692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(811,480)</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1,188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(9,412)</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w w:val="94"/>
              </w:rPr>
              <w:t>Net income and comprehensive income</w:t>
            </w:r>
          </w:p>
        </w:tc>
        <w:tc>
          <w:tcPr>
            <w:tcW w:w="28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3,947</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3,947</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5,629</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5,629</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28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(3,321)</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637</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637</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Issuance of common stock for stock</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options, restricted stock awards and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w w:val="95"/>
              </w:rPr>
              <w:t>restricted stock units, net of withholding</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taxes</w:t>
            </w:r>
          </w:p>
        </w:tc>
        <w:tc>
          <w:tcPr>
            <w:tcW w:w="280" w:type="dxa"/>
            <w:vAlign w:val="bottom"/>
          </w:tcPr>
          <w:p>
            <w:pPr>
              <w:spacing w:after="0"/>
              <w:rPr>
                <w:sz w:val="20"/>
                <w:szCs w:val="20"/>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(2,806)</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(2,810)</w:t>
            </w:r>
          </w:p>
        </w:tc>
        <w:tc>
          <w:tcPr>
            <w:tcW w:w="24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87,008</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12,620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907,148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(807,533)</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1,369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(12,733)</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w w:val="94"/>
              </w:rPr>
              <w:t>Net income and comprehensive income</w:t>
            </w:r>
          </w:p>
        </w:tc>
        <w:tc>
          <w:tcPr>
            <w:tcW w:w="28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9,362</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9,362</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7,446</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7,446</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28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(2,610)</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Issuance of common stock for stock</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options, restricted stock awards and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w w:val="95"/>
              </w:rPr>
              <w:t>restricted stock units, net of withholding</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taxes</w:t>
            </w:r>
          </w:p>
        </w:tc>
        <w:tc>
          <w:tcPr>
            <w:tcW w:w="280" w:type="dxa"/>
            <w:vAlign w:val="bottom"/>
          </w:tcPr>
          <w:p>
            <w:pPr>
              <w:spacing w:after="0"/>
              <w:rPr>
                <w:sz w:val="20"/>
                <w:szCs w:val="20"/>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(4,812)</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(4,815)</w:t>
            </w:r>
          </w:p>
        </w:tc>
        <w:tc>
          <w:tcPr>
            <w:tcW w:w="24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96,366</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12,855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909,751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(798,171)</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1,468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(15,343)</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w w:val="94"/>
              </w:rPr>
              <w:t>Net income and comprehensive income</w:t>
            </w:r>
          </w:p>
        </w:tc>
        <w:tc>
          <w:tcPr>
            <w:tcW w:w="28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48,047</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48,047</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8,508</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8,508</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28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(218)</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Issuance of common stock for stock</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options, restricted stock awards and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w w:val="95"/>
              </w:rPr>
              <w:t>restricted stock units, net of withholding</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taxes</w:t>
            </w:r>
          </w:p>
        </w:tc>
        <w:tc>
          <w:tcPr>
            <w:tcW w:w="280" w:type="dxa"/>
            <w:vAlign w:val="bottom"/>
          </w:tcPr>
          <w:p>
            <w:pPr>
              <w:spacing w:after="0"/>
              <w:rPr>
                <w:sz w:val="20"/>
                <w:szCs w:val="20"/>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(7,613)</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(7,614)</w:t>
            </w:r>
          </w:p>
        </w:tc>
        <w:tc>
          <w:tcPr>
            <w:tcW w:w="24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 from stock-based award</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activity</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4,601</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4,601</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Proceeds from equity offering, net of</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offering costs</w:t>
            </w:r>
          </w:p>
        </w:tc>
        <w:tc>
          <w:tcPr>
            <w:tcW w:w="280" w:type="dxa"/>
            <w:vAlign w:val="bottom"/>
          </w:tcPr>
          <w:p>
            <w:pPr>
              <w:spacing w:after="0"/>
              <w:rPr>
                <w:sz w:val="20"/>
                <w:szCs w:val="20"/>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91,462</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853</w:t>
            </w:r>
          </w:p>
        </w:tc>
        <w:tc>
          <w:tcPr>
            <w:tcW w:w="2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0"/>
                <w:szCs w:val="20"/>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91,453</w:t>
            </w:r>
          </w:p>
        </w:tc>
        <w:tc>
          <w:tcPr>
            <w:tcW w:w="24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241,142</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13,866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1,006,688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(750,124)</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1,474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(15,561)</w:t>
            </w:r>
          </w:p>
        </w:tc>
        <w:tc>
          <w:tcPr>
            <w:tcW w:w="0" w:type="dxa"/>
            <w:vAlign w:val="bottom"/>
          </w:tcPr>
          <w:p>
            <w:pPr>
              <w:spacing w:after="0"/>
              <w:rPr>
                <w:sz w:val="1"/>
                <w:szCs w:val="1"/>
                <w:color w:val="auto"/>
              </w:rPr>
            </w:pPr>
          </w:p>
        </w:tc>
      </w:tr>
      <w:tr>
        <w:trPr>
          <w:trHeight w:val="27"/>
        </w:trPr>
        <w:tc>
          <w:tcPr>
            <w:tcW w:w="3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center"/>
              <w:ind w:left="468"/>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6"/>
                <w:szCs w:val="16"/>
                <w:color w:val="auto"/>
              </w:rPr>
            </w:pPr>
          </w:p>
        </w:tc>
      </w:tr>
      <w:tr>
        <w:trPr>
          <w:trHeight w:val="196"/>
        </w:trPr>
        <w:tc>
          <w:tcPr>
            <w:tcW w:w="8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2014</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2013</w:t>
            </w:r>
          </w:p>
        </w:tc>
      </w:tr>
      <w:tr>
        <w:trPr>
          <w:trHeight w:val="196"/>
        </w:trPr>
        <w:tc>
          <w:tcPr>
            <w:tcW w:w="8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 attributable to continuing operations: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8000" w:type="dxa"/>
            <w:vAlign w:val="bottom"/>
          </w:tcPr>
          <w:p>
            <w:pPr>
              <w:ind w:left="180"/>
              <w:spacing w:after="0"/>
              <w:rPr>
                <w:sz w:val="20"/>
                <w:szCs w:val="20"/>
                <w:color w:val="auto"/>
              </w:rPr>
            </w:pPr>
            <w:r>
              <w:rPr>
                <w:rFonts w:ascii="Arial" w:cs="Arial" w:eastAsia="Arial" w:hAnsi="Arial"/>
                <w:sz w:val="14"/>
                <w:szCs w:val="14"/>
                <w:b w:val="1"/>
                <w:bCs w:val="1"/>
                <w:color w:val="auto"/>
              </w:rPr>
              <w:t>Net income and comprehensive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48,047</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9,362</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3,947</w:t>
            </w:r>
          </w:p>
        </w:tc>
      </w:tr>
      <w:tr>
        <w:trPr>
          <w:trHeight w:val="216"/>
        </w:trPr>
        <w:tc>
          <w:tcPr>
            <w:tcW w:w="8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Less: Loss (income) from discontinued operations, net of tax</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3,269</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(9,849)</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(4,620)</w:t>
            </w:r>
          </w:p>
        </w:tc>
      </w:tr>
      <w:tr>
        <w:trPr>
          <w:trHeight w:val="210"/>
        </w:trPr>
        <w:tc>
          <w:tcPr>
            <w:tcW w:w="8000" w:type="dxa"/>
            <w:vAlign w:val="bottom"/>
          </w:tcPr>
          <w:p>
            <w:pPr>
              <w:ind w:left="180"/>
              <w:spacing w:after="0"/>
              <w:rPr>
                <w:sz w:val="20"/>
                <w:szCs w:val="20"/>
                <w:color w:val="auto"/>
              </w:rPr>
            </w:pPr>
            <w:r>
              <w:rPr>
                <w:rFonts w:ascii="Arial" w:cs="Arial" w:eastAsia="Arial" w:hAnsi="Arial"/>
                <w:sz w:val="14"/>
                <w:szCs w:val="14"/>
                <w:color w:val="auto"/>
              </w:rPr>
              <w:t>Income (loss) from continuing operations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51,316</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(487)</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(673)</w:t>
            </w:r>
          </w:p>
        </w:tc>
      </w:tr>
      <w:tr>
        <w:trPr>
          <w:trHeight w:val="163"/>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income (loss) from continuing operations to net cash provided by operating activities attributable to</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4"/>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continuing operations:</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0"/>
        </w:trPr>
        <w:tc>
          <w:tcPr>
            <w:tcW w:w="8000" w:type="dxa"/>
            <w:vAlign w:val="bottom"/>
          </w:tcPr>
          <w:p>
            <w:pPr>
              <w:ind w:left="280"/>
              <w:spacing w:after="0"/>
              <w:rPr>
                <w:sz w:val="20"/>
                <w:szCs w:val="20"/>
                <w:color w:val="auto"/>
              </w:rPr>
            </w:pPr>
            <w:r>
              <w:rPr>
                <w:rFonts w:ascii="Arial" w:cs="Arial" w:eastAsia="Arial" w:hAnsi="Arial"/>
                <w:sz w:val="14"/>
                <w:szCs w:val="14"/>
                <w:color w:val="auto"/>
              </w:rPr>
              <w:t>Loss on disposal of fixed assets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748</w:t>
            </w:r>
          </w:p>
        </w:tc>
        <w:tc>
          <w:tcPr>
            <w:tcW w:w="14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282</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165</w:t>
            </w:r>
          </w:p>
        </w:tc>
      </w:tr>
      <w:tr>
        <w:trPr>
          <w:trHeight w:val="222"/>
        </w:trPr>
        <w:tc>
          <w:tcPr>
            <w:tcW w:w="8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of long-lived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805</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8000" w:type="dxa"/>
            <w:vAlign w:val="bottom"/>
          </w:tcPr>
          <w:p>
            <w:pPr>
              <w:ind w:left="280"/>
              <w:spacing w:after="0"/>
              <w:rPr>
                <w:sz w:val="20"/>
                <w:szCs w:val="20"/>
                <w:color w:val="auto"/>
              </w:rPr>
            </w:pPr>
            <w:r>
              <w:rPr>
                <w:rFonts w:ascii="Arial" w:cs="Arial" w:eastAsia="Arial" w:hAnsi="Arial"/>
                <w:sz w:val="14"/>
                <w:szCs w:val="14"/>
                <w:color w:val="auto"/>
              </w:rPr>
              <w:t>Amortization of intangibles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149</w:t>
            </w:r>
          </w:p>
        </w:tc>
        <w:tc>
          <w:tcPr>
            <w:tcW w:w="14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136</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147</w:t>
            </w:r>
          </w:p>
        </w:tc>
      </w:tr>
      <w:tr>
        <w:trPr>
          <w:trHeight w:val="222"/>
        </w:trPr>
        <w:tc>
          <w:tcPr>
            <w:tcW w:w="8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3,008</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3,245</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3,501</w:t>
            </w:r>
          </w:p>
        </w:tc>
      </w:tr>
      <w:tr>
        <w:trPr>
          <w:trHeight w:val="210"/>
        </w:trPr>
        <w:tc>
          <w:tcPr>
            <w:tcW w:w="8000" w:type="dxa"/>
            <w:vAlign w:val="bottom"/>
          </w:tcPr>
          <w:p>
            <w:pPr>
              <w:ind w:left="280"/>
              <w:spacing w:after="0"/>
              <w:rPr>
                <w:sz w:val="20"/>
                <w:szCs w:val="20"/>
                <w:color w:val="auto"/>
              </w:rPr>
            </w:pPr>
            <w:r>
              <w:rPr>
                <w:rFonts w:ascii="Arial" w:cs="Arial" w:eastAsia="Arial" w:hAnsi="Arial"/>
                <w:sz w:val="14"/>
                <w:szCs w:val="14"/>
                <w:color w:val="auto"/>
              </w:rPr>
              <w:t>Non-cash compensation expense</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8,508</w:t>
            </w:r>
          </w:p>
        </w:tc>
        <w:tc>
          <w:tcPr>
            <w:tcW w:w="14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7,446</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5,627</w:t>
            </w:r>
          </w:p>
        </w:tc>
      </w:tr>
      <w:tr>
        <w:trPr>
          <w:trHeight w:val="222"/>
        </w:trPr>
        <w:tc>
          <w:tcPr>
            <w:tcW w:w="8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(29,969)</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r>
      <w:tr>
        <w:trPr>
          <w:trHeight w:val="210"/>
        </w:trPr>
        <w:tc>
          <w:tcPr>
            <w:tcW w:w="8000" w:type="dxa"/>
            <w:vAlign w:val="bottom"/>
          </w:tcPr>
          <w:p>
            <w:pPr>
              <w:ind w:left="280"/>
              <w:spacing w:after="0"/>
              <w:rPr>
                <w:sz w:val="20"/>
                <w:szCs w:val="20"/>
                <w:color w:val="auto"/>
              </w:rPr>
            </w:pPr>
            <w:r>
              <w:rPr>
                <w:rFonts w:ascii="Arial" w:cs="Arial" w:eastAsia="Arial" w:hAnsi="Arial"/>
                <w:sz w:val="14"/>
                <w:szCs w:val="14"/>
                <w:color w:val="auto"/>
              </w:rPr>
              <w:t>Excess tax benefit from stock-based award activity</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(4,601)</w:t>
            </w:r>
          </w:p>
        </w:tc>
        <w:tc>
          <w:tcPr>
            <w:tcW w:w="14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8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Bad debt expense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206</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w:t>
            </w:r>
          </w:p>
        </w:tc>
      </w:tr>
      <w:tr>
        <w:trPr>
          <w:trHeight w:val="210"/>
        </w:trPr>
        <w:tc>
          <w:tcPr>
            <w:tcW w:w="8000" w:type="dxa"/>
            <w:vAlign w:val="bottom"/>
          </w:tcPr>
          <w:p>
            <w:pPr>
              <w:ind w:left="280"/>
              <w:spacing w:after="0"/>
              <w:rPr>
                <w:sz w:val="20"/>
                <w:szCs w:val="20"/>
                <w:color w:val="auto"/>
              </w:rPr>
            </w:pPr>
            <w:r>
              <w:rPr>
                <w:rFonts w:ascii="Arial" w:cs="Arial" w:eastAsia="Arial" w:hAnsi="Arial"/>
                <w:sz w:val="14"/>
                <w:szCs w:val="14"/>
                <w:color w:val="auto"/>
              </w:rPr>
              <w:t>Amortization of debt issuance costs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14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 current assets and liabilities: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97"/>
        </w:trPr>
        <w:tc>
          <w:tcPr>
            <w:tcW w:w="800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(16,598)</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(1,228)</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(3,614)</w:t>
            </w:r>
          </w:p>
        </w:tc>
      </w:tr>
      <w:tr>
        <w:trPr>
          <w:trHeight w:val="209"/>
        </w:trPr>
        <w:tc>
          <w:tcPr>
            <w:tcW w:w="8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and other current assets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r>
      <w:tr>
        <w:trPr>
          <w:trHeight w:val="210"/>
        </w:trPr>
        <w:tc>
          <w:tcPr>
            <w:tcW w:w="8000" w:type="dxa"/>
            <w:vAlign w:val="bottom"/>
          </w:tcPr>
          <w:p>
            <w:pPr>
              <w:ind w:left="280"/>
              <w:spacing w:after="0"/>
              <w:rPr>
                <w:sz w:val="20"/>
                <w:szCs w:val="20"/>
                <w:color w:val="auto"/>
              </w:rPr>
            </w:pPr>
            <w:r>
              <w:rPr>
                <w:rFonts w:ascii="Arial" w:cs="Arial" w:eastAsia="Arial" w:hAnsi="Arial"/>
                <w:sz w:val="14"/>
                <w:szCs w:val="14"/>
                <w:color w:val="auto"/>
              </w:rPr>
              <w:t>Accounts payable, accrued expenses and other current liabilities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13,689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(1,935)</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6,157</w:t>
            </w:r>
          </w:p>
        </w:tc>
      </w:tr>
      <w:tr>
        <w:trPr>
          <w:trHeight w:val="222"/>
        </w:trPr>
        <w:tc>
          <w:tcPr>
            <w:tcW w:w="8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payable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6,247</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w:t>
            </w:r>
          </w:p>
        </w:tc>
      </w:tr>
      <w:tr>
        <w:trPr>
          <w:trHeight w:val="210"/>
        </w:trPr>
        <w:tc>
          <w:tcPr>
            <w:tcW w:w="80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577</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w:t>
            </w:r>
          </w:p>
        </w:tc>
      </w:tr>
      <w:tr>
        <w:trPr>
          <w:trHeight w:val="210"/>
        </w:trPr>
        <w:tc>
          <w:tcPr>
            <w:tcW w:w="8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 attributable to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32,584</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9,075</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10,238</w:t>
            </w:r>
          </w:p>
        </w:tc>
      </w:tr>
      <w:tr>
        <w:trPr>
          <w:trHeight w:val="196"/>
        </w:trPr>
        <w:tc>
          <w:tcPr>
            <w:tcW w:w="8000" w:type="dxa"/>
            <w:vAlign w:val="bottom"/>
          </w:tcPr>
          <w:p>
            <w:pPr>
              <w:ind w:left="40"/>
              <w:spacing w:after="0"/>
              <w:rPr>
                <w:sz w:val="20"/>
                <w:szCs w:val="20"/>
                <w:color w:val="auto"/>
              </w:rPr>
            </w:pPr>
            <w:r>
              <w:rPr>
                <w:rFonts w:ascii="Arial" w:cs="Arial" w:eastAsia="Arial" w:hAnsi="Arial"/>
                <w:sz w:val="14"/>
                <w:szCs w:val="14"/>
                <w:color w:val="auto"/>
              </w:rPr>
              <w:t>Cash flows from investing activities attributable to continuing operations: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(3,856)</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w:t>
            </w:r>
          </w:p>
        </w:tc>
      </w:tr>
      <w:tr>
        <w:trPr>
          <w:trHeight w:val="210"/>
        </w:trPr>
        <w:tc>
          <w:tcPr>
            <w:tcW w:w="8000" w:type="dxa"/>
            <w:vAlign w:val="bottom"/>
          </w:tcPr>
          <w:p>
            <w:pPr>
              <w:ind w:left="180"/>
              <w:spacing w:after="0"/>
              <w:rPr>
                <w:sz w:val="20"/>
                <w:szCs w:val="20"/>
                <w:color w:val="auto"/>
              </w:rPr>
            </w:pPr>
            <w:r>
              <w:rPr>
                <w:rFonts w:ascii="Arial" w:cs="Arial" w:eastAsia="Arial" w:hAnsi="Arial"/>
                <w:sz w:val="14"/>
                <w:szCs w:val="14"/>
                <w:color w:val="auto"/>
              </w:rPr>
              <w:t>Acquisition of a business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(740)</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8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Decrease in restricted cash</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12,175</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7,300</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3,397</w:t>
            </w:r>
          </w:p>
        </w:tc>
      </w:tr>
      <w:tr>
        <w:trPr>
          <w:trHeight w:val="210"/>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cash provided by investing activities attributable to continuing operations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4,901</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2,704</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647</w:t>
            </w:r>
          </w:p>
        </w:tc>
      </w:tr>
      <w:tr>
        <w:trPr>
          <w:trHeight w:val="202"/>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 attributable to continuing operations:</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7"/>
        </w:trPr>
        <w:tc>
          <w:tcPr>
            <w:tcW w:w="8000" w:type="dxa"/>
            <w:vAlign w:val="bottom"/>
          </w:tcPr>
          <w:p>
            <w:pPr>
              <w:ind w:left="180"/>
              <w:spacing w:after="0"/>
              <w:rPr>
                <w:sz w:val="20"/>
                <w:szCs w:val="20"/>
                <w:color w:val="auto"/>
              </w:rPr>
            </w:pPr>
            <w:r>
              <w:rPr>
                <w:rFonts w:ascii="Arial" w:cs="Arial" w:eastAsia="Arial" w:hAnsi="Arial"/>
                <w:sz w:val="14"/>
                <w:szCs w:val="14"/>
                <w:color w:val="auto"/>
              </w:rPr>
              <w:t>Payments related to net-share settlement of stock -based compensation, net of proceeds from exercise of stock options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(7,612)</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(4,812)</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(2,806)</w:t>
            </w:r>
          </w:p>
        </w:tc>
      </w:tr>
      <w:tr>
        <w:trPr>
          <w:trHeight w:val="222"/>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equity offering, net of offering costs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91,484</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8000" w:type="dxa"/>
            <w:vAlign w:val="bottom"/>
          </w:tcPr>
          <w:p>
            <w:pPr>
              <w:ind w:left="180"/>
              <w:spacing w:after="0"/>
              <w:rPr>
                <w:sz w:val="20"/>
                <w:szCs w:val="20"/>
                <w:color w:val="auto"/>
              </w:rPr>
            </w:pPr>
            <w:r>
              <w:rPr>
                <w:rFonts w:ascii="Arial" w:cs="Arial" w:eastAsia="Arial" w:hAnsi="Arial"/>
                <w:sz w:val="14"/>
                <w:szCs w:val="14"/>
                <w:color w:val="auto"/>
              </w:rPr>
              <w:t>Payment of debt issuance costs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(1,215)</w:t>
            </w:r>
          </w:p>
        </w:tc>
        <w:tc>
          <w:tcPr>
            <w:tcW w:w="14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 from stock-based award activity</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4,601</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8000" w:type="dxa"/>
            <w:vAlign w:val="bottom"/>
          </w:tcPr>
          <w:p>
            <w:pPr>
              <w:ind w:left="180"/>
              <w:spacing w:after="0"/>
              <w:rPr>
                <w:sz w:val="20"/>
                <w:szCs w:val="20"/>
                <w:color w:val="auto"/>
              </w:rPr>
            </w:pPr>
            <w:r>
              <w:rPr>
                <w:rFonts w:ascii="Arial" w:cs="Arial" w:eastAsia="Arial" w:hAnsi="Arial"/>
                <w:sz w:val="14"/>
                <w:szCs w:val="14"/>
                <w:color w:val="auto"/>
              </w:rPr>
              <w:t>Purchase of treasury stock</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(218)</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(2,610)</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(3,321)</w:t>
            </w:r>
          </w:p>
        </w:tc>
      </w:tr>
      <w:tr>
        <w:trPr>
          <w:trHeight w:val="216"/>
        </w:trPr>
        <w:tc>
          <w:tcPr>
            <w:tcW w:w="8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Dividends</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r>
      <w:tr>
        <w:trPr>
          <w:trHeight w:val="210"/>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cash provided by (used in) financing activities attributable to continuing operations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86,909</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(7,651)</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(5,983)</w:t>
            </w:r>
          </w:p>
        </w:tc>
      </w:tr>
      <w:tr>
        <w:trPr>
          <w:trHeight w:val="210"/>
        </w:trPr>
        <w:tc>
          <w:tcPr>
            <w:tcW w:w="8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cash provided by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124,394</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4,128</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4,902</w:t>
            </w:r>
          </w:p>
        </w:tc>
      </w:tr>
      <w:tr>
        <w:trPr>
          <w:trHeight w:val="210"/>
        </w:trPr>
        <w:tc>
          <w:tcPr>
            <w:tcW w:w="8000" w:type="dxa"/>
            <w:vAlign w:val="bottom"/>
          </w:tcPr>
          <w:p>
            <w:pPr>
              <w:ind w:left="40"/>
              <w:spacing w:after="0"/>
              <w:rPr>
                <w:sz w:val="20"/>
                <w:szCs w:val="20"/>
                <w:color w:val="auto"/>
              </w:rPr>
            </w:pPr>
            <w:r>
              <w:rPr>
                <w:rFonts w:ascii="Arial" w:cs="Arial" w:eastAsia="Arial" w:hAnsi="Arial"/>
                <w:sz w:val="14"/>
                <w:szCs w:val="14"/>
                <w:color w:val="auto"/>
              </w:rPr>
              <w:t>Discontinued operations: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used in operating activities attributable to discontinued operations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(9,583)</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(3,425)</w:t>
            </w:r>
          </w:p>
        </w:tc>
      </w:tr>
      <w:tr>
        <w:trPr>
          <w:trHeight w:val="210"/>
        </w:trPr>
        <w:tc>
          <w:tcPr>
            <w:tcW w:w="80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cash provided by investing activities attributable to discontinued operations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10,000</w:t>
            </w:r>
          </w:p>
        </w:tc>
      </w:tr>
      <w:tr>
        <w:trPr>
          <w:trHeight w:val="210"/>
        </w:trPr>
        <w:tc>
          <w:tcPr>
            <w:tcW w:w="8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cash (used in) provided by 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(3,631)</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(9,583)</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6,575</w:t>
            </w:r>
          </w:p>
        </w:tc>
      </w:tr>
      <w:tr>
        <w:trPr>
          <w:trHeight w:val="210"/>
        </w:trPr>
        <w:tc>
          <w:tcPr>
            <w:tcW w:w="8000" w:type="dxa"/>
            <w:vAlign w:val="bottom"/>
          </w:tcPr>
          <w:p>
            <w:pPr>
              <w:ind w:left="4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120,763</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(5,455)</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11,477</w:t>
            </w:r>
          </w:p>
        </w:tc>
      </w:tr>
      <w:tr>
        <w:trPr>
          <w:trHeight w:val="216"/>
        </w:trPr>
        <w:tc>
          <w:tcPr>
            <w:tcW w:w="8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86,212</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91,667</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80,190</w:t>
            </w:r>
          </w:p>
        </w:tc>
      </w:tr>
      <w:tr>
        <w:trPr>
          <w:trHeight w:val="223"/>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206,975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86,212</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91,667</w:t>
            </w:r>
          </w:p>
        </w:tc>
      </w:tr>
      <w:tr>
        <w:trPr>
          <w:trHeight w:val="216"/>
        </w:trPr>
        <w:tc>
          <w:tcPr>
            <w:tcW w:w="8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8000" w:type="dxa"/>
            <w:vAlign w:val="bottom"/>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2"/>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paid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r>
      <w:tr>
        <w:trPr>
          <w:trHeight w:val="210"/>
        </w:trPr>
        <w:tc>
          <w:tcPr>
            <w:tcW w:w="8000" w:type="dxa"/>
            <w:vAlign w:val="bottom"/>
          </w:tcPr>
          <w:p>
            <w:pPr>
              <w:ind w:left="180"/>
              <w:spacing w:after="0"/>
              <w:rPr>
                <w:sz w:val="20"/>
                <w:szCs w:val="20"/>
                <w:color w:val="auto"/>
              </w:rPr>
            </w:pPr>
            <w:r>
              <w:rPr>
                <w:rFonts w:ascii="Arial" w:cs="Arial" w:eastAsia="Arial" w:hAnsi="Arial"/>
                <w:sz w:val="14"/>
                <w:szCs w:val="14"/>
                <w:color w:val="auto"/>
              </w:rPr>
              <w:t>Income tax payments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703</w:t>
            </w:r>
          </w:p>
        </w:tc>
        <w:tc>
          <w:tcPr>
            <w:tcW w:w="14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654</w:t>
            </w: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refunds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bl>
    <w:p>
      <w:pPr>
        <w:ind w:left="2660"/>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("LendingTree" or the "Company"), formerly known as Tree.com, Inc., is the parent of LendingTree, LLC and several companies owned by LendingTree, LLC.</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LendingTree operates what it believes to be the leading online marketplace for consumers seeking a broad array of loan types and other credit-based offerings. The Company offers consumers tools and resources, including free credit scores, that help them to comparison-shop for mortgage loans, home equity, reverse mortgage, auto loans, credit cards, personal loans, student loans and small business loans and other related offerings. The Company primarily seeks to match in-market consumers with multiple lenders on its marketplace who can provide them with competing quotes for the loans or credit-based offerings they are seeking. The Company also serves as a valued partner to lenders seeking an efficient, scalable and flexible source of customer acquisition with directly measurable benefits, by matching the consumer loan inquiries it generates with these lenders.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Intercompany transactions and accounts have been eliminated.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Certain amounts from the prior consolidated financial statements have been reclassified to conform to the presentation adopted in the current year.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20, 2008, LendingTree was spun off from its parent company, IAC/InterActiveCorp ("IAC"), into a separate publicly-traded company. In connection with the spin-off, LendingTree was incorporated as a Delaware corporation in April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The businesses of RealEstate.com, REALTORS® (which represent the former Real Estate segment) and LendingTree Loans are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16 </w:t>
      </w:r>
      <w:r>
        <w:rPr>
          <w:rFonts w:ascii="Arial" w:cs="Arial" w:eastAsia="Arial" w:hAnsi="Arial"/>
          <w:sz w:val="16"/>
          <w:szCs w:val="16"/>
          <w:b w:val="1"/>
          <w:bCs w:val="1"/>
          <w:color w:val="auto"/>
        </w:rPr>
        <w:t>—</w:t>
      </w:r>
      <w:r>
        <w:rPr>
          <w:rFonts w:ascii="Arial" w:cs="Arial" w:eastAsia="Arial" w:hAnsi="Arial"/>
          <w:sz w:val="16"/>
          <w:szCs w:val="16"/>
          <w:color w:val="auto"/>
        </w:rPr>
        <w:t>Discontinued Operations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pursuant to the rules and regulations of the U.S. Securities and Exchange Commission ("SEC").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derives its revenue primarily from match fees, which are earned through the delivery of qualified request forms that originated through one of its websites or affiliates. The Company recognizes revenue when persuasive evidence of an arrangement exists, delivery has occurred, the fee is fixed or determinable and collectability is reasonably assured. Delivery is deemed to have occurred at the time a qualified request form is delivered to the customer, provided that no significant obligations remain.</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also derives revenues from lenders for closing fees on certain auto, business and personal loan products and student loans when a transaction is closed with the consumer. Closed loan fees and closed sale fees are recognized at the time the lender reports the closed loan or closed sale to the Company, which could be several months after the original request form is transmitted. For the Company's credit card product, the Company sends traffic to issuers and is paid per card approval.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53"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Cash and cash equivalents include cash and short-term, highly liquid money market investments with original maturities of three months or less.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escrowed or contractually restricted for a specific purpose is designated as restricted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stated at amounts due from customers, net of an allowance for doubtful accounts.</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Company determines its allowance for doubtful accounts by considering a number of factors, including the length of time accounts receivable are past due, previous loss history and the specific customer's current ability to pay its obligation. Accounts receivable are considered past due when they are outstanding longer than the contractual payment terms. Accounts receivable are written off when management deems them uncollectible.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allowance for doubtful accounts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beginning of the period</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408</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Charges to earnings</w:t>
            </w: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337</w:t>
            </w:r>
          </w:p>
        </w:tc>
        <w:tc>
          <w:tcPr>
            <w:tcW w:w="480" w:type="dxa"/>
            <w:vAlign w:val="bottom"/>
          </w:tcPr>
          <w:p>
            <w:pPr>
              <w:spacing w:after="0"/>
              <w:rPr>
                <w:sz w:val="21"/>
                <w:szCs w:val="21"/>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248</w:t>
            </w:r>
          </w:p>
        </w:tc>
      </w:tr>
      <w:tr>
        <w:trPr>
          <w:trHeight w:val="27"/>
        </w:trPr>
        <w:tc>
          <w:tcPr>
            <w:tcW w:w="7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Write-off of uncollectible accounts receivable</w:t>
            </w:r>
          </w:p>
        </w:tc>
        <w:tc>
          <w:tcPr>
            <w:tcW w:w="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(265)</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end of the period</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606</w:t>
            </w:r>
          </w:p>
        </w:tc>
        <w:tc>
          <w:tcPr>
            <w:tcW w:w="48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349</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408</w:t>
            </w:r>
          </w:p>
        </w:tc>
      </w:tr>
      <w:tr>
        <w:trPr>
          <w:trHeight w:val="34"/>
        </w:trPr>
        <w:tc>
          <w:tcPr>
            <w:tcW w:w="7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Loss Obligations (Discontinued Operations)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Home Loan Center, Inc. ("HLC") subsidiary, which during its period of active operation primarily conducted business as LendingTree Loans, sold loans it originated to investors on a servicing-released basis and the risk of loss or default by the borrower was generally transferred to the investor. However, LendingTree Loans was required by these investors to make certain representations relating to credit information, loan documentation and collateral. To the extent LendingTree Loans did not comply with such representations or there are early payment defaults, LendingTree Loans may be required to repurchase loans or indemnify the investors for any losses from borrower defaults. LendingTree Loans maintains a liability for the estimated exposure relating to such contingent obligations and changes to the estimate are recorded in income from discontinued operations in the periods they occur.</w:t>
      </w:r>
    </w:p>
    <w:p>
      <w:pPr>
        <w:spacing w:after="0" w:line="1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The Company estimates the liability for loan losses using a settlement discount framework. This approach estimates the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The Company then applies a settlement discount factor to the result of the foregoing to reflect publicly announced bulk settlements for similar loan types and vintages, the Company's own settlement experience, as well as LendingTree Loans' non-operating status, in order to estimate a range of potential liability. Changes to any one of these factors could significantly impact the estimate of the liability and could have a material impact on the Company's results of operations for any particular period.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16—Discontinued Operations— LendingTree Loans—Loan Loss Obligations for additional information on the loan loss reserve.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2015, management made certain changes to its organizational structure that impacted its previous operating segments. As a result, management concluded it had one reportable segment representing its Lending activities. Previously reported results for the years ended 2014 and 2013 have been revised to conform to its single reportable segment at December 31,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53"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Property and equipment, including internally-developed software and significant improvements, are recorded at cost less accumulated depreciation. Due to the rapid advancements in technology and evolution of company products, all internally-developed software is written-off at the end of its useful life. Repairs and maintenance and any gains or losses on dispositions are recognized as incurred in current operations.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is recorded on a straight-line basis to allocate the cost of depreciable assets to operations over their estimated service lives. The following table presents the estimated useful lives for each asset category: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Asset Category</w:t>
            </w:r>
          </w:p>
        </w:tc>
        <w:tc>
          <w:tcPr>
            <w:tcW w:w="5600" w:type="dxa"/>
            <w:vAlign w:val="bottom"/>
            <w:tcBorders>
              <w:bottom w:val="single" w:sz="8" w:color="auto"/>
            </w:tcBorders>
          </w:tcPr>
          <w:p>
            <w:pPr>
              <w:jc w:val="center"/>
              <w:ind w:left="1634"/>
              <w:spacing w:after="0"/>
              <w:rPr>
                <w:sz w:val="20"/>
                <w:szCs w:val="20"/>
                <w:color w:val="auto"/>
              </w:rPr>
            </w:pPr>
            <w:r>
              <w:rPr>
                <w:rFonts w:ascii="Arial" w:cs="Arial" w:eastAsia="Arial" w:hAnsi="Arial"/>
                <w:sz w:val="14"/>
                <w:szCs w:val="14"/>
                <w:b w:val="1"/>
                <w:bCs w:val="1"/>
                <w:color w:val="auto"/>
                <w:w w:val="91"/>
              </w:rPr>
              <w:t>Estimated Useful Lives</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capitalized software</w:t>
            </w:r>
          </w:p>
        </w:tc>
        <w:tc>
          <w:tcPr>
            <w:tcW w:w="5600" w:type="dxa"/>
            <w:vAlign w:val="bottom"/>
            <w:tcBorders>
              <w:bottom w:val="single" w:sz="8" w:color="CCEEFF"/>
            </w:tcBorders>
            <w:shd w:val="clear" w:color="auto" w:fill="CCEEFF"/>
          </w:tcPr>
          <w:p>
            <w:pPr>
              <w:jc w:val="center"/>
              <w:ind w:left="1634"/>
              <w:spacing w:after="0"/>
              <w:rPr>
                <w:sz w:val="20"/>
                <w:szCs w:val="20"/>
                <w:color w:val="auto"/>
              </w:rPr>
            </w:pPr>
            <w:r>
              <w:rPr>
                <w:rFonts w:ascii="Arial" w:cs="Arial" w:eastAsia="Arial" w:hAnsi="Arial"/>
                <w:sz w:val="18"/>
                <w:szCs w:val="18"/>
                <w:color w:val="auto"/>
                <w:w w:val="89"/>
              </w:rPr>
              <w:t>1 to 5 years</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5600" w:type="dxa"/>
            <w:vAlign w:val="bottom"/>
          </w:tcPr>
          <w:p>
            <w:pPr>
              <w:jc w:val="center"/>
              <w:ind w:left="1654"/>
              <w:spacing w:after="0"/>
              <w:rPr>
                <w:sz w:val="20"/>
                <w:szCs w:val="20"/>
                <w:color w:val="auto"/>
              </w:rPr>
            </w:pPr>
            <w:r>
              <w:rPr>
                <w:rFonts w:ascii="Arial" w:cs="Arial" w:eastAsia="Arial" w:hAnsi="Arial"/>
                <w:sz w:val="18"/>
                <w:szCs w:val="18"/>
                <w:color w:val="auto"/>
                <w:w w:val="90"/>
              </w:rPr>
              <w:t>Lesser of asset life or life of lease</w:t>
            </w:r>
          </w:p>
        </w:tc>
      </w:tr>
      <w:tr>
        <w:trPr>
          <w:trHeight w:val="27"/>
        </w:trPr>
        <w:tc>
          <w:tcPr>
            <w:tcW w:w="582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5600" w:type="dxa"/>
            <w:vAlign w:val="bottom"/>
            <w:tcBorders>
              <w:bottom w:val="single" w:sz="8" w:color="CCEEFF"/>
            </w:tcBorders>
            <w:shd w:val="clear" w:color="auto" w:fill="CCEEFF"/>
          </w:tcPr>
          <w:p>
            <w:pPr>
              <w:jc w:val="center"/>
              <w:ind w:left="1634"/>
              <w:spacing w:after="0"/>
              <w:rPr>
                <w:sz w:val="20"/>
                <w:szCs w:val="20"/>
                <w:color w:val="auto"/>
              </w:rPr>
            </w:pPr>
            <w:r>
              <w:rPr>
                <w:rFonts w:ascii="Arial" w:cs="Arial" w:eastAsia="Arial" w:hAnsi="Arial"/>
                <w:sz w:val="18"/>
                <w:szCs w:val="18"/>
                <w:color w:val="auto"/>
                <w:w w:val="89"/>
              </w:rPr>
              <w:t>3 to 7 years</w:t>
            </w:r>
          </w:p>
        </w:tc>
      </w:tr>
      <w:tr>
        <w:trPr>
          <w:trHeight w:val="20"/>
        </w:trPr>
        <w:tc>
          <w:tcPr>
            <w:tcW w:w="5820" w:type="dxa"/>
            <w:vAlign w:val="bottom"/>
            <w:shd w:val="clear" w:color="auto" w:fill="000000"/>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Software development costs primarily include internal and external labor expenses incurred to develop the software that powers the Company's websites. Certain costs incurred during the application development stage are capitalized based on specific activities tracked, while costs incurred during the preliminary project stage and post-implementation/operation stage are expensed as incurred. Capitalized software development costs are amortized over an estimated useful life of one to three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Goodwill acquired in business combinations is assigned to the reporting units that are expected to benefit from the combination as of the acquisition date. Goodwill and indefinite-lived intangible assets, primarily the Company's trade names and trademarks, are not amortized. Rather, these assets are tested annually for impairment as of October 1, or more frequently upon the occurrence of certain events or substantive changes in circumstances.</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part of its annual impairment testing of goodwill and indefinite-lived intangible assets, in each instance, the Company may elect to assess qualitative factors as a basis for determining whether it is necessary to perform the traditional quantitative impairment testing. If the Company’s assessment of these qualitative factors indicates that it is not more likely than not that the fair value of the reporting unit or indefinite-lived intangible asset is less than its carrying value, then no further testing is required. Otherwise, the goodwill reporting unit or long-lived intangible assets, as applicable, must be quantitatively tested for impairment.</w:t>
      </w:r>
    </w:p>
    <w:p>
      <w:pPr>
        <w:spacing w:after="0" w:line="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quantitative test for goodwill impairment is determined using a two-step process. The first step is to compare the fair value of a reporting unit with its carrying amount, including goodwill. In performing the first step, the Company determines the fair value of its reporting units by using a market approach and a discounted cash flow ("DCF") analysis. Determining fair value using a DCF analysis requires the exercise of significant judgments, including judgments about appropriate discount rates, perpetual growth rates and the amount and timing of expected future cash flows. If the fair value of a reporting unit exceeds its carrying amount, goodwill of the reporting unit is not impaired and the second step of the impairment test is not required. If the carrying amount of a reporting unit exceeds its fair value, the second step of the goodwill impairment test is required to be performed to measure the amount of impairment, if any. The second step of the goodwill impairment test compares the implied fair value of the reporting unit's goodwill with the carrying amount of that goodwill. The implied fair value of goodwill is determined in the same manner as the amount of goodwill recognized in a business combination. If the carrying amount of the reporting unit's goodwill exceeds the implied fair value of that goodwill, an impairment loss is recognized in an amount equal to that excess.</w:t>
      </w:r>
    </w:p>
    <w:p>
      <w:pPr>
        <w:spacing w:after="0" w:line="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quantitative impairment test for indefinite-lived intangible assets involves a comparison of the estimated fair value of the intangible asset with its carrying value. If the carrying value of the indefinite-lived intangible asset exceeds its estimated fair value, an impairment loss is recognized in an amount equal to that excess. The estimates of fair value of indefinite-lived intangible assets are determined using a DCF valuation analysis that employs a relief-from-royalty methodology in estimating the fair value of trade names and trademarks. Significant judgments inherent in this analysis include the determination of royalty rates, discount rates, perpetual growth rates and the amount and timing of future revenues.</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October 1, 2015 annual impairment tests of goodwill and indefinite-lived intangible assets, the Company elected to perform qualitative assessments as a precursor to the traditional quantitative tests. Results of the October 1, 2015 annual impairment tests indicated that it is not more likely than not that the fair value of the goodwill and the indefinite-lived intangible assets were each less than their respective carrying values. Accordingly, no further testing was required.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53"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October 1, 2014 annual impairment test of goodwill, the fair value was estimated using a DCF analysis and a market comparable method, with each method being equally weighted in the calculation. Results of the October 1, 2014 annual impairment test for goodwill and the indefinite-lived intangible assets indicated that no impairments had occurred.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Intangible Assets with Definite Lives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Long-lived assets include property and equipment and intangible assets with definite lives. Amortization of definite-lived intangible assets is recorded on a straight-line basis over their estimated lives.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Long-lived assets are tested for recoverability whenever events or changes in circumstances indicate that their carrying amounts may not be recoverable. The carrying amount of a long-lived asset is not recoverable if it exceeds the sum of the undiscounted cash flows expected to result from the use and eventual disposition of the asset. If the carrying amount is deemed to not be recoverable, an impairment loss is recorded as the amount by which the carrying amount of the long-lived asset exceeds its fair value.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2015, the Company performed its annual review of impairment triggering events for long-lived assets and determined that a triggering event had not occurred.</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fourth quarter of 2014, the Company lost key customers and experienced a decline in revenue for a certain product included within the Education business. Accordingly, in early 2015, the Company amended its strategic course for this product, resulting in a reduction in anticipated future cash flows. At December 31, 2014, the Company reviewed the long-lived assets associated with this product for recoverability, resulting in an impairment charge to customer lists and internally developed software of approximately $0.8 million. The fair value of the long-lived assets was determined using a discounted cash flow model. The impairment charge is included in general and administrative expense on the accompanying consolidated statement of operations and comprehensive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categorizes its assets and liabilities measured at fair value into a fair value hierarchy that prioritizes the assumptions used in pricing the asset or liability into the following three levels:</w:t>
      </w:r>
    </w:p>
    <w:p>
      <w:pPr>
        <w:spacing w:after="0" w:line="11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b w:val="1"/>
          <w:bCs w:val="1"/>
          <w:u w:val="single" w:color="auto"/>
          <w:color w:val="auto"/>
        </w:rPr>
        <w:t>Level 1</w:t>
      </w:r>
      <w:r>
        <w:rPr>
          <w:rFonts w:ascii="Arial" w:cs="Arial" w:eastAsia="Arial" w:hAnsi="Arial"/>
          <w:sz w:val="17"/>
          <w:szCs w:val="17"/>
          <w:color w:val="auto"/>
        </w:rPr>
        <w:t>: Observable inputs, such as quoted prices for identical assets and liabilities in active markets obtained from independent sources.</w:t>
      </w:r>
    </w:p>
    <w:p>
      <w:pPr>
        <w:spacing w:after="0" w:line="182"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Level 2</w:t>
      </w:r>
      <w:r>
        <w:rPr>
          <w:rFonts w:ascii="Arial" w:cs="Arial" w:eastAsia="Arial" w:hAnsi="Arial"/>
          <w:sz w:val="18"/>
          <w:szCs w:val="18"/>
          <w:color w:val="auto"/>
        </w:rPr>
        <w:t>: Other inputs that are observable directly or indirectly, such as quoted prices for similar assets or liabilities in active markets,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for identical or similar assets or liabilities in markets that are not active and inputs that are derived principally from or corroborated by observable market data.</w:t>
      </w:r>
    </w:p>
    <w:p>
      <w:pPr>
        <w:spacing w:after="0" w:line="122" w:lineRule="exact"/>
        <w:rPr>
          <w:rFonts w:ascii="Arial" w:cs="Arial" w:eastAsia="Arial" w:hAnsi="Arial"/>
          <w:sz w:val="18"/>
          <w:szCs w:val="18"/>
          <w:color w:val="auto"/>
        </w:rPr>
      </w:pPr>
    </w:p>
    <w:p>
      <w:pPr>
        <w:ind w:left="660" w:hanging="328"/>
        <w:spacing w:after="0" w:line="313"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b w:val="1"/>
          <w:bCs w:val="1"/>
          <w:u w:val="single" w:color="auto"/>
          <w:color w:val="auto"/>
        </w:rPr>
        <w:t>Level 3</w:t>
      </w:r>
      <w:r>
        <w:rPr>
          <w:rFonts w:ascii="Arial" w:cs="Arial" w:eastAsia="Arial" w:hAnsi="Arial"/>
          <w:sz w:val="17"/>
          <w:szCs w:val="17"/>
          <w:color w:val="auto"/>
        </w:rPr>
        <w:t>: Unobservable inputs for which there is little or no market data and which require the Company to develop its own assumptions,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the best information available under the circumstances, about the assumptions market participants would use in pricing the asset or liability.</w:t>
      </w:r>
    </w:p>
    <w:p>
      <w:pPr>
        <w:spacing w:after="0" w:line="3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Company's non-financial assets, such as goodwill, intangible assets and property and equipment are measured at fair value when there is an indicator of impairment and recorded at fair value only when an impairment charge is recognized. Such fair value measurements are based predominantly on Level 3 inputs. As of December 31, 2015 and 2014, the carrying value of all of the Company's financial instruments are equal to the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consists primarily of expenses associated with compensation and other employee-related costs (including stock-based compensation) related to internally-operated call centers, third-party customer call center fees, credit scoring fees, credit card fees and website network hosting and server fees.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that are not capitalized, for personnel engaged in the design, development, testing and enhancement of technology that are not capitalized.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53"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Advertising costs are expensed in the period incurred (except for production costs which are initially capitalized and then recognized as expense when the advertisement first runs) and principally represent offline costs, including television, print and radio advertising, and online advertising costs, including fees paid to search engines and distribution partners. Advertising expense was $159.2 million, $102.2 million and $80.7 million for the years ended December 31, 2015, 2014 and 2013, respectively, and is included in selling and marketing expense on the consolidated statements of operations and comprehensive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Income taxes are accounted for under the liability method, and deferred tax assets and liabilities are recognized for the future tax consequences attributable to differences between the financial statement carrying amounts of existing assets and liabilities and their respective tax bases. In estimating future tax consequences, all expected future events are considered. Deferred tax assets and liabilities are measured using enacted tax rates in effect for the year in which those temporary differences are expected to be recovered or settled. A valuation allowance is provided on deferred tax assets if it is determined that it is more likely than not that the deferred tax asset will not be realized. Interest is recorded on potential tax contingencies as a component of income tax expense and recorded net of any applicable related income tax benefit. For the year ended December 31, 2015, the Company followed the incremental or "with" and "without" approach to intraperiod tax allocation for determination of the amount of tax benefit to allocate to continuing operations as prescribed in ASC 740-20-45-7 with the exception of the allocation of the release of the valuation allowance for deferred tax assets which is governed by ASC 740-10-45-</w:t>
      </w:r>
    </w:p>
    <w:p>
      <w:pPr>
        <w:spacing w:after="0" w:line="1" w:lineRule="exact"/>
        <w:rPr>
          <w:sz w:val="20"/>
          <w:szCs w:val="20"/>
          <w:color w:val="auto"/>
        </w:rPr>
      </w:pPr>
    </w:p>
    <w:p>
      <w:pPr>
        <w:jc w:val="both"/>
        <w:ind w:firstLine="8"/>
        <w:spacing w:after="0" w:line="255" w:lineRule="auto"/>
        <w:tabs>
          <w:tab w:leader="none" w:pos="284"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2014 and 2013, the Company reported losses from continuing operations and income from discontinued operations. As a result, the Company followed the accounting guidance prescribed in ASC 740-20-45-7, which provides an exception to the "with" and "without" approach to intraperiod tax allocation for determination of the amount of tax benefit to allocate to continuing operations in such circumstances.</w:t>
      </w:r>
    </w:p>
    <w:p>
      <w:pPr>
        <w:spacing w:after="0" w:line="8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accordance with the accounting standard for uncertainty in income taxes, liabilities for uncertain tax positions are recognized based on the two-step process prescribed by the accounting standards.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uses the tax law ordering approach to determine the potential utilization of windfall benefits. These tax benefits are credited to additional paid-in capital when they reduce current taxable income consistent with the tax law ordering approach.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forms of stock-based awards granted to LendingTree employees are principally restricted stock units ("RSUs"), stock options and restricted stock. RSUs are awards in the form of units, denominated in a hypothetical equivalent number of shares of LendingTree common stock and with the value of each award equal to the fair value of LendingTree common stock at the date of grant. RSUs may be settled in cash, stock or both, as determined by the Company's Compensation Committee at the time of grant. The Company does not have a history of settling these awards in cash. Each stock-based award is subject to service-based vesting, where a specific period of continued employment must pass before an award vests. The Compensation Committee can modify the vesting provisions of an award. Certain restricted stock awards also include performance-based vesting, where certain performance targets set at the time of grant must be achieved before an award vests.</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LendingTree recognizes as expense non-cash compensation for all stock-based awards for which vesting is considered probable. The amount of non-cash compensation is reduced by estimated forfeitures, as the amount recorded to the consolidated statement of operations and comprehensive income is based on awards ultimately expected to vest. The forfeiture rate is estimated at the grant date, based on historical experience and revised, if necessary, in subsequent periods if the actual forfeiture rate differs from the estimated rate.</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service-based awards, non-cash compensation is measured at fair value on the grant date and expensed ratably over the vesting term. The fair value of each stock option award is estimated using the Black-Scholes option pricing model, while the fair value of an RSU or restricted stock award is measured as the closing common stock price at the time of grant. For certain performance-based awards, the fair value is measured on the grant date as the fair value of the Company's common stock awarded and recognized as non-cash compensation, using a graded vesting attribution model that considers the probability of the targets being achieved.</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Tax benefits resulting from tax deductions in excess of the non-cash compensation recognized in the consolidated statement of operations and comprehensive income are reported as a component of financing cash flows. In 2015, $4.6 million of tax benefits in excess of non-cash compensation recognized in the consolidated statement of shareholders' equity is reported as a component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53"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financing cash flows. In 2014 and 2013, while there were excess tax benefits from non-cash compensation, the tax benefits are not reflected in the consolidated statement of shareholders' equity because the Company did not recognize a current tax benefit.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the Company pursues against others.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is involved in legal proceedings on an ongoing basis. If the Company believes that a loss arising from such matters is probable and can be reasonably estimated, the estimated liability is accrued in the consolidated financial statements. If only a range of estimated losses can be determined, an amount within the range is accrued that, in the Company's judgment, reflects the most likely outcome; if none of the estimates within that range is a better estimate than any other amount, the low end of the range is accrued. For those proceedings in which an unfavorable outcome is reasonably possible but not probable, an estimate of the reasonably possible loss or range of losses or a conclusion that an estimate of the reasonably possible loss or range of losses arising directly from the proceeding (i.e., monetary damages or amounts paid in judgment or settlement) are not material is disclosed. Legal expenses associated with these matters are recognized as incurred.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contingent consideration related to business combinations; litigation accruals; various other allowances, reserves and accruals; and assumptions related to the determination of stock-based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Financial instruments, which potentially subject the Company to concentration of credit risk at December 31, 2015,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network lenders to maintain security deposits with the Company, which in the event of non-payment, would be applied against any accounts receivable outstanding.</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increases may negatively impact future revenue from the Company's lender marketplace.</w:t>
      </w:r>
    </w:p>
    <w:p>
      <w:pPr>
        <w:spacing w:after="0" w:line="14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years ended December 31, 2015, 2014 and 2013, one marketplace lender accounted for revenue representing 12%, 13% and 12% of total revenue, respectively, and another marketplace lender accounted for 11%, 11% and 12% of total revenue, respectively.</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Lenders participating on the Company's marketplace can offer their products directly to consumers through brokers, mass marketing campaigns or through other traditional methods of credit distribution. These lenders can also offer their products online, either directly to prospective borrowers, through one or more online competitors, or both. If a significant number of potential consumers are able to obtain loans from participating lenders without utilizing the Company's service, its ability to generate revenue may be limited. Because the Company does not have exclusive relationships with the lenders whose loan offerings are offered on its online marketplace, consumers may obtain offers and loans from these lenders without using its service.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maintains operations solely in the United States.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53"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In November 2015, the Financial Accounting Standards Board ("FASB") issued Accounting Standards Update ("ASU") 2015-17 related to balance sheet classification of deferred tax assets and liabilities. This ASU requires that all deferred tax assets and liabilities, along with any related valuation allowance, be classified as noncurrent on the balance sheet. This ASU is effective for annual and interim reporting periods beginning after December 15, 2016, with early adoption permitted. The guidance may be applied either prospectively, for all deferred tax assets and liabilities, or retrospectively. The Company early adopted this ASU on a prospective basis, therefore, prior periods were not retrospectively adjusted.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9—Income Taxes for the impact of this ASU.</w:t>
      </w:r>
    </w:p>
    <w:p>
      <w:pPr>
        <w:spacing w:after="0" w:line="10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April 2015, the FASB issued ASU 2015-05 related to cloud computing arrangements. This ASU sets forth guidance on accounting for fees paid in a cloud computing arrangement and specifically outlines how to determine whether a cloud computing arrangement contains a software license or is solely a service contract. This ASU was effective for annual and interim reporting periods beginning after December 15, 2015 and permits early adoption. The Company early adopted this ASU and it did not have a significant impact on its consolidated financial statements.</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April 2015, the FASB issued ASU 2015-03 related to the simplification of the presentation of debt issuance costs. This ASU was intended to simplify the presentation of debt issuance costs, by requiring debt issuance costs related to a recognized debt liability to be presented on the balance sheet as a direct deduction from that debt liability. Given the lack of clear guidance related to accounting for debt issuance costs associated with line-of-credit arrangements, in August 2015, the FASB issued ASU 2015-15, which provided clarification in that the SEC would not object to an entity presenting debt issuance costs as an asset and subsequently amortizing the deferred debt issuance costs ratably over the term of the line-of-credit arrangement, regardless of whether there are borrowings on the line-of-credit arrangement. These ASUs are effective for annual and interim reporting periods beginning after December 15, 2015, with early adoption permitted. These ASUs must be applied retrospectively. The Company early adopted these ASUs and they did not have a significant impact on its consolidated financial statements.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10—Revolving Credit Facility for additional information on the disclosure of the debt issuance costs.</w:t>
      </w:r>
    </w:p>
    <w:p>
      <w:pPr>
        <w:spacing w:after="0" w:line="11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May 2014, the FASB issued ASU 2014-09 related to revenue recognition. This ASU was initiated as a joint project between the FASB and International Accounting Standards Board ("IASB") to clarify the principles for recognizing revenue and to develop a common revenue standard for GAAP and international financial reporting standards ("IFRS"). This guidance will supersede the existing revenue recognition requirements in Accounting Standards Codification ("ASC") Topic 605, Revenue Recognition and was set to be effective for annual reporting periods beginning after December 15, 2016. However, in July 2015, the FASB deferred the effective date by one year, such that the standard will be effective for annual reporting periods beginning after December 15, 2017. Early adoption is permitted as of the original effective date of December 15, 2016. The ASU can be applied (i) retrospectively to each prior period presented or (ii) retrospectively with the cumulative effect of initially adopting the ASU recognized at the date of initial application. The Company is evaluating the impact this ASU will have on its consolidated financial statements and whether to early adopt.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Restricted cash and cash equivalents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3"/>
              </w:rPr>
              <w:t>December 31, 2015</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December 31, 2014</w:t>
            </w: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in escrow for surety bonds </w:t>
            </w:r>
            <w:r>
              <w:rPr>
                <w:rFonts w:ascii="Arial" w:cs="Arial" w:eastAsia="Arial" w:hAnsi="Arial"/>
                <w:sz w:val="25"/>
                <w:szCs w:val="25"/>
                <w:color w:val="auto"/>
                <w:vertAlign w:val="superscript"/>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2,453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in escrow for corporate purchasing card program</w:t>
            </w:r>
          </w:p>
        </w:tc>
        <w:tc>
          <w:tcPr>
            <w:tcW w:w="1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100</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in escrow from sale of LendingTree Loans </w:t>
            </w:r>
            <w:r>
              <w:rPr>
                <w:rFonts w:ascii="Arial" w:cs="Arial" w:eastAsia="Arial" w:hAnsi="Arial"/>
                <w:sz w:val="25"/>
                <w:szCs w:val="25"/>
                <w:color w:val="auto"/>
                <w:vertAlign w:val="superscript"/>
              </w:rPr>
              <w:t>(b)</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4,028</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16,106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57</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restricted 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6,541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18,716</w:t>
            </w:r>
          </w:p>
        </w:tc>
      </w:tr>
      <w:tr>
        <w:trPr>
          <w:trHeight w:val="27"/>
        </w:trPr>
        <w:tc>
          <w:tcPr>
            <w:tcW w:w="8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11—Commitments for a discussion of surety bonds. In February 2016, all funds were released from restriction due to a reduction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requirements.</w:t>
      </w:r>
    </w:p>
    <w:p>
      <w:pPr>
        <w:spacing w:after="0" w:line="116"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HLC, a subsidiary of the Company, continues to be liable for certain indemnification obligations, repurchase obligations and premium repayment obligations following the sale of substantially all of the operating assets of its LendingTree Loans business in the second quarter of 2012. As a result of a settlement agreement in 2014 with a secondary market purchaser of loans, $12.1 million of cash held in escrow was released in December 2015.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53"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property and equipment,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December 31, 2015</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December 31, 2014</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capitalized software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10,192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16,080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2,096</w:t>
            </w:r>
          </w:p>
        </w:tc>
        <w:tc>
          <w:tcPr>
            <w:tcW w:w="2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2,096</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455</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Projects in progress</w:t>
            </w:r>
          </w:p>
        </w:tc>
        <w:tc>
          <w:tcPr>
            <w:tcW w:w="14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3,612</w:t>
            </w:r>
          </w:p>
        </w:tc>
        <w:tc>
          <w:tcPr>
            <w:tcW w:w="2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861</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gross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16,355</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20,067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(6,940)</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(14,810)</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property and equipment,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9,415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5,257</w:t>
            </w:r>
          </w:p>
        </w:tc>
      </w:tr>
      <w:tr>
        <w:trPr>
          <w:trHeight w:val="27"/>
        </w:trPr>
        <w:tc>
          <w:tcPr>
            <w:tcW w:w="8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Unamortized capitalized software development costs, in service or under development, are $8.0 million and $4.5 million at December 31, 2015 and 2014, respectively. Capitalized software development depreciation expense was $2.6 million, $2.8 million and $3.0 million for the years ended December 31, 2015, 2014 and 2013, respectively.</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During 2014, the Company recorded an impairment charge in its Education business of approximately $0.4 million to internally developed software.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2—Significant Accounting Policies for a discussion of the impairment.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December 31, 2015</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December 31, 2014</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486,720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486,720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14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(483,088)</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(483,088)</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3,632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3,632</w:t>
            </w:r>
          </w:p>
        </w:tc>
      </w:tr>
      <w:tr>
        <w:trPr>
          <w:trHeight w:val="324"/>
        </w:trPr>
        <w:tc>
          <w:tcPr>
            <w:tcW w:w="83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10,142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10,142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14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999</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10,992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11,141</w:t>
            </w:r>
          </w:p>
        </w:tc>
      </w:tr>
      <w:tr>
        <w:trPr>
          <w:trHeight w:val="27"/>
        </w:trPr>
        <w:tc>
          <w:tcPr>
            <w:tcW w:w="8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Company's goodwill is associated with its one reportable segment, lending. There were no changes in the carrying amount of goodwill during the years ended December 31, 2015 and 2014. Results of the annual impairment test as of October 1, 2015 indicated that no impairment had occurred.</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Intangible assets with indefinite lives relate to the Company's trademarks. Results of the annual impairment test as of October 1, 2015 indicated that no impairment had occurred.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500" w:type="dxa"/>
            <w:vAlign w:val="bottom"/>
          </w:tcPr>
          <w:p>
            <w:pPr>
              <w:spacing w:after="0"/>
              <w:rPr>
                <w:sz w:val="14"/>
                <w:szCs w:val="14"/>
                <w:color w:val="auto"/>
              </w:rPr>
            </w:pPr>
          </w:p>
        </w:tc>
        <w:tc>
          <w:tcPr>
            <w:tcW w:w="116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300" w:type="dxa"/>
            <w:vAlign w:val="bottom"/>
          </w:tcPr>
          <w:p>
            <w:pPr>
              <w:jc w:val="right"/>
              <w:ind w:right="277"/>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14"/>
                <w:szCs w:val="14"/>
                <w:color w:val="auto"/>
              </w:rPr>
            </w:pPr>
          </w:p>
        </w:tc>
        <w:tc>
          <w:tcPr>
            <w:tcW w:w="11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Amortization Life</w:t>
            </w: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10.0 years</w:t>
            </w: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89"/>
              </w:rPr>
              <w:t>2.2 years</w:t>
            </w:r>
          </w:p>
        </w:tc>
        <w:tc>
          <w:tcPr>
            <w:tcW w:w="5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1,087</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(1,087)</w:t>
            </w:r>
          </w:p>
        </w:tc>
        <w:tc>
          <w:tcPr>
            <w:tcW w:w="4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14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2,087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(1,237)</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850</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553" w:right="2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500" w:type="dxa"/>
            <w:vAlign w:val="bottom"/>
          </w:tcPr>
          <w:p>
            <w:pPr>
              <w:spacing w:after="0"/>
              <w:rPr>
                <w:sz w:val="14"/>
                <w:szCs w:val="14"/>
                <w:color w:val="auto"/>
              </w:rPr>
            </w:pPr>
          </w:p>
        </w:tc>
        <w:tc>
          <w:tcPr>
            <w:tcW w:w="116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300" w:type="dxa"/>
            <w:vAlign w:val="bottom"/>
          </w:tcPr>
          <w:p>
            <w:pPr>
              <w:jc w:val="right"/>
              <w:ind w:right="277"/>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14"/>
                <w:szCs w:val="14"/>
                <w:color w:val="auto"/>
              </w:rPr>
            </w:pPr>
          </w:p>
        </w:tc>
        <w:tc>
          <w:tcPr>
            <w:tcW w:w="11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Amortization Life</w:t>
            </w: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10.0 years</w:t>
            </w: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1,049</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89"/>
              </w:rPr>
              <w:t>2.2 years</w:t>
            </w:r>
          </w:p>
        </w:tc>
        <w:tc>
          <w:tcPr>
            <w:tcW w:w="5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1,087</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(1,087)</w:t>
            </w:r>
          </w:p>
        </w:tc>
        <w:tc>
          <w:tcPr>
            <w:tcW w:w="4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14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2,136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(1,137)</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999</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December 31, 2015,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 Expense</w:t>
            </w: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2016</w:t>
            </w: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Year ending December 31, 2017</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100</w:t>
            </w:r>
          </w:p>
        </w:tc>
      </w:tr>
      <w:tr>
        <w:trPr>
          <w:trHeight w:val="27"/>
        </w:trPr>
        <w:tc>
          <w:tcPr>
            <w:tcW w:w="9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2018</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Year ending December 31, 2019</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100</w:t>
            </w:r>
          </w:p>
        </w:tc>
      </w:tr>
      <w:tr>
        <w:trPr>
          <w:trHeight w:val="27"/>
        </w:trPr>
        <w:tc>
          <w:tcPr>
            <w:tcW w:w="9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2020</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350</w:t>
            </w:r>
          </w:p>
        </w:tc>
      </w:tr>
      <w:tr>
        <w:trPr>
          <w:trHeight w:val="27"/>
        </w:trPr>
        <w:tc>
          <w:tcPr>
            <w:tcW w:w="9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850</w:t>
            </w:r>
          </w:p>
        </w:tc>
      </w:tr>
      <w:tr>
        <w:trPr>
          <w:trHeight w:val="27"/>
        </w:trPr>
        <w:tc>
          <w:tcPr>
            <w:tcW w:w="99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June 30, 2014, the Company acquired certain intangible assets to be used in its home services business for $0.6 million paid on the acquisition date, plus contingent consideration of $0 to $0.8 million. During the fourth quarter of 2014, the Company finalized the purchase price of $1.0 million, which included an estimated contingent consideration of $0.4 million. The entire purchase price was allocated to the customer lists acquired, which is being amortized on a straight-line basis over a useful life of 10 years. Additionally, during the nine months following the acquisition, performance against the conditions of the earn-out reduced the total contingent consideration to $0.2 million, which was fully paid as of December 31, 2015.</w:t>
      </w:r>
    </w:p>
    <w:p>
      <w:pPr>
        <w:spacing w:after="0" w:line="6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During 2014, the Company recorded an impairment charge in its Education business of approximately $0.4 million to customer lists.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 Significant Accounting Policies for a discussion of the impairment.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Borders>
              <w:bottom w:val="single" w:sz="8" w:color="CCEEFF"/>
            </w:tcBorders>
          </w:tcPr>
          <w:p>
            <w:pPr>
              <w:spacing w:after="0"/>
              <w:rPr>
                <w:sz w:val="16"/>
                <w:szCs w:val="16"/>
                <w:color w:val="auto"/>
              </w:rPr>
            </w:pPr>
          </w:p>
        </w:tc>
        <w:tc>
          <w:tcPr>
            <w:tcW w:w="3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3"/>
              </w:rPr>
              <w:t>December 31, 2015</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December 31, 2014</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litigation liabilities</w:t>
            </w:r>
          </w:p>
        </w:tc>
        <w:tc>
          <w:tcPr>
            <w:tcW w:w="3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2,786</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Accrued advertising expense</w:t>
            </w:r>
          </w:p>
        </w:tc>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20,841</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11,170</w:t>
            </w:r>
          </w:p>
        </w:tc>
      </w:tr>
      <w:tr>
        <w:trPr>
          <w:trHeight w:val="27"/>
        </w:trPr>
        <w:tc>
          <w:tcPr>
            <w:tcW w:w="4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4,464</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2,666</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711</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337</w:t>
            </w:r>
          </w:p>
        </w:tc>
      </w:tr>
      <w:tr>
        <w:trPr>
          <w:trHeight w:val="27"/>
        </w:trPr>
        <w:tc>
          <w:tcPr>
            <w:tcW w:w="4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 and escrows</w:t>
            </w:r>
          </w:p>
        </w:tc>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4,471</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4,560</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Other</w:t>
            </w:r>
          </w:p>
        </w:tc>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3,762</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4,002</w:t>
            </w:r>
          </w:p>
        </w:tc>
      </w:tr>
      <w:tr>
        <w:trPr>
          <w:trHeight w:val="27"/>
        </w:trPr>
        <w:tc>
          <w:tcPr>
            <w:tcW w:w="478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3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34,885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25,521</w:t>
            </w:r>
          </w:p>
        </w:tc>
      </w:tr>
      <w:tr>
        <w:trPr>
          <w:trHeight w:val="459"/>
        </w:trPr>
        <w:tc>
          <w:tcPr>
            <w:tcW w:w="4780" w:type="dxa"/>
            <w:vAlign w:val="bottom"/>
            <w:tcBorders>
              <w:top w:val="single" w:sz="8" w:color="auto"/>
            </w:tcBorders>
          </w:tcPr>
          <w:p>
            <w:pPr>
              <w:spacing w:after="0"/>
              <w:rPr>
                <w:sz w:val="24"/>
                <w:szCs w:val="24"/>
                <w:color w:val="auto"/>
              </w:rPr>
            </w:pPr>
          </w:p>
        </w:tc>
        <w:tc>
          <w:tcPr>
            <w:tcW w:w="3540" w:type="dxa"/>
            <w:vAlign w:val="bottom"/>
            <w:tcBorders>
              <w:top w:val="single" w:sz="8" w:color="auto"/>
            </w:tcBorders>
          </w:tcPr>
          <w:p>
            <w:pPr>
              <w:jc w:val="right"/>
              <w:ind w:right="2430"/>
              <w:spacing w:after="0"/>
              <w:rPr>
                <w:sz w:val="20"/>
                <w:szCs w:val="20"/>
                <w:color w:val="auto"/>
              </w:rPr>
            </w:pPr>
            <w:r>
              <w:rPr>
                <w:rFonts w:ascii="Arial" w:cs="Arial" w:eastAsia="Arial" w:hAnsi="Arial"/>
                <w:sz w:val="18"/>
                <w:szCs w:val="18"/>
                <w:color w:val="auto"/>
              </w:rPr>
              <w:t>50</w:t>
            </w: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income (loss)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5"/>
              </w:rPr>
              <w:t>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94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2014</w:t>
            </w: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194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rPr>
              <w:t>11,188</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11,035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1320" w:type="dxa"/>
            <w:vAlign w:val="bottom"/>
          </w:tcPr>
          <w:p>
            <w:pPr>
              <w:jc w:val="right"/>
              <w:spacing w:after="0"/>
              <w:rPr>
                <w:sz w:val="20"/>
                <w:szCs w:val="20"/>
                <w:color w:val="auto"/>
              </w:rPr>
            </w:pPr>
            <w:r>
              <w:rPr>
                <w:rFonts w:ascii="Arial" w:cs="Arial" w:eastAsia="Arial" w:hAnsi="Arial"/>
                <w:sz w:val="18"/>
                <w:szCs w:val="18"/>
                <w:color w:val="auto"/>
              </w:rPr>
              <w:t>866</w:t>
            </w:r>
          </w:p>
        </w:tc>
        <w:tc>
          <w:tcPr>
            <w:tcW w:w="1940" w:type="dxa"/>
            <w:vAlign w:val="bottom"/>
          </w:tcPr>
          <w:p>
            <w:pPr>
              <w:jc w:val="right"/>
              <w:ind w:right="41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94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12,541</w:t>
            </w:r>
          </w:p>
        </w:tc>
        <w:tc>
          <w:tcPr>
            <w:tcW w:w="1940" w:type="dxa"/>
            <w:vAlign w:val="bottom"/>
            <w:tcBorders>
              <w:top w:val="single" w:sz="8" w:color="auto"/>
            </w:tcBorders>
          </w:tcPr>
          <w:p>
            <w:pPr>
              <w:jc w:val="right"/>
              <w:ind w:right="416"/>
              <w:spacing w:after="0"/>
              <w:rPr>
                <w:sz w:val="20"/>
                <w:szCs w:val="20"/>
                <w:color w:val="auto"/>
              </w:rPr>
            </w:pPr>
            <w:r>
              <w:rPr>
                <w:rFonts w:ascii="Arial" w:cs="Arial" w:eastAsia="Arial" w:hAnsi="Arial"/>
                <w:sz w:val="18"/>
                <w:szCs w:val="18"/>
                <w:color w:val="auto"/>
              </w:rPr>
              <w:t>11,188</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11,035</w:t>
            </w:r>
          </w:p>
        </w:tc>
      </w:tr>
      <w:tr>
        <w:trPr>
          <w:trHeight w:val="34"/>
        </w:trPr>
        <w:tc>
          <w:tcPr>
            <w:tcW w:w="7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years ended December 31, 2014 and 2013, the Company had losses from continuing operations and, as a result, no potentially dilutive securities were included in the denominator for computing diluted loss per share, because the impact would have been anti-dilutive. Accordingly, the weighted average basic shares outstanding were used to compute loss per share amounts for these periods. For the years ended December 31, 2014 and 2013, approximately 0.7 million, and 0.7 million shares, respectively, related to potentially dilutive securities were excluded from the calculation of diluted loss per share, because their inclusion would have been anti-dilutive.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8—Stock-Based Compensation for a full description of outstanding equity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2010, the board of directors authorized and the Company announced the repurchase of up to $10.0 million of LendingTree's common stock. In May 2014, the board of directors authorized and the Company announced the repurchase of up to an additional $10.0 million of LendingTree's common stock. During the years ended December 31, 2015, 2014 and 2013, the Company purchased 5,250, 99,345 and 180,453 shares, respectively, of its common stock for aggregate consideration of $0.2 million, $2.6 million and $3.3 million, respectively. At December 31, 2015, approximately $7.3 million remains authorized for share repurchase.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19—Subsequent Events for additional information about the repurchase of the Company's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November 2015, the Company completed an equity offering of 852,500 shares of its common stock. The common stock was issued at a price of $115.00 per share. The Company received net proceeds of $91.5 million, after deducting approximately $5.9 million in underwriting discounts and $0.7 million in offering expenses. The Company expects to use the net proceeds of the offering for general corporate purposes, including but not limited to, working capital and potential acquisitions.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8—STOCK-BASED COMPENSATION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currently has one active plan, the Fourth Amended and Restated LendingTree 2008 Stock and Annual Incentive Plan (the "Equity Award Plan"), under which future awards may be granted, which currently covers outstanding stock options to acquire shares of the Company's common stock, restricted stock and RSUs, and provides for the future grants of these and other equity awards. Under the Equity Award Plan, the Company is authorized to grant stock options, restricted stock, RSUs and other equity-based awards for up to 4.35 million shares of LendingTree common stock to employees, non-employee consultants, officers and directors. This Equity Award Plan also governs certain equity awards of IAC that were converted into equity awards of LendingTree in connection with the spin-off.</w:t>
      </w:r>
    </w:p>
    <w:p>
      <w:pPr>
        <w:spacing w:after="0" w:line="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Equity Award Plan has a stated term of ten years and provides that the exercise price of stock options granted will not be less than the market price of the common stock on the grant date. The Equity Award Plan itself does not specify grant dates or vesting schedules, as those determinations are delegated to the Compensation Committee of the board of directors. Each grant agreement reflects the vesting schedule for that particular grant, as determined by the Compensation Committee. The Compensation Committee has the authority to modify the vesting provisions of an award.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53"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1,597</w:t>
            </w:r>
          </w:p>
        </w:tc>
        <w:tc>
          <w:tcPr>
            <w:tcW w:w="38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901</w:t>
            </w:r>
          </w:p>
        </w:tc>
        <w:tc>
          <w:tcPr>
            <w:tcW w:w="3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931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5,120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5,148</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1,558</w:t>
            </w:r>
          </w:p>
        </w:tc>
        <w:tc>
          <w:tcPr>
            <w:tcW w:w="38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1,196</w:t>
            </w:r>
          </w:p>
        </w:tc>
        <w:tc>
          <w:tcPr>
            <w:tcW w:w="3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842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169</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8,508</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7,446</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5,627</w:t>
            </w:r>
          </w:p>
        </w:tc>
      </w:tr>
      <w:tr>
        <w:trPr>
          <w:trHeight w:val="34"/>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 the year ended December 31, 2015, the Company recognized $3.0 million of income tax benefit related to non-cash compensation. For the years ended December 31, 2014 and 2013, the Company recognized no income tax benefit related to non-cash compensation due to its net operating losses and valuation allowance. As of December 31, 2015, there was approximately $8.2 million, $7.5 million and $1.0 million of unrecognized compensation cost, net of estimated forfeitures, related to stock options, RSUs and restricted stock, respectively. These costs are expected to be recognized over a weighted-average period of approximately 2.0 years for stock options, 2.0 years for RSUs and 1.0 year for restricted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stock options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vMerge w:val="restart"/>
          </w:tcPr>
          <w:p>
            <w:pPr>
              <w:jc w:val="center"/>
              <w:ind w:right="377"/>
              <w:spacing w:after="0"/>
              <w:rPr>
                <w:sz w:val="20"/>
                <w:szCs w:val="20"/>
                <w:color w:val="auto"/>
              </w:rPr>
            </w:pPr>
            <w:r>
              <w:rPr>
                <w:rFonts w:ascii="Arial" w:cs="Arial" w:eastAsia="Arial" w:hAnsi="Arial"/>
                <w:sz w:val="14"/>
                <w:szCs w:val="14"/>
                <w:b w:val="1"/>
                <w:bCs w:val="1"/>
                <w:color w:val="auto"/>
                <w:w w:val="91"/>
              </w:rPr>
              <w:t>Weighted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jc w:val="center"/>
              <w:ind w:right="377"/>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6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Number of Options</w:t>
            </w:r>
          </w:p>
        </w:tc>
        <w:tc>
          <w:tcPr>
            <w:tcW w:w="340" w:type="dxa"/>
            <w:vAlign w:val="bottom"/>
          </w:tcPr>
          <w:p>
            <w:pPr>
              <w:spacing w:after="0"/>
              <w:rPr>
                <w:sz w:val="12"/>
                <w:szCs w:val="12"/>
                <w:color w:val="auto"/>
              </w:rPr>
            </w:pPr>
          </w:p>
        </w:tc>
        <w:tc>
          <w:tcPr>
            <w:tcW w:w="1400" w:type="dxa"/>
            <w:vAlign w:val="bottom"/>
          </w:tcPr>
          <w:p>
            <w:pPr>
              <w:jc w:val="center"/>
              <w:ind w:right="357"/>
              <w:spacing w:after="0" w:line="149" w:lineRule="exact"/>
              <w:rPr>
                <w:sz w:val="20"/>
                <w:szCs w:val="20"/>
                <w:color w:val="auto"/>
              </w:rPr>
            </w:pPr>
            <w:r>
              <w:rPr>
                <w:rFonts w:ascii="Arial" w:cs="Arial" w:eastAsia="Arial" w:hAnsi="Arial"/>
                <w:sz w:val="14"/>
                <w:szCs w:val="14"/>
                <w:b w:val="1"/>
                <w:bCs w:val="1"/>
                <w:color w:val="auto"/>
                <w:w w:val="90"/>
              </w:rPr>
              <w:t>Exercise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0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57"/>
              <w:spacing w:after="0"/>
              <w:rPr>
                <w:sz w:val="20"/>
                <w:szCs w:val="20"/>
                <w:color w:val="auto"/>
              </w:rPr>
            </w:pPr>
            <w:r>
              <w:rPr>
                <w:rFonts w:ascii="Arial" w:cs="Arial" w:eastAsia="Arial" w:hAnsi="Arial"/>
                <w:sz w:val="14"/>
                <w:szCs w:val="14"/>
                <w:b w:val="1"/>
                <w:bCs w:val="1"/>
                <w:color w:val="auto"/>
                <w:w w:val="93"/>
              </w:rPr>
              <w:t>Price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center"/>
              <w:ind w:right="377"/>
              <w:spacing w:after="0"/>
              <w:rPr>
                <w:sz w:val="20"/>
                <w:szCs w:val="20"/>
                <w:color w:val="auto"/>
              </w:rPr>
            </w:pPr>
            <w:r>
              <w:rPr>
                <w:rFonts w:ascii="Arial" w:cs="Arial" w:eastAsia="Arial" w:hAnsi="Arial"/>
                <w:sz w:val="14"/>
                <w:szCs w:val="14"/>
                <w:b w:val="1"/>
                <w:bCs w:val="1"/>
                <w:i w:val="1"/>
                <w:iCs w:val="1"/>
                <w:color w:val="auto"/>
                <w:w w:val="89"/>
              </w:rPr>
              <w:t>(per option)</w:t>
            </w:r>
          </w:p>
        </w:tc>
        <w:tc>
          <w:tcPr>
            <w:tcW w:w="13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(in years)</w:t>
            </w:r>
          </w:p>
        </w:tc>
        <w:tc>
          <w:tcPr>
            <w:tcW w:w="400" w:type="dxa"/>
            <w:vAlign w:val="bottom"/>
          </w:tcPr>
          <w:p>
            <w:pPr>
              <w:spacing w:after="0"/>
              <w:rPr>
                <w:sz w:val="16"/>
                <w:szCs w:val="16"/>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4000" w:type="dxa"/>
            <w:vAlign w:val="bottom"/>
          </w:tcPr>
          <w:p>
            <w:pPr>
              <w:spacing w:after="0"/>
              <w:rPr>
                <w:sz w:val="6"/>
                <w:szCs w:val="6"/>
                <w:color w:val="auto"/>
              </w:rPr>
            </w:pPr>
          </w:p>
        </w:tc>
        <w:tc>
          <w:tcPr>
            <w:tcW w:w="2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2014</w:t>
            </w:r>
          </w:p>
        </w:tc>
        <w:tc>
          <w:tcPr>
            <w:tcW w:w="2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2,136,679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18.16</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Granted</w:t>
            </w:r>
          </w:p>
        </w:tc>
        <w:tc>
          <w:tcPr>
            <w:tcW w:w="2680" w:type="dxa"/>
            <w:vAlign w:val="bottom"/>
          </w:tcPr>
          <w:p>
            <w:pPr>
              <w:jc w:val="right"/>
              <w:ind w:right="72"/>
              <w:spacing w:after="0"/>
              <w:rPr>
                <w:sz w:val="20"/>
                <w:szCs w:val="20"/>
                <w:color w:val="auto"/>
              </w:rPr>
            </w:pPr>
            <w:r>
              <w:rPr>
                <w:rFonts w:ascii="Arial" w:cs="Arial" w:eastAsia="Arial" w:hAnsi="Arial"/>
                <w:sz w:val="18"/>
                <w:szCs w:val="18"/>
                <w:color w:val="auto"/>
              </w:rPr>
              <w:t>46,406</w:t>
            </w:r>
          </w:p>
        </w:tc>
        <w:tc>
          <w:tcPr>
            <w:tcW w:w="340" w:type="dxa"/>
            <w:vAlign w:val="bottom"/>
          </w:tcPr>
          <w:p>
            <w:pPr>
              <w:spacing w:after="0"/>
              <w:rPr>
                <w:sz w:val="21"/>
                <w:szCs w:val="21"/>
                <w:color w:val="auto"/>
              </w:rPr>
            </w:pPr>
          </w:p>
        </w:tc>
        <w:tc>
          <w:tcPr>
            <w:tcW w:w="1400" w:type="dxa"/>
            <w:vAlign w:val="bottom"/>
          </w:tcPr>
          <w:p>
            <w:pPr>
              <w:jc w:val="right"/>
              <w:ind w:right="217"/>
              <w:spacing w:after="0"/>
              <w:rPr>
                <w:sz w:val="20"/>
                <w:szCs w:val="20"/>
                <w:color w:val="auto"/>
              </w:rPr>
            </w:pPr>
            <w:r>
              <w:rPr>
                <w:rFonts w:ascii="Arial" w:cs="Arial" w:eastAsia="Arial" w:hAnsi="Arial"/>
                <w:sz w:val="18"/>
                <w:szCs w:val="18"/>
                <w:color w:val="auto"/>
              </w:rPr>
              <w:t>68.62</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2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(136,125)</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17.61</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2680" w:type="dxa"/>
            <w:vAlign w:val="bottom"/>
          </w:tcPr>
          <w:p>
            <w:pPr>
              <w:jc w:val="right"/>
              <w:ind w:right="12"/>
              <w:spacing w:after="0"/>
              <w:rPr>
                <w:sz w:val="20"/>
                <w:szCs w:val="20"/>
                <w:color w:val="auto"/>
              </w:rPr>
            </w:pPr>
            <w:r>
              <w:rPr>
                <w:rFonts w:ascii="Arial" w:cs="Arial" w:eastAsia="Arial" w:hAnsi="Arial"/>
                <w:sz w:val="18"/>
                <w:szCs w:val="18"/>
                <w:color w:val="auto"/>
              </w:rPr>
              <w:t>(127,439)</w:t>
            </w:r>
          </w:p>
        </w:tc>
        <w:tc>
          <w:tcPr>
            <w:tcW w:w="340" w:type="dxa"/>
            <w:vAlign w:val="bottom"/>
          </w:tcPr>
          <w:p>
            <w:pPr>
              <w:spacing w:after="0"/>
              <w:rPr>
                <w:sz w:val="21"/>
                <w:szCs w:val="21"/>
                <w:color w:val="auto"/>
              </w:rPr>
            </w:pPr>
          </w:p>
        </w:tc>
        <w:tc>
          <w:tcPr>
            <w:tcW w:w="1400" w:type="dxa"/>
            <w:vAlign w:val="bottom"/>
          </w:tcPr>
          <w:p>
            <w:pPr>
              <w:jc w:val="right"/>
              <w:ind w:right="217"/>
              <w:spacing w:after="0"/>
              <w:rPr>
                <w:sz w:val="20"/>
                <w:szCs w:val="20"/>
                <w:color w:val="auto"/>
              </w:rPr>
            </w:pPr>
            <w:r>
              <w:rPr>
                <w:rFonts w:ascii="Arial" w:cs="Arial" w:eastAsia="Arial" w:hAnsi="Arial"/>
                <w:sz w:val="18"/>
                <w:szCs w:val="18"/>
                <w:color w:val="auto"/>
              </w:rPr>
              <w:t>26.84</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2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(1,339)</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7.88</w:t>
            </w:r>
          </w:p>
        </w:tc>
        <w:tc>
          <w:tcPr>
            <w:tcW w:w="13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Outstanding at December 31, 2015</w:t>
            </w:r>
          </w:p>
        </w:tc>
        <w:tc>
          <w:tcPr>
            <w:tcW w:w="26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1,918,182</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217"/>
              <w:spacing w:after="0"/>
              <w:rPr>
                <w:sz w:val="20"/>
                <w:szCs w:val="20"/>
                <w:color w:val="auto"/>
              </w:rPr>
            </w:pPr>
            <w:r>
              <w:rPr>
                <w:rFonts w:ascii="Arial" w:cs="Arial" w:eastAsia="Arial" w:hAnsi="Arial"/>
                <w:sz w:val="18"/>
                <w:szCs w:val="18"/>
                <w:color w:val="auto"/>
              </w:rPr>
              <w:t>18.85</w:t>
            </w:r>
          </w:p>
        </w:tc>
        <w:tc>
          <w:tcPr>
            <w:tcW w:w="1320" w:type="dxa"/>
            <w:vAlign w:val="bottom"/>
            <w:tcBorders>
              <w:top w:val="single" w:sz="8" w:color="auto"/>
            </w:tcBorders>
          </w:tcPr>
          <w:p>
            <w:pPr>
              <w:jc w:val="right"/>
              <w:ind w:right="124"/>
              <w:spacing w:after="0"/>
              <w:rPr>
                <w:sz w:val="20"/>
                <w:szCs w:val="20"/>
                <w:color w:val="auto"/>
              </w:rPr>
            </w:pPr>
            <w:r>
              <w:rPr>
                <w:rFonts w:ascii="Arial" w:cs="Arial" w:eastAsia="Arial" w:hAnsi="Arial"/>
                <w:sz w:val="18"/>
                <w:szCs w:val="18"/>
                <w:b w:val="1"/>
                <w:bCs w:val="1"/>
                <w:color w:val="auto"/>
              </w:rPr>
              <w:t>5.92</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135,324</w:t>
            </w:r>
          </w:p>
        </w:tc>
        <w:tc>
          <w:tcPr>
            <w:tcW w:w="0" w:type="dxa"/>
            <w:vAlign w:val="bottom"/>
          </w:tcPr>
          <w:p>
            <w:pPr>
              <w:spacing w:after="0"/>
              <w:rPr>
                <w:sz w:val="1"/>
                <w:szCs w:val="1"/>
                <w:color w:val="auto"/>
              </w:rPr>
            </w:pPr>
          </w:p>
        </w:tc>
      </w:tr>
      <w:tr>
        <w:trPr>
          <w:trHeight w:val="34"/>
        </w:trPr>
        <w:tc>
          <w:tcPr>
            <w:tcW w:w="40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w:t>
            </w:r>
          </w:p>
        </w:tc>
        <w:tc>
          <w:tcPr>
            <w:tcW w:w="2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932,941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8.51</w:t>
            </w:r>
          </w:p>
        </w:tc>
        <w:tc>
          <w:tcPr>
            <w:tcW w:w="132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8"/>
                <w:szCs w:val="18"/>
                <w:b w:val="1"/>
                <w:bCs w:val="1"/>
                <w:color w:val="auto"/>
              </w:rPr>
              <w:t>3.44</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75,350</w:t>
            </w:r>
          </w:p>
        </w:tc>
        <w:tc>
          <w:tcPr>
            <w:tcW w:w="0" w:type="dxa"/>
            <w:vAlign w:val="bottom"/>
          </w:tcPr>
          <w:p>
            <w:pPr>
              <w:spacing w:after="0"/>
              <w:rPr>
                <w:sz w:val="1"/>
                <w:szCs w:val="1"/>
                <w:color w:val="auto"/>
              </w:rPr>
            </w:pPr>
          </w:p>
        </w:tc>
      </w:tr>
      <w:tr>
        <w:trPr>
          <w:trHeight w:val="27"/>
        </w:trPr>
        <w:tc>
          <w:tcPr>
            <w:tcW w:w="4000" w:type="dxa"/>
            <w:vAlign w:val="bottom"/>
            <w:shd w:val="clear" w:color="auto" w:fill="000000"/>
          </w:tcPr>
          <w:p>
            <w:pPr>
              <w:spacing w:after="0"/>
              <w:rPr>
                <w:sz w:val="2"/>
                <w:szCs w:val="2"/>
                <w:color w:val="auto"/>
              </w:rPr>
            </w:pPr>
          </w:p>
        </w:tc>
        <w:tc>
          <w:tcPr>
            <w:tcW w:w="26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$89.28 on the last trading day of 2015 and the exercise price, multiplied by the number of shares covered by in-the-money options) that would have been received by the option holders had all option holders exercised their options on December 31, 2015. The intrinsic value changes based on the market value of the Company's common stock.</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exercise, the intrinsic value represents the pre-tax difference between the Company's closing stock price on the exercise date and the exercise price, multiplied by the number of stock options exercised. During the years ended December 31, 2015, 2014 and 2013, the total intrinsic value of stock options that were exercised was $5.9 million, $0.2 million and $0.4 million, respectively. Cash received from stock option exercises and the related actual tax benefit realized were $2.4 million and $0.3 million, respectively, for the year ended December 31, 2015.</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years ended December 31, 2015 and 2014, the Company granted stock options with a weighted average grant date fair value per share of $27.60 and $11.22, respectively, of which the vesting periods include (a) three years from the grant date, (b) 25% and 75% over a period of 2.5 years and 3.5 years, respectively, (c) 25% and 75% over a period of 1.67 years and 2.67 years, respectively, (d) six months from the grant date, (e) one year from the grant date and (f) two years from the grant date.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53"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6620" w:type="dxa"/>
            <w:vAlign w:val="bottom"/>
          </w:tcPr>
          <w:p>
            <w:pPr>
              <w:spacing w:after="0"/>
              <w:rPr>
                <w:sz w:val="18"/>
                <w:szCs w:val="18"/>
                <w:color w:val="auto"/>
              </w:rPr>
            </w:pPr>
          </w:p>
        </w:tc>
        <w:tc>
          <w:tcPr>
            <w:tcW w:w="3380" w:type="dxa"/>
            <w:vAlign w:val="bottom"/>
            <w:gridSpan w:val="2"/>
          </w:tcPr>
          <w:p>
            <w:pPr>
              <w:jc w:val="right"/>
              <w:ind w:right="692"/>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66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7"/>
        </w:trPr>
        <w:tc>
          <w:tcPr>
            <w:tcW w:w="6620" w:type="dxa"/>
            <w:vAlign w:val="bottom"/>
          </w:tcPr>
          <w:p>
            <w:pPr>
              <w:spacing w:after="0"/>
              <w:rPr>
                <w:sz w:val="18"/>
                <w:szCs w:val="18"/>
                <w:color w:val="auto"/>
              </w:rPr>
            </w:pPr>
          </w:p>
        </w:tc>
        <w:tc>
          <w:tcPr>
            <w:tcW w:w="1840" w:type="dxa"/>
            <w:vAlign w:val="bottom"/>
          </w:tcPr>
          <w:p>
            <w:pPr>
              <w:jc w:val="right"/>
              <w:ind w:right="753"/>
              <w:spacing w:after="0"/>
              <w:rPr>
                <w:sz w:val="20"/>
                <w:szCs w:val="20"/>
                <w:color w:val="auto"/>
              </w:rPr>
            </w:pPr>
            <w:r>
              <w:rPr>
                <w:rFonts w:ascii="Arial" w:cs="Arial" w:eastAsia="Arial" w:hAnsi="Arial"/>
                <w:sz w:val="16"/>
                <w:szCs w:val="16"/>
                <w:b w:val="1"/>
                <w:bCs w:val="1"/>
                <w:color w:val="auto"/>
              </w:rPr>
              <w:t>2015</w:t>
            </w:r>
          </w:p>
        </w:tc>
        <w:tc>
          <w:tcPr>
            <w:tcW w:w="1540" w:type="dxa"/>
            <w:vAlign w:val="bottom"/>
          </w:tcPr>
          <w:p>
            <w:pPr>
              <w:jc w:val="right"/>
              <w:ind w:right="592"/>
              <w:spacing w:after="0"/>
              <w:rPr>
                <w:sz w:val="20"/>
                <w:szCs w:val="20"/>
                <w:color w:val="auto"/>
              </w:rPr>
            </w:pPr>
            <w:r>
              <w:rPr>
                <w:rFonts w:ascii="Arial" w:cs="Arial" w:eastAsia="Arial" w:hAnsi="Arial"/>
                <w:sz w:val="16"/>
                <w:szCs w:val="16"/>
                <w:b w:val="1"/>
                <w:bCs w:val="1"/>
                <w:color w:val="auto"/>
              </w:rPr>
              <w:t>2014</w:t>
            </w:r>
          </w:p>
        </w:tc>
      </w:tr>
      <w:tr>
        <w:trPr>
          <w:trHeight w:val="33"/>
        </w:trPr>
        <w:tc>
          <w:tcPr>
            <w:tcW w:w="66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66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1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5.21 - 6.23 years</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5.75 - 6.63 years</w:t>
            </w:r>
          </w:p>
        </w:tc>
      </w:tr>
      <w:tr>
        <w:trPr>
          <w:trHeight w:val="270"/>
        </w:trPr>
        <w:tc>
          <w:tcPr>
            <w:tcW w:w="66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18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6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1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38% - 48%</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 - 64%</w:t>
            </w:r>
          </w:p>
        </w:tc>
      </w:tr>
      <w:tr>
        <w:trPr>
          <w:trHeight w:val="270"/>
        </w:trPr>
        <w:tc>
          <w:tcPr>
            <w:tcW w:w="662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1840" w:type="dxa"/>
            <w:vAlign w:val="bottom"/>
            <w:tcBorders>
              <w:bottom w:val="single" w:sz="8" w:color="999999"/>
            </w:tcBorders>
          </w:tcPr>
          <w:p>
            <w:pPr>
              <w:jc w:val="right"/>
              <w:ind w:right="153"/>
              <w:spacing w:after="0"/>
              <w:rPr>
                <w:sz w:val="20"/>
                <w:szCs w:val="20"/>
                <w:color w:val="auto"/>
              </w:rPr>
            </w:pPr>
            <w:r>
              <w:rPr>
                <w:rFonts w:ascii="Arial" w:cs="Arial" w:eastAsia="Arial" w:hAnsi="Arial"/>
                <w:sz w:val="18"/>
                <w:szCs w:val="18"/>
                <w:color w:val="auto"/>
              </w:rPr>
              <w:t>1.65% - 2.01%</w:t>
            </w:r>
          </w:p>
        </w:tc>
        <w:tc>
          <w:tcPr>
            <w:tcW w:w="1540" w:type="dxa"/>
            <w:vAlign w:val="bottom"/>
            <w:tcBorders>
              <w:bottom w:val="single" w:sz="8" w:color="999999"/>
            </w:tcBorders>
          </w:tcPr>
          <w:p>
            <w:pPr>
              <w:jc w:val="right"/>
              <w:ind w:right="12"/>
              <w:spacing w:after="0"/>
              <w:rPr>
                <w:sz w:val="20"/>
                <w:szCs w:val="20"/>
                <w:color w:val="auto"/>
              </w:rPr>
            </w:pPr>
            <w:r>
              <w:rPr>
                <w:rFonts w:ascii="Arial" w:cs="Arial" w:eastAsia="Arial" w:hAnsi="Arial"/>
                <w:sz w:val="18"/>
                <w:szCs w:val="18"/>
                <w:color w:val="auto"/>
              </w:rPr>
              <w:t>1.81% - 2.13%</w:t>
            </w:r>
          </w:p>
        </w:tc>
      </w:tr>
    </w:tbl>
    <w:p>
      <w:pPr>
        <w:spacing w:after="0" w:line="148" w:lineRule="exact"/>
        <w:rPr>
          <w:sz w:val="20"/>
          <w:szCs w:val="20"/>
          <w:color w:val="auto"/>
        </w:rPr>
      </w:pPr>
    </w:p>
    <w:p>
      <w:pPr>
        <w:jc w:val="both"/>
        <w:ind w:left="90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7"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all stock options granted during the years ended December 31, 2015 and 2014,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 or a blended rate which includes the historical volatility of the Company's common stock and that of a peer group.</w:t>
      </w:r>
    </w:p>
    <w:p>
      <w:pPr>
        <w:spacing w:after="0" w:line="11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1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As of December 31, 2015, the non-vested options are expected to vest over a weighted-average period of approximately 2.0 years. During the years ended December 31, 2015, 2014 and 2013, the total fair value of options vested was $0.8 million, $0.4 million and $3.2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nonvested RSUs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99"/>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4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2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Units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8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80"/>
        </w:trPr>
        <w:tc>
          <w:tcPr>
            <w:tcW w:w="83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2014</w:t>
            </w:r>
          </w:p>
        </w:tc>
        <w:tc>
          <w:tcPr>
            <w:tcW w:w="15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351,801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(a)</w:t>
            </w:r>
          </w:p>
        </w:tc>
        <w:tc>
          <w:tcPr>
            <w:tcW w:w="1540" w:type="dxa"/>
            <w:vAlign w:val="bottom"/>
          </w:tcPr>
          <w:p>
            <w:pPr>
              <w:jc w:val="right"/>
              <w:ind w:right="77"/>
              <w:spacing w:after="0"/>
              <w:rPr>
                <w:sz w:val="20"/>
                <w:szCs w:val="20"/>
                <w:color w:val="auto"/>
              </w:rPr>
            </w:pPr>
            <w:r>
              <w:rPr>
                <w:rFonts w:ascii="Arial" w:cs="Arial" w:eastAsia="Arial" w:hAnsi="Arial"/>
                <w:sz w:val="18"/>
                <w:szCs w:val="18"/>
                <w:color w:val="auto"/>
              </w:rPr>
              <w:t>101,955</w:t>
            </w:r>
          </w:p>
        </w:tc>
        <w:tc>
          <w:tcPr>
            <w:tcW w:w="26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69.35</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(187,052)</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(29,327)</w:t>
            </w:r>
          </w:p>
        </w:tc>
        <w:tc>
          <w:tcPr>
            <w:tcW w:w="26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2015</w:t>
            </w:r>
          </w:p>
        </w:tc>
        <w:tc>
          <w:tcPr>
            <w:tcW w:w="15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237,377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7"/>
        </w:trPr>
        <w:tc>
          <w:tcPr>
            <w:tcW w:w="83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The grant date fair value per share of the RSUs is calculated as the closing market price of LendingTree's common stock at the time of the grant.</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fair value of RSUs that vested during the years ended December 31, 2015, 2014 and 2013 was $11.0 million, $11.0 million and $7.5 million,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53"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nonvested restricted stock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rPr>
              <w:t>Restricted Stock</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99"/>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4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2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8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b w:val="1"/>
                <w:bCs w:val="1"/>
                <w:i w:val="1"/>
                <w:iCs w:val="1"/>
                <w:color w:val="auto"/>
                <w:w w:val="88"/>
              </w:rPr>
              <w:t>(per share)</w:t>
            </w:r>
          </w:p>
        </w:tc>
        <w:tc>
          <w:tcPr>
            <w:tcW w:w="0" w:type="dxa"/>
            <w:vAlign w:val="bottom"/>
          </w:tcPr>
          <w:p>
            <w:pPr>
              <w:spacing w:after="0"/>
              <w:rPr>
                <w:sz w:val="1"/>
                <w:szCs w:val="1"/>
                <w:color w:val="auto"/>
              </w:rPr>
            </w:pPr>
          </w:p>
        </w:tc>
      </w:tr>
      <w:tr>
        <w:trPr>
          <w:trHeight w:val="80"/>
        </w:trPr>
        <w:tc>
          <w:tcPr>
            <w:tcW w:w="83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2014</w:t>
            </w:r>
          </w:p>
        </w:tc>
        <w:tc>
          <w:tcPr>
            <w:tcW w:w="15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123,057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(a)</w:t>
            </w:r>
          </w:p>
        </w:tc>
        <w:tc>
          <w:tcPr>
            <w:tcW w:w="15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(54,295)</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2015</w:t>
            </w:r>
          </w:p>
        </w:tc>
        <w:tc>
          <w:tcPr>
            <w:tcW w:w="15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68,762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7"/>
        </w:trPr>
        <w:tc>
          <w:tcPr>
            <w:tcW w:w="83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grant date fair value per share of the restricted stock is calculated as the closing market price of LendingTree's common stock at the time of grant.</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total fair value of restricted stock that vested during the years ended December 31, 2015, 2014 and 2013 was $4.1 million, $1.5 million and $3.2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components of the income tax benefit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80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expense (benefit):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5,847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1,149</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7"/>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Current income tax expense (benefit)</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6,996</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(590)</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(517)</w:t>
            </w:r>
          </w:p>
        </w:tc>
      </w:tr>
      <w:tr>
        <w:trPr>
          <w:trHeight w:val="27"/>
        </w:trPr>
        <w:tc>
          <w:tcPr>
            <w:tcW w:w="8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 provision: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(19,676)</w:t>
            </w:r>
          </w:p>
        </w:tc>
        <w:tc>
          <w:tcPr>
            <w:tcW w:w="30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63</w:t>
            </w: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(10,293)</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37"/>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Deferred income tax (benefit) provision</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(29,969)</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106</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64</w:t>
            </w:r>
          </w:p>
        </w:tc>
      </w:tr>
      <w:tr>
        <w:trPr>
          <w:trHeight w:val="27"/>
        </w:trPr>
        <w:tc>
          <w:tcPr>
            <w:tcW w:w="8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benefit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(22,973)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w:t>
            </w:r>
          </w:p>
        </w:tc>
      </w:tr>
      <w:tr>
        <w:trPr>
          <w:trHeight w:val="27"/>
        </w:trPr>
        <w:tc>
          <w:tcPr>
            <w:tcW w:w="80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 reconciliation of the income tax benefit to the amounts computed by applying the statutory federal income tax rate to income (loss) from continuing operations before income taxes is shown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at the federal statutory rate of 35%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9,920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State income taxes, net of effect of federal tax benefit</w:t>
            </w:r>
          </w:p>
        </w:tc>
        <w:tc>
          <w:tcPr>
            <w:tcW w:w="24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1,480</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non-cash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351</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Release of valuation allowance</w:t>
            </w:r>
          </w:p>
        </w:tc>
        <w:tc>
          <w:tcPr>
            <w:tcW w:w="2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(34,409)</w:t>
            </w:r>
          </w:p>
        </w:tc>
        <w:tc>
          <w:tcPr>
            <w:tcW w:w="300" w:type="dxa"/>
            <w:vAlign w:val="bottom"/>
          </w:tcPr>
          <w:p>
            <w:pPr>
              <w:spacing w:after="0"/>
              <w:rPr>
                <w:sz w:val="21"/>
                <w:szCs w:val="21"/>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3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tax benefit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(22,973)</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(484)</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(453)</w:t>
            </w:r>
          </w:p>
        </w:tc>
      </w:tr>
      <w:tr>
        <w:trPr>
          <w:trHeight w:val="34"/>
        </w:trPr>
        <w:tc>
          <w:tcPr>
            <w:tcW w:w="8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553" w:right="2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The tax effects of cumulative temporary differences that give rise to significant portions of the deferred tax assets and deferred tax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Provision for accrued expenses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7,247</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7,265</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Net operating loss carryforwards </w:t>
            </w:r>
            <w:r>
              <w:rPr>
                <w:rFonts w:ascii="Arial" w:cs="Arial" w:eastAsia="Arial" w:hAnsi="Arial"/>
                <w:sz w:val="25"/>
                <w:szCs w:val="25"/>
                <w:color w:val="auto"/>
                <w:vertAlign w:val="superscript"/>
              </w:rPr>
              <w:t>(a)</w:t>
            </w:r>
          </w:p>
        </w:tc>
        <w:tc>
          <w:tcPr>
            <w:tcW w:w="9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87"/>
              </w:rPr>
              <w:t>15,036</w:t>
            </w:r>
          </w:p>
        </w:tc>
        <w:tc>
          <w:tcPr>
            <w:tcW w:w="5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23,370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Non-cash compensation expense</w:t>
            </w:r>
          </w:p>
        </w:tc>
        <w:tc>
          <w:tcPr>
            <w:tcW w:w="900" w:type="dxa"/>
            <w:vAlign w:val="bottom"/>
          </w:tcPr>
          <w:p>
            <w:pPr>
              <w:spacing w:after="0"/>
              <w:rPr>
                <w:sz w:val="21"/>
                <w:szCs w:val="21"/>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4,321</w:t>
            </w:r>
          </w:p>
        </w:tc>
        <w:tc>
          <w:tcPr>
            <w:tcW w:w="5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3,010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1,825</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1,544</w:t>
            </w:r>
          </w:p>
        </w:tc>
        <w:tc>
          <w:tcPr>
            <w:tcW w:w="5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1,296</w:t>
            </w:r>
          </w:p>
        </w:tc>
      </w:tr>
      <w:tr>
        <w:trPr>
          <w:trHeight w:val="27"/>
        </w:trPr>
        <w:tc>
          <w:tcPr>
            <w:tcW w:w="8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deferred tax assets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7"/>
              </w:rPr>
              <w:t>29,973</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36,766</w:t>
            </w:r>
          </w:p>
        </w:tc>
      </w:tr>
      <w:tr>
        <w:trPr>
          <w:trHeight w:val="270"/>
        </w:trPr>
        <w:tc>
          <w:tcPr>
            <w:tcW w:w="834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Less: valuation allowance </w:t>
            </w:r>
            <w:r>
              <w:rPr>
                <w:rFonts w:ascii="Arial" w:cs="Arial" w:eastAsia="Arial" w:hAnsi="Arial"/>
                <w:sz w:val="25"/>
                <w:szCs w:val="25"/>
                <w:color w:val="auto"/>
                <w:vertAlign w:val="superscript"/>
              </w:rPr>
              <w:t>(b)</w:t>
            </w:r>
          </w:p>
        </w:tc>
        <w:tc>
          <w:tcPr>
            <w:tcW w:w="9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(2,341)</w:t>
            </w: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(40,121)</w:t>
            </w: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deferred tax assets, net of the valuation allowance</w:t>
            </w:r>
          </w:p>
        </w:tc>
        <w:tc>
          <w:tcPr>
            <w:tcW w:w="9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87"/>
              </w:rPr>
              <w:t>27,632</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(3,355)</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Deferred tax liabilities:</w:t>
            </w:r>
          </w:p>
        </w:tc>
        <w:tc>
          <w:tcPr>
            <w:tcW w:w="9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and other assets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(2,060)</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7"/>
        </w:trPr>
        <w:tc>
          <w:tcPr>
            <w:tcW w:w="8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gross deferred tax liabilities</w:t>
            </w:r>
          </w:p>
        </w:tc>
        <w:tc>
          <w:tcPr>
            <w:tcW w:w="9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(2,513)</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(1,495)</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deferred taxes</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87"/>
              </w:rPr>
              <w:t>25,119</w:t>
            </w:r>
          </w:p>
        </w:tc>
        <w:tc>
          <w:tcPr>
            <w:tcW w:w="5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(4,850)</w:t>
            </w:r>
          </w:p>
        </w:tc>
      </w:tr>
      <w:tr>
        <w:trPr>
          <w:trHeight w:val="34"/>
        </w:trPr>
        <w:tc>
          <w:tcPr>
            <w:tcW w:w="8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left="660" w:hanging="328"/>
        <w:spacing w:after="0" w:line="272"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At December 31, 2015, the Company had pre-tax consolidated federal net operating losses ("NOLs") of $32.2 million. The federal NOLs will expire between 2030 and 2034. The Company's NOLs will be available to offset taxable income (until such NOLs are either used or expire) subject to the Internal Revenue Code Section 382 annual limitation. The amount of tax deductions in excess of previously recorded windfall tax benefits associated with non-cash compensation included in federal net operating loss carryforwards but not reflected in deferred tax assets for the year ended December 31, 2015 was $8.2 million. Upon realization of the federal net operating losses, the Company will recognize a windfall tax benefit as an increase to additional paid-in capital. In addition, the Company has state NOLs of approximately $287.3 million at December 31, 2015 that will expire at various times between 2015 and 2034.</w:t>
      </w:r>
    </w:p>
    <w:p>
      <w:pPr>
        <w:spacing w:after="0" w:line="123"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valuation allowance is related to items for which it is </w:t>
      </w:r>
      <w:r>
        <w:rPr>
          <w:rFonts w:ascii="Arial" w:cs="Arial" w:eastAsia="Arial" w:hAnsi="Arial"/>
          <w:sz w:val="18"/>
          <w:szCs w:val="18"/>
          <w:i w:val="1"/>
          <w:iCs w:val="1"/>
          <w:color w:val="auto"/>
        </w:rPr>
        <w:t>"more likely than not"</w:t>
      </w:r>
      <w:r>
        <w:rPr>
          <w:rFonts w:ascii="Arial" w:cs="Arial" w:eastAsia="Arial" w:hAnsi="Arial"/>
          <w:sz w:val="18"/>
          <w:szCs w:val="18"/>
          <w:color w:val="auto"/>
        </w:rPr>
        <w:t xml:space="preserve"> that the tax benefit will not be realized.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Deferred income taxes are presented in the accompanying consolidated balance sheets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7"/>
              </w:rPr>
              <w:t>20,977</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90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4,142</w:t>
            </w:r>
          </w:p>
        </w:tc>
        <w:tc>
          <w:tcPr>
            <w:tcW w:w="5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90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(4,738)</w:t>
            </w:r>
          </w:p>
        </w:tc>
      </w:tr>
      <w:tr>
        <w:trPr>
          <w:trHeight w:val="27"/>
        </w:trPr>
        <w:tc>
          <w:tcPr>
            <w:tcW w:w="8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87"/>
              </w:rPr>
              <w:t>25,119</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(4,850)</w:t>
            </w:r>
          </w:p>
        </w:tc>
      </w:tr>
      <w:tr>
        <w:trPr>
          <w:trHeight w:val="27"/>
        </w:trPr>
        <w:tc>
          <w:tcPr>
            <w:tcW w:w="83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Valuation Allowance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A valuation allowance is provided on deferred tax assets if it is determined that it is </w:t>
      </w:r>
      <w:r>
        <w:rPr>
          <w:rFonts w:ascii="Arial" w:cs="Arial" w:eastAsia="Arial" w:hAnsi="Arial"/>
          <w:sz w:val="16"/>
          <w:szCs w:val="16"/>
          <w:i w:val="1"/>
          <w:iCs w:val="1"/>
          <w:color w:val="auto"/>
        </w:rPr>
        <w:t>"more likely than not"</w:t>
      </w:r>
      <w:r>
        <w:rPr>
          <w:rFonts w:ascii="Arial" w:cs="Arial" w:eastAsia="Arial" w:hAnsi="Arial"/>
          <w:sz w:val="16"/>
          <w:szCs w:val="16"/>
          <w:color w:val="auto"/>
        </w:rPr>
        <w:t xml:space="preserve"> that the deferred tax asset will not be realized.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each reporting date, management considers both positive and negative evidence regarding the likelihood of future realization of the deferred tax assets.</w:t>
      </w:r>
    </w:p>
    <w:p>
      <w:pPr>
        <w:spacing w:after="0" w:line="1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fourth quarter of 2015 the Company concluded, based upon all available evidence, it was more likely than not it would have sufficient future taxable income to realize the majority of its net deferred tax assets. As a result, the Company released the majority of the valuation allowance in 2015. The Company significantly improved its operating performance in 2015, emerged from cumulative losses in recent years due to a cumulative profit position and projects taxable income in future years. While the</w:t>
      </w:r>
    </w:p>
    <w:p>
      <w:pPr>
        <w:sectPr>
          <w:pgSz w:w="11900" w:h="16838" w:orient="portrait"/>
          <w:cols w:equalWidth="0" w:num="1">
            <w:col w:w="11420"/>
          </w:cols>
          <w:pgMar w:left="240" w:top="553"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553" w:right="2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Company believes the assumptions included in its projections of future taxable income are reasonable, if the actual results vary from expected results due to unforeseen changes in the economy or mortgage industry, or other factors, the Company may need to make future adjustments to the valuation allowance for all, or a portion, of the net deferred tax assets. At December 31, 2015, the Company recorded a partial valuation allowance of $2.3 million primarily related to state net operating losses, which the Company does not expect to be able to utilize prior to expiration. At December 31, 2014, the Company had recorded a full valuation allowance of $40.1 million against its deferred tax assets.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deferred tax valuation allowance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1"/>
              </w:rPr>
              <w:t>Year Ended December 31,</w:t>
            </w:r>
          </w:p>
        </w:tc>
        <w:tc>
          <w:tcPr>
            <w:tcW w:w="84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40,121</w:t>
            </w:r>
          </w:p>
        </w:tc>
        <w:tc>
          <w:tcPr>
            <w:tcW w:w="4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49,674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54,961</w:t>
            </w:r>
          </w:p>
        </w:tc>
      </w:tr>
      <w:tr>
        <w:trPr>
          <w:trHeight w:val="270"/>
        </w:trPr>
        <w:tc>
          <w:tcPr>
            <w:tcW w:w="7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Charges to earnings </w:t>
            </w:r>
            <w:r>
              <w:rPr>
                <w:rFonts w:ascii="Arial" w:cs="Arial" w:eastAsia="Arial" w:hAnsi="Arial"/>
                <w:sz w:val="25"/>
                <w:szCs w:val="25"/>
                <w:color w:val="auto"/>
                <w:vertAlign w:val="superscript"/>
              </w:rPr>
              <w:t>(a)</w:t>
            </w:r>
          </w:p>
        </w:tc>
        <w:tc>
          <w:tcPr>
            <w:tcW w:w="240" w:type="dxa"/>
            <w:vAlign w:val="bottom"/>
          </w:tcPr>
          <w:p>
            <w:pPr>
              <w:spacing w:after="0"/>
              <w:rPr>
                <w:sz w:val="23"/>
                <w:szCs w:val="23"/>
                <w:color w:val="auto"/>
              </w:rPr>
            </w:pPr>
          </w:p>
        </w:tc>
        <w:tc>
          <w:tcPr>
            <w:tcW w:w="1180" w:type="dxa"/>
            <w:vAlign w:val="bottom"/>
            <w:gridSpan w:val="2"/>
          </w:tcPr>
          <w:p>
            <w:pPr>
              <w:jc w:val="right"/>
              <w:ind w:right="356"/>
              <w:spacing w:after="0"/>
              <w:rPr>
                <w:sz w:val="20"/>
                <w:szCs w:val="20"/>
                <w:color w:val="auto"/>
              </w:rPr>
            </w:pPr>
            <w:r>
              <w:rPr>
                <w:rFonts w:ascii="Arial" w:cs="Arial" w:eastAsia="Arial" w:hAnsi="Arial"/>
                <w:sz w:val="18"/>
                <w:szCs w:val="18"/>
                <w:color w:val="auto"/>
              </w:rPr>
              <w:t>(37,780)</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(3,707)</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(5,287)</w:t>
            </w:r>
          </w:p>
        </w:tc>
      </w:tr>
      <w:tr>
        <w:trPr>
          <w:trHeight w:val="270"/>
        </w:trPr>
        <w:tc>
          <w:tcPr>
            <w:tcW w:w="790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Out of period adjustment </w:t>
            </w:r>
            <w:r>
              <w:rPr>
                <w:rFonts w:ascii="Arial" w:cs="Arial" w:eastAsia="Arial" w:hAnsi="Arial"/>
                <w:sz w:val="25"/>
                <w:szCs w:val="25"/>
                <w:color w:val="auto"/>
                <w:vertAlign w:val="superscript"/>
              </w:rPr>
              <w:t>(b)</w:t>
            </w: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(5,846)</w:t>
            </w:r>
          </w:p>
        </w:tc>
        <w:tc>
          <w:tcPr>
            <w:tcW w:w="3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Balance, end of the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2,341</w:t>
            </w:r>
          </w:p>
        </w:tc>
        <w:tc>
          <w:tcPr>
            <w:tcW w:w="460" w:type="dxa"/>
            <w:vAlign w:val="bottom"/>
          </w:tcPr>
          <w:p>
            <w:pPr>
              <w:jc w:val="right"/>
              <w:ind w:right="76"/>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74"/>
              <w:spacing w:after="0"/>
              <w:rPr>
                <w:sz w:val="20"/>
                <w:szCs w:val="20"/>
                <w:color w:val="auto"/>
              </w:rPr>
            </w:pPr>
            <w:r>
              <w:rPr>
                <w:rFonts w:ascii="Arial" w:cs="Arial" w:eastAsia="Arial" w:hAnsi="Arial"/>
                <w:sz w:val="18"/>
                <w:szCs w:val="18"/>
                <w:b w:val="1"/>
                <w:bCs w:val="1"/>
                <w:color w:val="auto"/>
              </w:rPr>
              <w:t>40,121</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b w:val="1"/>
                <w:bCs w:val="1"/>
                <w:color w:val="auto"/>
              </w:rPr>
              <w:t>49,674</w:t>
            </w:r>
          </w:p>
        </w:tc>
      </w:tr>
      <w:tr>
        <w:trPr>
          <w:trHeight w:val="34"/>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660" w:hanging="328"/>
        <w:spacing w:after="0" w:line="264" w:lineRule="auto"/>
        <w:tabs>
          <w:tab w:leader="none" w:pos="5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2015, the amount is primarily related to the Company's release of the valuation allowance, current year utilization of net operating loss carryforwards, the write-off of certain state net operating losses that expire in 2015 and state net operating losses not expected to be utilized in future years due to changes in ownership limitations.</w:t>
      </w:r>
    </w:p>
    <w:p>
      <w:pPr>
        <w:spacing w:after="0" w:line="127" w:lineRule="exact"/>
        <w:rPr>
          <w:rFonts w:ascii="Arial" w:cs="Arial" w:eastAsia="Arial" w:hAnsi="Arial"/>
          <w:sz w:val="18"/>
          <w:szCs w:val="18"/>
          <w:color w:val="auto"/>
        </w:rPr>
      </w:pPr>
    </w:p>
    <w:p>
      <w:pPr>
        <w:ind w:left="660" w:hanging="328"/>
        <w:spacing w:after="0" w:line="308" w:lineRule="auto"/>
        <w:tabs>
          <w:tab w:leader="none" w:pos="591"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Out of period adjustment in the valuation allowance is offset by an out of period adjustment to the deferred tax assets, thus the adjustment is limited to disclosure. The error related primarily to the calculation of the federal benefit of the state operating loss carryforwards.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A reconciliation of the beginning and ending amounts of unrecognized tax benefits, excluding interest and penalties,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beginning of the period</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106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based on tax positions of prior years</w:t>
            </w:r>
          </w:p>
        </w:tc>
        <w:tc>
          <w:tcPr>
            <w:tcW w:w="1060" w:type="dxa"/>
            <w:vAlign w:val="bottom"/>
          </w:tcPr>
          <w:p>
            <w:pPr>
              <w:spacing w:after="0"/>
              <w:rPr>
                <w:sz w:val="21"/>
                <w:szCs w:val="21"/>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statute of limitations</w:t>
            </w:r>
          </w:p>
        </w:tc>
        <w:tc>
          <w:tcPr>
            <w:tcW w:w="10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end of the period</w:t>
            </w: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w:t>
            </w:r>
          </w:p>
        </w:tc>
        <w:tc>
          <w:tcPr>
            <w:tcW w:w="106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w:t>
            </w:r>
          </w:p>
        </w:tc>
      </w:tr>
      <w:tr>
        <w:trPr>
          <w:trHeight w:val="34"/>
        </w:trPr>
        <w:tc>
          <w:tcPr>
            <w:tcW w:w="8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and, if applicable, penalties are recognized related to unrecognized tax benefits in income tax expense. For the year ended December 31, 2015, the Company incurred interest and penalties on unrecognized tax benefits of $131,000 which was included in income tax expense. Interest and penalties on unrecognized tax benefits included in income tax expense for each of the years ended December 31, 2014 and 2013 are immaterial. As of December 31, 2015 and 2014, the accrual for interest and penalties was $138,000 and $8,000, respectively.</w:t>
      </w:r>
    </w:p>
    <w:p>
      <w:pPr>
        <w:spacing w:after="0" w:line="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2015 and 2014, the accrual for unrecognized tax benefits, including interest, was $152,000 and $25,000, respectively, none of which would benefit the effective tax rate if recognized.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Audits</w:t>
      </w:r>
    </w:p>
    <w:p>
      <w:pPr>
        <w:spacing w:after="0" w:line="14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LendingTree is subject to audits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any amounts paid upon resolution of issues raised may differ from the amount provided. Differences between the reserves for tax contingencies and the amounts owed by the Company are recorded in the period they become known. As of December 31, 2015, the Company is subject to a federal income tax examination for the tax years 2012 through 2014. In addition, the Company is subject to state and local tax examinations for the tax years 2012 through 2014.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53"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10—REVOLVING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22, 2015, the Company's wholly-owned subsidiary, LendingTree, LLC, entered into a $125.0 million five-year senior secured revolving credit facility which matures on October 22, 2020 (the “Revolving Credit Facility”). The proceeds of the Revolving Credit Facility can be used to finance working capital needs, capital expenditures and general corporate purposes, including to finance permitted acquisitions. As of December 31, 2015, the Company does not have any borrowings outstanding under the Revolving Credit Facility.</w:t>
      </w:r>
    </w:p>
    <w:p>
      <w:pPr>
        <w:spacing w:after="0" w:line="13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Up to $10.0 million of the Revolving Credit Facility will be available for short-term loans, referred to as swingline loans. Additionally, up to $10.0 million of the Revolving Credit Facility will be available for the issuance of letters of credit. Under certain conditions, the Company will be permitted to add one or more term loans and/or increase revolving commitments under the Revolving Credit Facility up to an aggregate amount of $50.0 million.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borrowings under the Revolving Credit Facility bear interest at annual rates that, at the Company’s option, will be either:</w:t>
      </w:r>
    </w:p>
    <w:p>
      <w:pPr>
        <w:spacing w:after="0" w:line="171" w:lineRule="exact"/>
        <w:rPr>
          <w:sz w:val="20"/>
          <w:szCs w:val="20"/>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SunTrust Bank, (b) the federal funds effective rate plus 0.5% and (c) the LIBO rate (defined below) on a daily basis applicable for an interest period of one month plus 1.0% and (ii) an applicable percentage of 1.0% to 2.0% based on the funded debt to consolidated EBITDA ratio; or</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in the applicable currency and (ii) an applicable percentage of 2.0% to 3.0% based on the funded debt to consolidated EBITDA ratio.</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Revolving Credit Facility contains certain restrictive financial covenants, which include a funded debt to consolidated EBITDA ratio and a consolidated EBITDA to interest expense ratio. In addition, the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 The Company was in compliance with all covenants at December 31, 2015.</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Revolving Credit Facility requires LendingTree, LLC to pledge as collateral, subject to certain customary exclusions, 100% of its assets, including 100% of its equity in all of its subsidiaries. The obligations under this facility are unconditionally guaranteed on a senior basis by LendingTree, Inc. and specific subsidiaries of LendingTree, LLC, which guaranties are secured by a pledge as collateral, subject to certain customary exclusions, of 100% of each of such guarantor's assets, including 100% of its equity in all of its subsidiaries.</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is required to pay an unused commitment fee quarterly in arrears on the difference between committed amounts and amounts actually borrowed under the Revolving Credit Facility equal to an applicable percentage of 0.25% to 0.5% per annum based on a funded debt to consolidated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2.0% to 3.0% based on the funded debt to consolidated EBITDA ratio. The letter of credit fronting fee is 0.125% per annum on the face amount of each letter of credit.</w:t>
      </w:r>
    </w:p>
    <w:p>
      <w:pPr>
        <w:spacing w:after="0" w:line="1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incurred debt issuance costs of $1.2 million for the Revolving Credit Facility, which is included in prepaid and other current assets and other non-current assets in the Company's consolidated balance sheet and is being amortized to interest expense over the life of the Revolving Credit Facility of five years.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53"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leases office space used in connection with its operations under various operating leases, which contain escalation clauses. The Company's operating leases relate to its office space in Charlotte, North Carolina and Burlingame, California.</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Future minimum payments as of December 31, 2015 under operating lease agreements having an initial or remaining non-cancelable lease term in excess of one year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2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4320" w:type="dxa"/>
            <w:vAlign w:val="bottom"/>
          </w:tcPr>
          <w:p>
            <w:pPr>
              <w:spacing w:after="0"/>
              <w:rPr>
                <w:sz w:val="18"/>
                <w:szCs w:val="18"/>
                <w:color w:val="auto"/>
              </w:rPr>
            </w:pPr>
          </w:p>
        </w:tc>
        <w:tc>
          <w:tcPr>
            <w:tcW w:w="1180" w:type="dxa"/>
            <w:vAlign w:val="bottom"/>
          </w:tcPr>
          <w:p>
            <w:pPr>
              <w:jc w:val="right"/>
              <w:ind w:right="371"/>
              <w:spacing w:after="0"/>
              <w:rPr>
                <w:sz w:val="20"/>
                <w:szCs w:val="20"/>
                <w:color w:val="auto"/>
              </w:rPr>
            </w:pPr>
            <w:r>
              <w:rPr>
                <w:rFonts w:ascii="Arial" w:cs="Arial" w:eastAsia="Arial" w:hAnsi="Arial"/>
                <w:sz w:val="16"/>
                <w:szCs w:val="16"/>
                <w:b w:val="1"/>
                <w:bCs w:val="1"/>
                <w:color w:val="auto"/>
              </w:rPr>
              <w:t>Amount</w:t>
            </w:r>
          </w:p>
        </w:tc>
      </w:tr>
      <w:tr>
        <w:trPr>
          <w:trHeight w:val="33"/>
        </w:trPr>
        <w:tc>
          <w:tcPr>
            <w:tcW w:w="59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jc w:val="right"/>
              <w:ind w:right="5291"/>
              <w:spacing w:after="0"/>
              <w:rPr>
                <w:sz w:val="20"/>
                <w:szCs w:val="20"/>
                <w:color w:val="auto"/>
              </w:rPr>
            </w:pPr>
            <w:r>
              <w:rPr>
                <w:rFonts w:ascii="Arial" w:cs="Arial" w:eastAsia="Arial" w:hAnsi="Arial"/>
                <w:sz w:val="18"/>
                <w:szCs w:val="18"/>
                <w:color w:val="auto"/>
              </w:rPr>
              <w:t>2016</w:t>
            </w:r>
          </w:p>
        </w:tc>
        <w:tc>
          <w:tcPr>
            <w:tcW w:w="4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w:t>
            </w:r>
          </w:p>
        </w:tc>
      </w:tr>
      <w:tr>
        <w:trPr>
          <w:trHeight w:val="243"/>
        </w:trPr>
        <w:tc>
          <w:tcPr>
            <w:tcW w:w="5920" w:type="dxa"/>
            <w:vAlign w:val="bottom"/>
          </w:tcPr>
          <w:p>
            <w:pPr>
              <w:jc w:val="right"/>
              <w:ind w:right="5291"/>
              <w:spacing w:after="0"/>
              <w:rPr>
                <w:sz w:val="20"/>
                <w:szCs w:val="20"/>
                <w:color w:val="auto"/>
              </w:rPr>
            </w:pPr>
            <w:r>
              <w:rPr>
                <w:rFonts w:ascii="Arial" w:cs="Arial" w:eastAsia="Arial" w:hAnsi="Arial"/>
                <w:sz w:val="18"/>
                <w:szCs w:val="18"/>
                <w:color w:val="auto"/>
              </w:rPr>
              <w:t>2017</w:t>
            </w:r>
          </w:p>
        </w:tc>
        <w:tc>
          <w:tcPr>
            <w:tcW w:w="4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1,374</w:t>
            </w:r>
          </w:p>
        </w:tc>
      </w:tr>
      <w:tr>
        <w:trPr>
          <w:trHeight w:val="27"/>
        </w:trPr>
        <w:tc>
          <w:tcPr>
            <w:tcW w:w="59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jc w:val="right"/>
              <w:ind w:right="5291"/>
              <w:spacing w:after="0"/>
              <w:rPr>
                <w:sz w:val="20"/>
                <w:szCs w:val="20"/>
                <w:color w:val="auto"/>
              </w:rPr>
            </w:pPr>
            <w:r>
              <w:rPr>
                <w:rFonts w:ascii="Arial" w:cs="Arial" w:eastAsia="Arial" w:hAnsi="Arial"/>
                <w:sz w:val="18"/>
                <w:szCs w:val="18"/>
                <w:color w:val="auto"/>
              </w:rPr>
              <w:t>2018</w:t>
            </w:r>
          </w:p>
        </w:tc>
        <w:tc>
          <w:tcPr>
            <w:tcW w:w="4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w:t>
            </w:r>
          </w:p>
        </w:tc>
      </w:tr>
      <w:tr>
        <w:trPr>
          <w:trHeight w:val="243"/>
        </w:trPr>
        <w:tc>
          <w:tcPr>
            <w:tcW w:w="5920" w:type="dxa"/>
            <w:vAlign w:val="bottom"/>
          </w:tcPr>
          <w:p>
            <w:pPr>
              <w:jc w:val="right"/>
              <w:ind w:right="5291"/>
              <w:spacing w:after="0"/>
              <w:rPr>
                <w:sz w:val="20"/>
                <w:szCs w:val="20"/>
                <w:color w:val="auto"/>
              </w:rPr>
            </w:pPr>
            <w:r>
              <w:rPr>
                <w:rFonts w:ascii="Arial" w:cs="Arial" w:eastAsia="Arial" w:hAnsi="Arial"/>
                <w:sz w:val="18"/>
                <w:szCs w:val="18"/>
                <w:color w:val="auto"/>
              </w:rPr>
              <w:t>2019</w:t>
            </w:r>
          </w:p>
        </w:tc>
        <w:tc>
          <w:tcPr>
            <w:tcW w:w="4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1,025</w:t>
            </w:r>
          </w:p>
        </w:tc>
      </w:tr>
      <w:tr>
        <w:trPr>
          <w:trHeight w:val="27"/>
        </w:trPr>
        <w:tc>
          <w:tcPr>
            <w:tcW w:w="59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5920" w:type="dxa"/>
            <w:vAlign w:val="bottom"/>
            <w:tcBorders>
              <w:bottom w:val="single" w:sz="8" w:color="CCEEFF"/>
            </w:tcBorders>
            <w:shd w:val="clear" w:color="auto" w:fill="CCEEFF"/>
          </w:tcPr>
          <w:p>
            <w:pPr>
              <w:jc w:val="right"/>
              <w:ind w:right="5291"/>
              <w:spacing w:after="0"/>
              <w:rPr>
                <w:sz w:val="20"/>
                <w:szCs w:val="20"/>
                <w:color w:val="auto"/>
              </w:rPr>
            </w:pPr>
            <w:r>
              <w:rPr>
                <w:rFonts w:ascii="Arial" w:cs="Arial" w:eastAsia="Arial" w:hAnsi="Arial"/>
                <w:sz w:val="18"/>
                <w:szCs w:val="18"/>
                <w:color w:val="auto"/>
              </w:rPr>
              <w:t>2020</w:t>
            </w:r>
          </w:p>
        </w:tc>
        <w:tc>
          <w:tcPr>
            <w:tcW w:w="4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w:t>
            </w:r>
          </w:p>
        </w:tc>
      </w:tr>
      <w:tr>
        <w:trPr>
          <w:trHeight w:val="237"/>
        </w:trPr>
        <w:tc>
          <w:tcPr>
            <w:tcW w:w="59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4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6,224</w:t>
            </w:r>
          </w:p>
        </w:tc>
      </w:tr>
      <w:tr>
        <w:trPr>
          <w:trHeight w:val="34"/>
        </w:trPr>
        <w:tc>
          <w:tcPr>
            <w:tcW w:w="59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Rental expense for all operating leases, except those with terms of a month or less that were not renewed, charged to continuing operations was $1.2 million, $1.1 million and $1.3 million, net of $0, $0 and $18,000 sublease rental income, for each of the years ended December 31, 2015, 2014 and 2013, respectively, and a majority of which is included in general and administrative expense in the consolidated statements of operations and comprehensive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Company has funding commitments that could potentially require performance in the event of demands by third parties or contingent events,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20" w:type="dxa"/>
            <w:vAlign w:val="bottom"/>
            <w:gridSpan w:val="4"/>
          </w:tcPr>
          <w:p>
            <w:pPr>
              <w:jc w:val="right"/>
              <w:ind w:right="50"/>
              <w:spacing w:after="0"/>
              <w:rPr>
                <w:sz w:val="20"/>
                <w:szCs w:val="20"/>
                <w:color w:val="auto"/>
              </w:rPr>
            </w:pPr>
            <w:r>
              <w:rPr>
                <w:rFonts w:ascii="Arial" w:cs="Arial" w:eastAsia="Arial" w:hAnsi="Arial"/>
                <w:sz w:val="16"/>
                <w:szCs w:val="16"/>
                <w:b w:val="1"/>
                <w:bCs w:val="1"/>
                <w:color w:val="auto"/>
              </w:rPr>
              <w:t>Commitments Due By Period</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3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294"/>
              <w:spacing w:after="0"/>
              <w:rPr>
                <w:sz w:val="20"/>
                <w:szCs w:val="20"/>
                <w:color w:val="auto"/>
              </w:rPr>
            </w:pPr>
            <w:r>
              <w:rPr>
                <w:rFonts w:ascii="Arial" w:cs="Arial" w:eastAsia="Arial" w:hAnsi="Arial"/>
                <w:sz w:val="16"/>
                <w:szCs w:val="16"/>
                <w:b w:val="1"/>
                <w:bCs w:val="1"/>
                <w:color w:val="auto"/>
              </w:rPr>
              <w:t>Less Than</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center"/>
              <w:ind w:right="174"/>
              <w:spacing w:after="0"/>
              <w:rPr>
                <w:sz w:val="20"/>
                <w:szCs w:val="20"/>
                <w:color w:val="auto"/>
              </w:rPr>
            </w:pPr>
            <w:r>
              <w:rPr>
                <w:rFonts w:ascii="Arial" w:cs="Arial" w:eastAsia="Arial" w:hAnsi="Arial"/>
                <w:sz w:val="16"/>
                <w:szCs w:val="16"/>
                <w:b w:val="1"/>
                <w:bCs w:val="1"/>
                <w:color w:val="auto"/>
                <w:w w:val="96"/>
              </w:rPr>
              <w:t>More Than</w:t>
            </w:r>
          </w:p>
        </w:tc>
      </w:tr>
      <w:tr>
        <w:trPr>
          <w:trHeight w:val="210"/>
        </w:trPr>
        <w:tc>
          <w:tcPr>
            <w:tcW w:w="3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434"/>
              <w:spacing w:after="0"/>
              <w:rPr>
                <w:sz w:val="20"/>
                <w:szCs w:val="20"/>
                <w:color w:val="auto"/>
              </w:rPr>
            </w:pPr>
            <w:r>
              <w:rPr>
                <w:rFonts w:ascii="Arial" w:cs="Arial" w:eastAsia="Arial" w:hAnsi="Arial"/>
                <w:sz w:val="16"/>
                <w:szCs w:val="16"/>
                <w:b w:val="1"/>
                <w:bCs w:val="1"/>
                <w:color w:val="auto"/>
              </w:rPr>
              <w:t>1 year</w:t>
            </w:r>
          </w:p>
        </w:tc>
        <w:tc>
          <w:tcPr>
            <w:tcW w:w="38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Arial" w:cs="Arial" w:eastAsia="Arial" w:hAnsi="Arial"/>
                <w:sz w:val="16"/>
                <w:szCs w:val="16"/>
                <w:b w:val="1"/>
                <w:bCs w:val="1"/>
                <w:color w:val="auto"/>
              </w:rPr>
              <w:t>1-3 years</w:t>
            </w:r>
          </w:p>
        </w:tc>
        <w:tc>
          <w:tcPr>
            <w:tcW w:w="40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3-5 years</w:t>
            </w:r>
          </w:p>
        </w:tc>
        <w:tc>
          <w:tcPr>
            <w:tcW w:w="340" w:type="dxa"/>
            <w:vAlign w:val="bottom"/>
          </w:tcPr>
          <w:p>
            <w:pPr>
              <w:spacing w:after="0"/>
              <w:rPr>
                <w:sz w:val="18"/>
                <w:szCs w:val="18"/>
                <w:color w:val="auto"/>
              </w:rPr>
            </w:pPr>
          </w:p>
        </w:tc>
        <w:tc>
          <w:tcPr>
            <w:tcW w:w="1240" w:type="dxa"/>
            <w:vAlign w:val="bottom"/>
          </w:tcPr>
          <w:p>
            <w:pPr>
              <w:jc w:val="center"/>
              <w:ind w:right="154"/>
              <w:spacing w:after="0"/>
              <w:rPr>
                <w:sz w:val="20"/>
                <w:szCs w:val="20"/>
                <w:color w:val="auto"/>
              </w:rPr>
            </w:pPr>
            <w:r>
              <w:rPr>
                <w:rFonts w:ascii="Arial" w:cs="Arial" w:eastAsia="Arial" w:hAnsi="Arial"/>
                <w:sz w:val="16"/>
                <w:szCs w:val="16"/>
                <w:b w:val="1"/>
                <w:bCs w:val="1"/>
                <w:color w:val="auto"/>
                <w:w w:val="86"/>
              </w:rPr>
              <w:t>5 years</w:t>
            </w:r>
          </w:p>
        </w:tc>
      </w:tr>
      <w:tr>
        <w:trPr>
          <w:trHeight w:val="33"/>
        </w:trPr>
        <w:tc>
          <w:tcPr>
            <w:tcW w:w="35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5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Surety bonds </w:t>
            </w:r>
            <w:r>
              <w:rPr>
                <w:rFonts w:ascii="Arial" w:cs="Arial" w:eastAsia="Arial" w:hAnsi="Arial"/>
                <w:sz w:val="25"/>
                <w:szCs w:val="25"/>
                <w:color w:val="auto"/>
                <w:vertAlign w:val="superscript"/>
              </w:rPr>
              <w:t>(a)</w:t>
            </w: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7,023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4,583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2,440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Litigation bonds </w:t>
            </w:r>
            <w:r>
              <w:rPr>
                <w:rFonts w:ascii="Arial" w:cs="Arial" w:eastAsia="Arial" w:hAnsi="Arial"/>
                <w:sz w:val="25"/>
                <w:szCs w:val="25"/>
                <w:color w:val="auto"/>
                <w:vertAlign w:val="superscript"/>
              </w:rPr>
              <w:t>(b)</w:t>
            </w:r>
          </w:p>
        </w:tc>
        <w:tc>
          <w:tcPr>
            <w:tcW w:w="9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2,540</w:t>
            </w: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2,540</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9,563</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7,123</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left="340" w:hanging="332"/>
        <w:spacing w:after="0" w:line="259" w:lineRule="auto"/>
        <w:tabs>
          <w:tab w:leader="none" w:pos="27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laws and regulations generally require businesses which engage in mortgage brokering activity to maintain a mortgage broker or similar license. Mortgage brokering activity is generally defined to include, among other things, receiving valuable consideration for offering assistance to a buyer in obtaining a residential mortgage or soliciting financial and mortgage information from the public and providing that information to an originator of residential mortgage loans. All states require that the Company maintain surety bonds for potential claims.</w:t>
      </w:r>
    </w:p>
    <w:p>
      <w:pPr>
        <w:spacing w:after="0" w:line="78"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Bonds required for certain legal matters. In addition, the Company has $3.0 million of litigation bonds for discontinued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business. With respect to the matters disclosed in this Note 12,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2015 and 2014, the Company has a litigation settlement accrual of $0.6 million and $2.8 million, respectively, in continuing operations and $3.6 million and $2.9 million, respectively, in discontinued operations. The litigation</w:t>
      </w:r>
    </w:p>
    <w:p>
      <w:pPr>
        <w:sectPr>
          <w:pgSz w:w="11900" w:h="16838" w:orient="portrait"/>
          <w:cols w:equalWidth="0" w:num="1">
            <w:col w:w="11420"/>
          </w:cols>
          <w:pgMar w:left="240" w:top="553"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553" w:right="2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settlement accrual relates to litigation matters that were either settled or a firm offer for settlement was extended, thereby establishing an accrual amount that is both probable and reasonably estimable.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Matters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 Litigation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Zillow</w:t>
      </w:r>
    </w:p>
    <w:p>
      <w:pPr>
        <w:spacing w:after="0" w:line="11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LendingTree v. Zillow, Inc., et al. Civil Action No. 3:10-cv-439</w:t>
      </w:r>
      <w:r>
        <w:rPr>
          <w:rFonts w:ascii="Arial" w:cs="Arial" w:eastAsia="Arial" w:hAnsi="Arial"/>
          <w:sz w:val="16"/>
          <w:szCs w:val="16"/>
          <w:color w:val="auto"/>
        </w:rPr>
        <w:t>. On September 8, 2010, the Company filed an action for patent infringement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for the Western District of North Carolina against Zillow, Inc., Nextag, Inc., Quinstreet, Inc., Quinstreet Media, Inc. and Adchemy, Inc. The complaint was amended to include Leadpoint, Inc. d/b/a Securerights on September 24, 2010. The complaint alleged that each of the defendants infringe one or both of the Company's patents—U.S. Patent No. 6,385,594, entitled "Method and Computer Network for Co-Ordinating a Loan over the Internet," and U.S. Patent No. 6,611,816, entitled "Method and Computer Network for Co-Ordinating a Loan over the Internet." The defendants in this action asserted various defenses and counterclaims against the Company, including the assertion by certain of the defendants of counterclaims alleging illegal monopolization via the Company's maintenance of the asserted patents. Defendant NexTag asserted defenses of laches and equitable estoppel. In July 2011, the Company reached a settlement agreement with Leadpoint, Inc., pursuant to which all claims against Leadpoint, Inc. and all counterclaims against the Company by Leadpoint, Inc. were dismissed. In November 2012, the Company reached a settlement agreement with Quinstreet, Inc. and Quinstreet Media, Inc. (collectively, the "Quinstreet Parties"), pursuant to which all claims against the Quinstreet Parties and all counterclaims against the Company by the Quinstreet Parties were dismissed. After an unsuccessful attempt to reach settlement through mediation with the remaining parties, this matter went to trial beginning in February 2014, and on March 12, 2014, the jury returned a verdict. The jury found that the defendants Zillow, Inc., Adchemy, Inc., and NexTag, Inc. did not infringe the two patents referenced above and determined that those patents are invalid due to an inventorship defect, and the court found that NexTag was entitled to defenses of laches and equitable estoppel. The jury found in the Company’s favor on the defendants' counterclaims alleging inequitable conduct and antitrust violations. Judgment was entered on March 31, 2014. After the court entered judgment, on May 27, 2014, the Company reached a settlement agreement with defendant Adchemy, Inc., including an agreement to dismiss and withdraw all claims, counterclaims, and motions between the Company and Adchemy, Inc. As a result, a joint and voluntary dismissal was filed June 12, 2014 with respect to claims between the Company and Adchemy. The parties filed various post-trial motions; in particular, defendants collectively sought up to $9.7 million in fees and costs. On October 9, 2014, the court denied the Company's post-trial motion for judgment as a matter of law and denied Zillow's post-trial motions for sanctions and attorneys' fees. The court also denied in part and granted in part NexTag's post-trial motion for attorneys' fees, awarding NexTag a portion of its attorneys' fees and costs totaling $2.3 million, plus interest. The trial and post-trial motion process is now complete.</w:t>
      </w:r>
    </w:p>
    <w:p>
      <w:pPr>
        <w:spacing w:after="0" w:line="7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November 2014, the Company filed a notice of appeal to the U.S. Court of Appeals for the Federal Circuit with respect to the jury verdict concerning Zillow, Inc. and Nextag, Inc. and the award of attorneys' fees. In March 2015, the U.S. Court of Appeals for the Federal Circuit granted the Company's motion to stay appellate briefing pending an </w:t>
      </w:r>
      <w:r>
        <w:rPr>
          <w:rFonts w:ascii="Arial" w:cs="Arial" w:eastAsia="Arial" w:hAnsi="Arial"/>
          <w:sz w:val="17"/>
          <w:szCs w:val="17"/>
          <w:i w:val="1"/>
          <w:iCs w:val="1"/>
          <w:color w:val="auto"/>
        </w:rPr>
        <w:t>en banc</w:t>
      </w:r>
      <w:r>
        <w:rPr>
          <w:rFonts w:ascii="Arial" w:cs="Arial" w:eastAsia="Arial" w:hAnsi="Arial"/>
          <w:sz w:val="17"/>
          <w:szCs w:val="17"/>
          <w:color w:val="auto"/>
        </w:rPr>
        <w:t xml:space="preserve"> review by such court of the laches defense in an unrelated patent infringement matter and ruled in favor of Zillow, Inc. on an immaterial amount of costs related to the trial process. In June 2015, the Company reached a settlement agreement for $1.1 million with defendant NexTag pursuant to which the Company dismissed its appeal of the jury verdict and the award of attorney's fees concerning NexTag, and NexTag dismissed its cross-appeal and claims relating to the jury verdict and the award of attorneys' fees. In July 2015, the stay was lifted on the Company's appeal with respect to the jury verdict concerning Zillow, Inc. As of February 2016, the appeal was fully briefed.</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Next Advisor, Inc.</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Next Advisor, Inc. v. LendingTree, Inc. and LendingTree, LLC, No. 15-cvs-20775 (N.C. Super. Ct.). </w:t>
      </w:r>
      <w:r>
        <w:rPr>
          <w:rFonts w:ascii="Arial" w:cs="Arial" w:eastAsia="Arial" w:hAnsi="Arial"/>
          <w:sz w:val="18"/>
          <w:szCs w:val="18"/>
          <w:color w:val="auto"/>
        </w:rPr>
        <w:t>On November 6, 2015, the plaintiff filed this action</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LendingTree, Inc. and LendingTree, LLC (together “LendingTree”). The plaintiff generally alleges that LendingTree breached a non-disclosure agreement and misappropriated trade secrets in the context of a potential business acquisition of the plaintiff by LendingTree. Based upon these allegations, the plaintiff asserts claims for breach of contract, misappropriation of trade secrets, and violation of the North Carolina Unfair and Deceptive Trade Practices Act. The plaintiff seeks damages, attorneys’ fees and injunctive relief.</w:t>
      </w:r>
    </w:p>
    <w:p>
      <w:pPr>
        <w:spacing w:after="0" w:line="8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December 16, 2015, LendingTree filed its answer to the plaintiff’s complaint, denying the material allegations and asserting numerous defenses thereto. Discovery is ongoing in this matter. LendingTree believes that the plaintiff’s allegations lack merit and intends to vigorously defend this action.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53"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Massachusetts Division of Banks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11, 2011, the Massachusetts Division of Banks (the "Division") delivered a Report of Examination/Inspection to LendingTree, LLC,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 lending regulators. Thirty-four of such state mortgage lending regulators (the "Joining Regulators") indicated that if LendingTree, LLC would enter into the Consent Agreement and Order, they would agree not to pursue any analogous allegations that they otherwise might assert. None of the Joining Regulators have asserted any such allegations.</w:t>
      </w:r>
    </w:p>
    <w:p>
      <w:pPr>
        <w:spacing w:after="0" w:line="85" w:lineRule="exact"/>
        <w:rPr>
          <w:sz w:val="20"/>
          <w:szCs w:val="20"/>
          <w:color w:val="auto"/>
        </w:rPr>
      </w:pPr>
    </w:p>
    <w:p>
      <w:pPr>
        <w:jc w:val="both"/>
        <w:ind w:firstLine="368"/>
        <w:spacing w:after="0" w:line="255" w:lineRule="auto"/>
        <w:rPr>
          <w:sz w:val="20"/>
          <w:szCs w:val="20"/>
          <w:color w:val="auto"/>
        </w:rPr>
      </w:pPr>
      <w:r>
        <w:rPr>
          <w:rFonts w:ascii="Arial" w:cs="Arial" w:eastAsia="Arial" w:hAnsi="Arial"/>
          <w:sz w:val="18"/>
          <w:szCs w:val="18"/>
          <w:color w:val="auto"/>
        </w:rPr>
        <w:t>The proposed Consent Agreement and Order calls for a fine to be allocated among the Division and the Joining Regulators and for LendingTree, LLC to adopt various new procedures and practices. The Company has commenced negotiations toward an acceptable Consent Agreement and Order. It does not believe its mortgage marketplace business violated any federal or state mortgage lending laws; nor does it believe that any past operations of the mortgage business have resulted in a material violation of any such laws. Should the Division or any Joining Regulator bring any actions relating to the matters alleged in the February 2011 Report of Examination/Inspection, the Company intends to defend against such actions vigorously. The range of possible loss is estimated to be between $0.5 million and $6.5 million, and a reserve of $0.5 million has been established for this matter in the accompanying consolidated balance sheet as of December 31, 2015.</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Dijkstra</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 xml:space="preserve">Lijkel Dijkstra v. Harry Carenbauer, Home Loan Center, Inc. et al., No. 5:11-cv-152-JPB (U.S. Dist. Ct., N.D.WV). </w:t>
      </w:r>
      <w:r>
        <w:rPr>
          <w:rFonts w:ascii="Arial" w:cs="Arial" w:eastAsia="Arial" w:hAnsi="Arial"/>
          <w:sz w:val="16"/>
          <w:szCs w:val="16"/>
          <w:color w:val="auto"/>
        </w:rPr>
        <w:t>In November 2008, the plaintiffs</w:t>
      </w:r>
      <w:r>
        <w:rPr>
          <w:rFonts w:ascii="Arial" w:cs="Arial" w:eastAsia="Arial" w:hAnsi="Arial"/>
          <w:sz w:val="16"/>
          <w:szCs w:val="16"/>
          <w:i w:val="1"/>
          <w:iCs w:val="1"/>
          <w:color w:val="auto"/>
        </w:rPr>
        <w:t xml:space="preserve"> </w:t>
      </w:r>
      <w:r>
        <w:rPr>
          <w:rFonts w:ascii="Arial" w:cs="Arial" w:eastAsia="Arial" w:hAnsi="Arial"/>
          <w:sz w:val="16"/>
          <w:szCs w:val="16"/>
          <w:color w:val="auto"/>
        </w:rPr>
        <w:t>filed a putative class action in Circuit Court of Ohio County, West Virginia against Harry Carenbauer, HLC, HLC Escrow, Inc. et al. The complaint alleges that HLC engaged in the unauthorized practice of law in West Virginia by permitting persons who were neither admitted to the practice of law in West Virginia nor under the direct supervision of a lawyer admitted to the practice of law in West Virginia to close mortgage loans. The plaintiffs assert claims for declaratory judgment, contempt, injunctive relief, conversion, unjust enrichment, breach of fiduciary duty, intentional misrepresentation or fraud, negligent misrepresentation, violation of the West Virginia Consumer Credit and Protection Act ("CCPA"), violation of the West Virginia Lender, Broker &amp; Services Act, civil conspiracy, outrage and negligence. The claims against all defendants other than Mr. Carenbauer, HLC and HLC Escrow, Inc. have been dismissed. The case was removed to federal court in October 2011. On January 3, 2013, the court granted a conditional class certification only with respect to the declaratory judgment, contempt, unjust enrichment and CCPA claims. The conditional class included consumers with mortgage loans in effect any time after November 8, 2007 who obtained such loans through HLC, and whose loans were closed by persons not admitted to the practice of law in West Virginia or by persons not under the direct supervision of a lawyer admitted to the practice of law in West Virginia. In February 2014, the court granted and denied certain of each party's motions for summary judgment. With respect to the Class Claims, the court granted plaintiff's motions for summary judgment with respect to declaratory judgment, unjust enrichment and violation of the CCPA. The court granted HLC's motion for summary judgment with respect to contempt. In addition, the court denied HLC's motion to decertify the class. With respect to the claims applicable to the named plaintiff only (the "Individual Claims"), HLC's motions for summary judgment were granted with respect to conversion, breach of fiduciary duty, intentional misrepresentation, negligent misrepresentation and outrage. HLC and the plaintiff settled the remaining Individual Claims in June 2014.</w:t>
      </w:r>
    </w:p>
    <w:p>
      <w:pPr>
        <w:spacing w:after="0" w:line="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July 2014, the court awarded damages to plaintiffs in the amount of $2.8 million (the "Class Damages Award"). HLC filed a notice of appeal in August 2014 and in September 2014, plaintiffs filed a motion to dismiss the appeal. In December 2014, the U.S. Court of Appeals for the Fourth Circuit determined that the district court's order was not yet final, and accordingly, HLC's appeal was dismissed. In July 2015, the district court ordered that the Class Damages Award be allocated such that two-thirds of the Class Damages Award would be paid to the class members and one-third of the Class Damages Award would be paid to the plaintiffs' attorneys. In addition, the court ordered that HLC reimburse the class for attorneys' fees by making an incremental payment of $389,500 attorneys' fee award be paid by HLC to the plaintiffs' attorneys. The judge also awarded prejudgment interest to plaintiffs. On July 30, 2015, the district court judge entered a final judgment order in this matter. On August 27, 2015, HLC filed its notice of appeal to the U.S. Court of Appeals for the Fourth Circuit with respect to the final judgment, the order granting attorneys' fees, and the orders on class damages, the pretrial conference, motions and class certifications. In January 2015, the parties reached a verbal settlement agreement with respect to such matters, subject to agreement of non-monetary terms of settlement, execution of a mutually agreeable written settlement agreement, approval of such settlement by the district court judge 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53"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fulfillment of certain class notice and administration requirements. A reserve of $3.2 million has been established for this matter in the accompanying consolidated balance sheet as of December 31, 2015, of which some or all may be covered by insurance.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Residential Funding Company, LLC v Home Loan Center, Inc., No. 13-cv-3451 (U.S. Dist. Ct., Minn.). </w:t>
      </w:r>
      <w:r>
        <w:rPr>
          <w:rFonts w:ascii="Arial" w:cs="Arial" w:eastAsia="Arial" w:hAnsi="Arial"/>
          <w:sz w:val="18"/>
          <w:szCs w:val="18"/>
          <w:color w:val="auto"/>
        </w:rPr>
        <w:t>On or about December 16, 2013, Home Loan</w:t>
      </w:r>
      <w:r>
        <w:rPr>
          <w:rFonts w:ascii="Arial" w:cs="Arial" w:eastAsia="Arial" w:hAnsi="Arial"/>
          <w:sz w:val="18"/>
          <w:szCs w:val="18"/>
          <w:i w:val="1"/>
          <w:iCs w:val="1"/>
          <w:color w:val="auto"/>
        </w:rPr>
        <w:t xml:space="preserve"> </w:t>
      </w:r>
      <w:r>
        <w:rPr>
          <w:rFonts w:ascii="Arial" w:cs="Arial" w:eastAsia="Arial" w:hAnsi="Arial"/>
          <w:sz w:val="18"/>
          <w:szCs w:val="18"/>
          <w:color w:val="auto"/>
        </w:rPr>
        <w:t>Center, Inc. was served in the above captioned matter. Generally, Residential Funding Company, LLC ("RFC") seeks damages for breach of contract and indemnification for certain residential mortgage loans as well as residential mortgage-backed securitizations ("RMBS") containing mortgage loans. RFC asserts that, beginning in 2008, RFC faced massive repurchase demands and lawsuits from purchasers or insurers of the loans and RMBS that RFC had sold. RFC filed for bankruptcy protection in May 2012. Plaintiff alleges that, after RFC filed for Chapter 11 protection, hundreds of proofs of claim were filed, many of which mirrored the litigation filed against RFC prior to its bankruptcy.</w:t>
      </w:r>
    </w:p>
    <w:p>
      <w:pPr>
        <w:spacing w:after="0" w:line="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Home Loan Center, in federal and state courts in Minnesota and New York. In each case, Plaintiff claims that the defendant is liable for a portion of the global settlement in RFC’s bankruptcy.</w:t>
      </w:r>
    </w:p>
    <w:p>
      <w:pPr>
        <w:spacing w:after="0" w:line="4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Plaintiff asserts two claims against HLC: (1) breach of contract based on HLC’s alleged breach of representations and warranties concerning the quality and characteristics of the mortgage loans it sold to RFC (Count One); and (2) contractual indemnification for alleged liabilities, losses, and damages incurred by RFC arising out of purported defects in loans that RFC purchased from HSBC and sold to third parties (Count Two). Plaintiff alleges that the “types of defects” contained in the loans it purchased from HLC included “income misrepresentation, employment misrepresentation, appraisal misrepresentations or inaccuracies, undisclosed debt, and missing or inaccurate documents.”</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HLC filed a Motion to Dismiss under Rule 12(b)(6) of the Federal Rules of Civil Procedure or, in the alternative, a Motion for More Definite Statement under Rule 12(e). On June 25, 2015 the judge denied HLC's motion.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July 9, 2015, HLC filed its answer to RFC’s complaint, denying the material allegations of the complaint and asserting numerous defenses thereto.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Discovery is ongoing in this matter. HLC intends to vigorously defend this action.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 Demand Letter</w:t>
      </w:r>
    </w:p>
    <w:p>
      <w:pPr>
        <w:spacing w:after="0" w:line="11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i w:val="1"/>
          <w:iCs w:val="1"/>
          <w:color w:val="auto"/>
        </w:rPr>
        <w:t>Lehman Brothers Holdings Inc. v. 1</w:t>
      </w:r>
      <w:r>
        <w:rPr>
          <w:rFonts w:ascii="Arial" w:cs="Arial" w:eastAsia="Arial" w:hAnsi="Arial"/>
          <w:sz w:val="24"/>
          <w:szCs w:val="24"/>
          <w:i w:val="1"/>
          <w:iCs w:val="1"/>
          <w:color w:val="auto"/>
          <w:vertAlign w:val="superscript"/>
        </w:rPr>
        <w:t>st</w:t>
      </w:r>
      <w:r>
        <w:rPr>
          <w:rFonts w:ascii="Arial" w:cs="Arial" w:eastAsia="Arial" w:hAnsi="Arial"/>
          <w:sz w:val="17"/>
          <w:szCs w:val="17"/>
          <w:i w:val="1"/>
          <w:iCs w:val="1"/>
          <w:color w:val="auto"/>
        </w:rPr>
        <w:t xml:space="preserve"> Advantage Mortgage, LLC et al., Case No. 08-13555 (SCC) (Bankr. S.D.N.Y.). </w:t>
      </w:r>
      <w:r>
        <w:rPr>
          <w:rFonts w:ascii="Arial" w:cs="Arial" w:eastAsia="Arial" w:hAnsi="Arial"/>
          <w:sz w:val="17"/>
          <w:szCs w:val="17"/>
          <w:color w:val="auto"/>
        </w:rPr>
        <w:t>In February 2016, Lehman Brothers</w:t>
      </w:r>
      <w:r>
        <w:rPr>
          <w:rFonts w:ascii="Arial" w:cs="Arial" w:eastAsia="Arial" w:hAnsi="Arial"/>
          <w:sz w:val="17"/>
          <w:szCs w:val="17"/>
          <w:i w:val="1"/>
          <w:iCs w:val="1"/>
          <w:color w:val="auto"/>
        </w:rPr>
        <w:t xml:space="preserve"> </w:t>
      </w:r>
      <w:r>
        <w:rPr>
          <w:rFonts w:ascii="Arial" w:cs="Arial" w:eastAsia="Arial" w:hAnsi="Arial"/>
          <w:sz w:val="17"/>
          <w:szCs w:val="17"/>
          <w:color w:val="auto"/>
        </w:rPr>
        <w:t>Holdings Inc. (“LBHI”) filed an Adversary Complaint against Home Loan Center and approximately 149 other defendants (the “Complaint”). The Complaint generally seeks (1) a declaratory judgment that the settlements entered by LBHI with Fannie Mae and Freddie Mac as part of LBHI’s bankruptcy proceedings gave rise to LBHI’s contractual indemnification claims against defendants alleged in the Complaint; (2) indemnification from HLC and the other defendants for losses allegedly incurred by LBHI in respect of defective mortgage loans sold by defendants to LBHI or its affiliates; and (3) interest, attorneys’ fees and costs incurred by LBHI in the litigation. HLC intends to defend this action vigorously. HLC had previously received a demand letter (the “Letter”) from LBHI in December 2014 with respect to 64 loans (the “Loans”) that LBHI alleged were sold by HLC to Lehman Brothers Bank FSB (“LBB”) between 2004 and 2008 pursuant to a loan purchase agreement (the “LPA”) between HLC and LBB. The Letter generally sought indemnification from HLC in accordance with the LPA for certain claims that LBHI alleged it allowed in its bankruptcy with respect to the Loans. HLC and LBHI are currently engaged in negotiations with respect to these matters. A reserve of $0.5 million with respect to the Loans is included in the accompanying consolidated balance sheet as of December 31, 2015.</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13—RELATED PARTY TRANSACTIONS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2015, the Company made $0.7 million in payments to a marketing partner through the normal course of business. One of the Company's board of directors also serves as a director to the marketing partner.</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2013, the Company made a contribution of $0.4 million to an educational trust. The Company's Chairman and Chief Executive Officer is the trustee. However, he does not receive compensation as trustee and neither he nor any of his family members are entitled to distributions from the trust.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53"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14—BENEFIT PLANS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operates a retirement savings plan for its employees in the United States that is qualified under Section 401(k) of the Internal Revenue Code. Employees are eligible to enroll in the plan upon date of hire. Participating employees may contribute up to 50% of their pre-tax earnings, but not more than statutory limits (generally $18,000, $17,500 and $17,500 for 2015, 2014 and 2013, respectively). The company match contribution is fifty cents for each dollar a participant contributes to the plan, with a maximum contribution of 6% of a participant's eligible earnings. Matching contributions are invested in the same manner as each participant's voluntary contributions in the investment options provided under the plan. LendingTree stock is not included in the available investment options or the plan assets. Funds contributed to the plan vest according to the participant's years of service, with less than three years of service vesting at 0%, and three years or more of service vesting at 100%. Matching contributions were approximately $0.5 million, $0.5 million and $0.2 million for the years ended December 31, 2015, 2014 and 2013, respectively.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15—RESTRUCTURING EXPENSE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Accrued restructuring costs primarily relate to lease obligations for call center leases exited in 2010, which were completed in 2015. Restructuring expense and payments against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34"/>
              <w:spacing w:after="0"/>
              <w:rPr>
                <w:sz w:val="20"/>
                <w:szCs w:val="20"/>
                <w:color w:val="auto"/>
              </w:rPr>
            </w:pPr>
            <w:r>
              <w:rPr>
                <w:rFonts w:ascii="Arial" w:cs="Arial" w:eastAsia="Arial" w:hAnsi="Arial"/>
                <w:sz w:val="16"/>
                <w:szCs w:val="16"/>
                <w:b w:val="1"/>
                <w:bCs w:val="1"/>
                <w:color w:val="auto"/>
                <w:w w:val="92"/>
              </w:rPr>
              <w:t>Continuing</w:t>
            </w:r>
          </w:p>
        </w:tc>
      </w:tr>
      <w:tr>
        <w:trPr>
          <w:trHeight w:val="203"/>
        </w:trPr>
        <w:tc>
          <w:tcPr>
            <w:tcW w:w="9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4"/>
              <w:spacing w:after="0"/>
              <w:rPr>
                <w:sz w:val="20"/>
                <w:szCs w:val="20"/>
                <w:color w:val="auto"/>
              </w:rPr>
            </w:pPr>
            <w:r>
              <w:rPr>
                <w:rFonts w:ascii="Arial" w:cs="Arial" w:eastAsia="Arial" w:hAnsi="Arial"/>
                <w:sz w:val="16"/>
                <w:szCs w:val="16"/>
                <w:b w:val="1"/>
                <w:bCs w:val="1"/>
                <w:color w:val="auto"/>
                <w:w w:val="88"/>
              </w:rPr>
              <w:t>Lease</w:t>
            </w:r>
          </w:p>
        </w:tc>
      </w:tr>
      <w:tr>
        <w:trPr>
          <w:trHeight w:val="210"/>
        </w:trPr>
        <w:tc>
          <w:tcPr>
            <w:tcW w:w="9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4"/>
              <w:spacing w:after="0"/>
              <w:rPr>
                <w:sz w:val="20"/>
                <w:szCs w:val="20"/>
                <w:color w:val="auto"/>
              </w:rPr>
            </w:pPr>
            <w:r>
              <w:rPr>
                <w:rFonts w:ascii="Arial" w:cs="Arial" w:eastAsia="Arial" w:hAnsi="Arial"/>
                <w:sz w:val="16"/>
                <w:szCs w:val="16"/>
                <w:b w:val="1"/>
                <w:bCs w:val="1"/>
                <w:color w:val="auto"/>
                <w:w w:val="90"/>
              </w:rPr>
              <w:t>Obligations</w:t>
            </w:r>
          </w:p>
        </w:tc>
      </w:tr>
      <w:tr>
        <w:trPr>
          <w:trHeight w:val="33"/>
        </w:trPr>
        <w:tc>
          <w:tcPr>
            <w:tcW w:w="9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2012</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b w:val="1"/>
                <w:bCs w:val="1"/>
                <w:color w:val="auto"/>
              </w:rPr>
              <w:t>906</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6"/>
                <w:szCs w:val="16"/>
                <w:color w:val="auto"/>
              </w:rPr>
              <w:t>56</w:t>
            </w: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37"/>
        </w:trPr>
        <w:tc>
          <w:tcPr>
            <w:tcW w:w="99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462</w:t>
            </w: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expense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9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178</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Restructuring income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7"/>
        </w:trPr>
        <w:tc>
          <w:tcPr>
            <w:tcW w:w="99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r>
      <w:tr>
        <w:trPr>
          <w:trHeight w:val="34"/>
        </w:trPr>
        <w:tc>
          <w:tcPr>
            <w:tcW w:w="9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16—DISCONTINUED OPERATIONS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revenue and net (loss) income that are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r>
      <w:tr>
        <w:trPr>
          <w:trHeight w:val="282"/>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14,256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(1,520)</w:t>
            </w:r>
          </w:p>
        </w:tc>
      </w:tr>
      <w:tr>
        <w:trPr>
          <w:trHeight w:val="324"/>
        </w:trPr>
        <w:tc>
          <w:tcPr>
            <w:tcW w:w="79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(Loss) income before income taxes </w:t>
            </w:r>
            <w:r>
              <w:rPr>
                <w:rFonts w:ascii="Arial" w:cs="Arial" w:eastAsia="Arial" w:hAnsi="Arial"/>
                <w:sz w:val="25"/>
                <w:szCs w:val="25"/>
                <w:color w:val="auto"/>
                <w:vertAlign w:val="superscript"/>
              </w:rPr>
              <w:t>(a)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10,392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21"/>
                <w:szCs w:val="21"/>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1,778</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sale of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9,561</w:t>
            </w:r>
          </w:p>
        </w:tc>
      </w:tr>
      <w:tr>
        <w:trPr>
          <w:trHeight w:val="237"/>
        </w:trPr>
        <w:tc>
          <w:tcPr>
            <w:tcW w:w="7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(loss)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(3,269)</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9,849</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4,620</w:t>
            </w:r>
          </w:p>
        </w:tc>
      </w:tr>
      <w:tr>
        <w:trPr>
          <w:trHeight w:val="34"/>
        </w:trPr>
        <w:tc>
          <w:tcPr>
            <w:tcW w:w="7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Income before income taxes for the year ended December 31, 2014 includes income from a reduction in the loan loss reserve of $14.1 million. See additional information in "Loan Loss Obligations"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June 6, 2012, the Company sold substantially all of the operating assets of its LendingTree Loans business for $55.9 million in cash to a wholly-owned subsidiary of Discover Financial Services ("Discover"). Of the total purchase price, $8.0 million was paid prior to the closing, $37.9 million was paid upon the closing and the contingent amount of $10.0 million was paid and recognized as a gain from sale of discontinued operations in 2013.</w:t>
      </w:r>
    </w:p>
    <w:p>
      <w:pPr>
        <w:sectPr>
          <w:pgSz w:w="11900" w:h="16838" w:orient="portrait"/>
          <w:cols w:equalWidth="0" w:num="1">
            <w:col w:w="11420"/>
          </w:cols>
          <w:pgMar w:left="240" w:top="553"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553" w:right="2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Discover generally did not assume liabilities of the LendingTree Loans business that arose before the closing date, except for certain liabilities directly related to assets Discover acquired. Of the purchase price paid, as of December 31, 2015, $4.0 million is being held in escrow in accordance with the agreement with Discover for certain loan loss obligations that remain with the Company following the sale. As a result of a settlement agreement in 2014 with a secondary market purchaser of loans, $12.1 million was released from escrow in December 2015. The escrowed amount is recorded as restricted cash at December 31, 2015.</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Separate from the asset purchase agreement, LendingTree agreed to provide certain marketing-related services to Discover in connection with its mortgage origination business for approximately seventeen months following the closing, or such earlier point as the agreed-upon services are satisfactorily completed. The services were satisfactorily completed in 2013.</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Discover participated as a marketplace lender from closing of the transaction through July 2015.</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agreed to indemnify Discover for a breach or inaccuracy of any representation, warranty or covenant made by it in the asset purchase agreement, for any liability of LendingTree Loans that was not assumed, for any claims by its stockholders against Discover and for its failure to comply with any applicable bulk sales law, subject to certain limitations. Discover submitted a claim for indemnification relating to the sale prior to the closing of certain loans that were listed in the asset purchase agreement as to be conveyed to Discover at closing. In May 2013, this indemnification claim and other miscellaneous items were settled by agreeing to credit Discover for $1.3 million in future services. A majority of these credits were applied against services during the year ended December 31, 2013. The remaining credits were exhausted in 2014.</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closing of the sale of substantially all of the operating assets of the LendingTree Loans business on June 6, 2012, LendingTree Loans ceased to originate consumer loans. The remaining operations are being wound down. These wind-down activities have included, among other things, selling the balance of loans held for sale to investors, paying off and then terminating the warehouse lines of credit and settling derivative obligations, all of which have been completed. Liability for losses on previously sold loans will remain with LendingTree Loans and are discussed below.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 In the case of early loan payoffs and early defaults on certain loans, LendingTree Loans may be required to repay all or a portion of the premium initially paid by the investor.</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HLC, a subsidiary of the Company, continues to be liable for these indemnification obligations, repurchase obligations and premium repayment obligations following the sale of substantially all of the operating assets of its LendingTree Loans business in the second quarter of 2012. As of December 31, 2015, approximately $4.0 million is being held in escrow pending resolution of certain of these contingent liabilities.</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Prior to the sale of substantially all of the operating assets of LendingTree Loans in June 2012, it originated approximately 234,000 loans with an original issue balance of $38.9 billion.</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fourth quarter of 2015, LendingTree Loans completed a settlement agreement for $0.6 million with one of the investors to which it had sold loans. This investor accounted for approximately 10% of the total number of loans sold and 12% of the original issue balance. This settlement related to all existing and future losses on loans sold to this investor.</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fourth quarter of 2014, LendingTree Loans completed a settlement agreement for $5.4 million with the largest investor to which it had sold loans. This investor accounted for approximately 40% of both the total number of loans sold and the original issue balance. This settlement related to all existing and future losses on loans sold to this investor. The settlement was paid in the fourth quarter of 2014 with restricted cash of $3.1 million and cash on hand of $2.3 million. The settlement with this investor in the fourth quarter of 2014 and the impact this settlement had on the estimate of the remaining loan loss obligations resulted in income of $14.1 million, which was included in income from discontinued operations in the accompanying consolidated statements of operations and comprehensive income during 2014. The adjustment to the loan loss reserve did not result in tax expense recognition due to the Company's full valuation allowance against its deferred tax assets.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second quarter of 2014, LendingTree Loans completed settlements with two buyers of previously purchased loans.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53"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been negotiating with certain of the remaining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fourth quarter of 2013, the Company revised its estimation process for evaluating the adequacy of the reserve for loan losses to use a settlement discount framework. This model estimates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publicly-announced bulk settlements for similar loan types and vintages, as well as LendingTree Loans' non-operating status, in order to estimate a range of potential obligation.</w:t>
      </w:r>
    </w:p>
    <w:p>
      <w:pPr>
        <w:spacing w:after="0" w:line="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estimated range of remaining loan losses using this settlement discount framework was determined to be $5.7 million to $10.3 million at December 31, 2015. The reserve balance recorded as of December 31, 2015 was $8.1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LendingTree has guaranteed certain loans sold to two investors in the event that LendingTree Loans is unable to satisfy its repurchase and warranty obligations related to such loans.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activity related to loss reserves on previously sold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loss reserve, 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8,750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28,543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27,182</w:t>
            </w:r>
          </w:p>
        </w:tc>
      </w:tr>
      <w:tr>
        <w:trPr>
          <w:trHeight w:val="270"/>
        </w:trPr>
        <w:tc>
          <w:tcPr>
            <w:tcW w:w="7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Provision adjustments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(14,144)</w:t>
            </w:r>
          </w:p>
        </w:tc>
        <w:tc>
          <w:tcPr>
            <w:tcW w:w="34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1,531</w:t>
            </w: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 to reserves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(623)</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(5,649)</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Loan loss reserve,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8,127</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8,750</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28,543</w:t>
            </w:r>
          </w:p>
        </w:tc>
      </w:tr>
      <w:tr>
        <w:trPr>
          <w:trHeight w:val="34"/>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discussed above, during 2014, LendingTree Loans completed a settlement agreement with the largest investor to which it had sold loans, resulting in an adjustment to the provision.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liability for losses on previously sold loans is presented as current liabilities of discontinued operations in the accompanying consolidated balance sheets as of December 31, 2015 and 2014.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17—SEGMENT INFORMATION</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2015, management made certain changes to its organizational structure that impacted its previous operating segments. As a result, management concluded it had one reportable segment representing the Company's Lending activities. Previously reported segment results have been revised to conform to the Company's one reportable segment at December 31, 2015.</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Mortgage and non-mortgage product 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4"/>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36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6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2014</w:t>
            </w:r>
          </w:p>
        </w:tc>
        <w:tc>
          <w:tcPr>
            <w:tcW w:w="4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r>
      <w:tr>
        <w:trPr>
          <w:trHeight w:val="33"/>
        </w:trPr>
        <w:tc>
          <w:tcPr>
            <w:tcW w:w="368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products</w:t>
            </w:r>
          </w:p>
        </w:tc>
        <w:tc>
          <w:tcPr>
            <w:tcW w:w="3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165,272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134,137</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123,091</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Non-mortgage products</w:t>
            </w:r>
          </w:p>
        </w:tc>
        <w:tc>
          <w:tcPr>
            <w:tcW w:w="3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88,944</w:t>
            </w:r>
          </w:p>
        </w:tc>
        <w:tc>
          <w:tcPr>
            <w:tcW w:w="4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33,213</w:t>
            </w:r>
          </w:p>
        </w:tc>
        <w:tc>
          <w:tcPr>
            <w:tcW w:w="4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16,149</w:t>
            </w:r>
          </w:p>
        </w:tc>
      </w:tr>
      <w:tr>
        <w:trPr>
          <w:trHeight w:val="27"/>
        </w:trPr>
        <w:tc>
          <w:tcPr>
            <w:tcW w:w="36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6"/>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3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254,216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167,350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139,240</w:t>
            </w:r>
          </w:p>
        </w:tc>
      </w:tr>
      <w:tr>
        <w:trPr>
          <w:trHeight w:val="459"/>
        </w:trPr>
        <w:tc>
          <w:tcPr>
            <w:tcW w:w="3680" w:type="dxa"/>
            <w:vAlign w:val="bottom"/>
            <w:tcBorders>
              <w:top w:val="single" w:sz="8" w:color="auto"/>
            </w:tcBorders>
          </w:tcPr>
          <w:p>
            <w:pPr>
              <w:spacing w:after="0"/>
              <w:rPr>
                <w:sz w:val="24"/>
                <w:szCs w:val="24"/>
                <w:color w:val="auto"/>
              </w:rPr>
            </w:pPr>
          </w:p>
        </w:tc>
        <w:tc>
          <w:tcPr>
            <w:tcW w:w="3400" w:type="dxa"/>
            <w:vAlign w:val="bottom"/>
            <w:tcBorders>
              <w:top w:val="single" w:sz="8" w:color="auto"/>
            </w:tcBorders>
          </w:tcPr>
          <w:p>
            <w:pPr>
              <w:jc w:val="right"/>
              <w:ind w:right="1190"/>
              <w:spacing w:after="0"/>
              <w:rPr>
                <w:sz w:val="20"/>
                <w:szCs w:val="20"/>
                <w:color w:val="auto"/>
              </w:rPr>
            </w:pPr>
            <w:r>
              <w:rPr>
                <w:rFonts w:ascii="Arial" w:cs="Arial" w:eastAsia="Arial" w:hAnsi="Arial"/>
                <w:sz w:val="18"/>
                <w:szCs w:val="18"/>
                <w:color w:val="auto"/>
              </w:rPr>
              <w:t>64</w:t>
            </w: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18—QUARTERLY FINANCIAL INFORMATION (UNAUDITED)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summary financial information for the years ended December 31, 2015 and 2014: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Q1</w:t>
            </w:r>
          </w:p>
        </w:tc>
        <w:tc>
          <w:tcPr>
            <w:tcW w:w="460" w:type="dxa"/>
            <w:vAlign w:val="bottom"/>
          </w:tcPr>
          <w:p>
            <w:pPr>
              <w:spacing w:after="0"/>
              <w:rPr>
                <w:sz w:val="18"/>
                <w:szCs w:val="18"/>
                <w:color w:val="auto"/>
              </w:rPr>
            </w:pPr>
          </w:p>
        </w:tc>
        <w:tc>
          <w:tcPr>
            <w:tcW w:w="1060" w:type="dxa"/>
            <w:vAlign w:val="bottom"/>
          </w:tcPr>
          <w:p>
            <w:pPr>
              <w:jc w:val="right"/>
              <w:ind w:right="531"/>
              <w:spacing w:after="0"/>
              <w:rPr>
                <w:sz w:val="20"/>
                <w:szCs w:val="20"/>
                <w:color w:val="auto"/>
              </w:rPr>
            </w:pPr>
            <w:r>
              <w:rPr>
                <w:rFonts w:ascii="Arial" w:cs="Arial" w:eastAsia="Arial" w:hAnsi="Arial"/>
                <w:sz w:val="16"/>
                <w:szCs w:val="16"/>
                <w:b w:val="1"/>
                <w:bCs w:val="1"/>
                <w:color w:val="auto"/>
              </w:rPr>
              <w:t>Q2</w:t>
            </w:r>
          </w:p>
        </w:tc>
        <w:tc>
          <w:tcPr>
            <w:tcW w:w="400" w:type="dxa"/>
            <w:vAlign w:val="bottom"/>
          </w:tcPr>
          <w:p>
            <w:pPr>
              <w:spacing w:after="0"/>
              <w:rPr>
                <w:sz w:val="18"/>
                <w:szCs w:val="18"/>
                <w:color w:val="auto"/>
              </w:rPr>
            </w:pPr>
          </w:p>
        </w:tc>
        <w:tc>
          <w:tcPr>
            <w:tcW w:w="1120" w:type="dxa"/>
            <w:vAlign w:val="bottom"/>
          </w:tcPr>
          <w:p>
            <w:pPr>
              <w:jc w:val="right"/>
              <w:ind w:right="591"/>
              <w:spacing w:after="0"/>
              <w:rPr>
                <w:sz w:val="20"/>
                <w:szCs w:val="20"/>
                <w:color w:val="auto"/>
              </w:rPr>
            </w:pPr>
            <w:r>
              <w:rPr>
                <w:rFonts w:ascii="Arial" w:cs="Arial" w:eastAsia="Arial" w:hAnsi="Arial"/>
                <w:sz w:val="16"/>
                <w:szCs w:val="16"/>
                <w:b w:val="1"/>
                <w:bCs w:val="1"/>
                <w:color w:val="auto"/>
              </w:rPr>
              <w:t>Q3</w:t>
            </w:r>
          </w:p>
        </w:tc>
        <w:tc>
          <w:tcPr>
            <w:tcW w:w="360" w:type="dxa"/>
            <w:vAlign w:val="bottom"/>
          </w:tcPr>
          <w:p>
            <w:pPr>
              <w:spacing w:after="0"/>
              <w:rPr>
                <w:sz w:val="18"/>
                <w:szCs w:val="18"/>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Q4</w:t>
            </w:r>
          </w:p>
        </w:tc>
      </w:tr>
      <w:tr>
        <w:trPr>
          <w:trHeight w:val="33"/>
        </w:trPr>
        <w:tc>
          <w:tcPr>
            <w:tcW w:w="5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40" w:type="dxa"/>
            <w:vAlign w:val="bottom"/>
            <w:gridSpan w:val="4"/>
          </w:tcPr>
          <w:p>
            <w:pPr>
              <w:jc w:val="right"/>
              <w:spacing w:after="0"/>
              <w:rPr>
                <w:sz w:val="20"/>
                <w:szCs w:val="20"/>
                <w:color w:val="auto"/>
              </w:rPr>
            </w:pPr>
            <w:r>
              <w:rPr>
                <w:rFonts w:ascii="Arial" w:cs="Arial" w:eastAsia="Arial" w:hAnsi="Arial"/>
                <w:sz w:val="18"/>
                <w:szCs w:val="18"/>
                <w:i w:val="1"/>
                <w:iCs w:val="1"/>
                <w:color w:val="auto"/>
                <w:w w:val="90"/>
              </w:rPr>
              <w:t>(in thousands, except per share amounts)</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50,935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55,136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69,804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78,341</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5,718</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6,775</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7,773</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8,248</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5,413</w:t>
            </w:r>
          </w:p>
        </w:tc>
        <w:tc>
          <w:tcPr>
            <w:tcW w:w="4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6,439</w:t>
            </w:r>
          </w:p>
        </w:tc>
        <w:tc>
          <w:tcPr>
            <w:tcW w:w="40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7,383</w:t>
            </w:r>
          </w:p>
        </w:tc>
        <w:tc>
          <w:tcPr>
            <w:tcW w:w="3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32,081</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(1,717)</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(1,295)</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 and comprehensive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5,187</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4,722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6,088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32,050</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per share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0.48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0.57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0.65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2.69</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0.59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(Loss) income per share from discontinued operations: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(0.11)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(0.10)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0.46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0.41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0.53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2.69</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0.43</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0.38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0.49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w:t>
            </w:r>
          </w:p>
        </w:tc>
      </w:tr>
      <w:tr>
        <w:trPr>
          <w:trHeight w:val="366"/>
        </w:trPr>
        <w:tc>
          <w:tcPr>
            <w:tcW w:w="56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Q1</w:t>
            </w:r>
          </w:p>
        </w:tc>
        <w:tc>
          <w:tcPr>
            <w:tcW w:w="4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Q2</w:t>
            </w:r>
          </w:p>
        </w:tc>
        <w:tc>
          <w:tcPr>
            <w:tcW w:w="4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Q3</w:t>
            </w: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Q4</w:t>
            </w:r>
          </w:p>
        </w:tc>
      </w:tr>
      <w:tr>
        <w:trPr>
          <w:trHeight w:val="33"/>
        </w:trPr>
        <w:tc>
          <w:tcPr>
            <w:tcW w:w="5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40" w:type="dxa"/>
            <w:vAlign w:val="bottom"/>
            <w:gridSpan w:val="4"/>
          </w:tcPr>
          <w:p>
            <w:pPr>
              <w:jc w:val="right"/>
              <w:spacing w:after="0"/>
              <w:rPr>
                <w:sz w:val="20"/>
                <w:szCs w:val="20"/>
                <w:color w:val="auto"/>
              </w:rPr>
            </w:pPr>
            <w:r>
              <w:rPr>
                <w:rFonts w:ascii="Arial" w:cs="Arial" w:eastAsia="Arial" w:hAnsi="Arial"/>
                <w:sz w:val="18"/>
                <w:szCs w:val="18"/>
                <w:i w:val="1"/>
                <w:iCs w:val="1"/>
                <w:color w:val="auto"/>
                <w:w w:val="90"/>
              </w:rPr>
              <w:t>(in thousands, except per share amounts)</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40,036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42,144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41,306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43,864</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2,600</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554</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1,712</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(Loss) income from continuing operations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(5,834)</w:t>
            </w:r>
          </w:p>
        </w:tc>
        <w:tc>
          <w:tcPr>
            <w:tcW w:w="4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2,683</w:t>
            </w:r>
          </w:p>
        </w:tc>
        <w:tc>
          <w:tcPr>
            <w:tcW w:w="40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555</w:t>
            </w:r>
          </w:p>
        </w:tc>
        <w:tc>
          <w:tcPr>
            <w:tcW w:w="3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2,109</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(2,931)</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(174)</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13,528</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(loss) income and comprehensive (loss)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(6,408)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381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15,637</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per share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0.24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0.05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0.19</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0.05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0.18</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(Loss) income per share from discontinued operations: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(0.02)</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(0.25)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(0.01)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1.12</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0.03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1.39</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0.03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r>
      <w:tr>
        <w:trPr>
          <w:trHeight w:val="20"/>
        </w:trPr>
        <w:tc>
          <w:tcPr>
            <w:tcW w:w="5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19—SUBSEQUENT EVENTS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January 2016, the board of directors authorized and the Company announced the addition of up to $50.0 million under the stock repurchase program.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Between January 1, 2016 and February 26, 2016, the Company purchased 573,370 shares of its common stock for aggregate consideration of $40.0 million.</w:t>
      </w:r>
    </w:p>
    <w:p>
      <w:pPr>
        <w:sectPr>
          <w:pgSz w:w="11900" w:h="16838" w:orient="portrait"/>
          <w:cols w:equalWidth="0" w:num="1">
            <w:col w:w="11400"/>
          </w:cols>
          <w:pgMar w:left="240" w:top="553" w:right="25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00"/>
          </w:cols>
          <w:pgMar w:left="240" w:top="553" w:right="259" w:bottom="144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February 2016, the board of directors further authorized and the Company announced the addition of up to $40.0 million under the stock repurchase program. As of February 26, 2016, approximately $57.3 million remains authorized for share repurchase.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On February 25, 2016, the Company and its subsidiary, LendingTree, LLC, entered into the first amendment to credit agreement which amends the Revolving Credit Facility to increase the amount of permitted restricted payments under the agreement.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10—Revolving Credit Facility for a description of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53"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required by Rule 13a-15(b) of the Securities Exchange Act of 1934 (the "Exchange Act"), management, with the participation of our principal executive officer (Chief Executive Officer) and our principal financial officer (Chief Financial Officer), evaluated, as of the end of the period covered by this report, the effectiveness of our disclosure controls and procedures as defined in Exchange Act Rule 13a-15(e). Management necessarily applied its judgment in assessing the costs and benefits of such controls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Based upon that evaluation, our Chief Executive Officer and Chief Financial Officer concluded that, as of December 31, 2015,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GAAP. Our internal control over financial reporting includes those policies and procedures that: (1) pertain to the maintenance of records that in reasonable detail accurately and fairly reflect our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our directors; and (3) provide reasonable assurance regarding prevention or timely detection of unauthorized acquisition, use or disposition of our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Management, with the participation of our Chief Executive Officer and Chief Financial Officer, assessed the effectiveness of our internal control over financial reporting as of December 31, 2015. In making this assessment, our management used the criteria for effective internal control over financial reporting described in "Internal Control-Integrated Framework" (2013) issued by the Committee of Sponsoring Organizations of the Treadway Commission ("COSO"). Based on our evaluation under the framework in the Internal Control-Integrated Framework, issued by the COSO, management has concluded that our internal control over financial reporting was effective as of December 31, 2015. The effectiveness of our internal control over financial reporting as of December 31, 2015 has been audited by PricewaterhouseCoopers LLP, an independent registered public accounting firm, as stated in their report appearing under "Item 8. Financial Statements and Supplementary Data" included elsewhere in this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There was no change in our internal control over financial reporting (as defined in the Exchange Act, Rules 13a-15(f)) that occurred during the quarter ended December 31, 2015 that has materially affected, or is reasonably likely to materially affect, our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On February 25, 2016, the Company and its subsidiary, LendingTree, LLC, entered into the first amendment to credit agreement which amends the Revolving Credit Facility to increase the amount of permitted restricted payments under the agreement.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10—Revolving Credit Facility, in Part I, Item I,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for a description of the Revolving Credit Facility.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set forth below, the information required by Part III (Items 10, 11, 12, 13 and 14) is incorporated herein by reference to the Company's definitive proxy statement to be used in connection with its 2016 Annual Meeting of Stockholders and which will be filed with the Securities and Exchange Commission not later than 120 days after the end of the Company's fiscal year ended December 31, 2015 (the "2016 Proxy Statement"), in accordance with General Instruction G(3) of Form 10-K.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10 will be contained in, and is hereby incorporated by reference to, the 2016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11 will be contained in, and is hereby incorporated by reference to, the 2016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12 will be contained in, and is hereby incorporated by reference to, the 2016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13 will be contained in, and is hereby incorporated by reference to, the 2016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14 will be contained in, and is hereby incorporated by reference to, the 2016 Proxy Statement.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  List of documents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 of LendingTree, Inc.</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Report of Independent Registered Public Accounting Firm: PricewaterhouseCoopers LLP.</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Operations and Comprehensive Income for the Years Ended December 31, 2015, 2014 and 2013.</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Balance Sheets as of December 31, 2015 and 2014.</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Shareholders' Equity for the Years Ended December 31, 2015, 2014 and 2013.</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Cash Flows for the Years Ended December 31, 2015, 2014 and 2013.</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Consolidated Financial Statement Schedules of LendingTree, Inc.</w:t>
      </w:r>
    </w:p>
    <w:p>
      <w:pPr>
        <w:spacing w:after="0" w:line="14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All financial statements and schedules have been omitted since the required information is included in the consolidated financial statements or the notes thereto, or is not applicable or required.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documents set forth below, numbered in accordance with Item 601 of Regulation S-K, are filed herewith or incorporated herein by reference to the location indicated below.</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60"/>
        <w:spacing w:after="0"/>
        <w:tabs>
          <w:tab w:leader="none" w:pos="3320" w:val="left"/>
          <w:tab w:leader="none" w:pos="85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54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42" w:lineRule="exact"/>
        <w:rPr>
          <w:sz w:val="20"/>
          <w:szCs w:val="20"/>
          <w:color w:val="auto"/>
        </w:rPr>
      </w:pPr>
    </w:p>
    <w:p>
      <w:pPr>
        <w:ind w:left="1200" w:right="40" w:hanging="373"/>
        <w:spacing w:after="0" w:line="258" w:lineRule="auto"/>
        <w:tabs>
          <w:tab w:leader="none" w:pos="1180" w:val="left"/>
        </w:tabs>
        <w:rPr>
          <w:sz w:val="20"/>
          <w:szCs w:val="20"/>
          <w:color w:val="auto"/>
        </w:rPr>
      </w:pPr>
      <w:r>
        <w:rPr>
          <w:rFonts w:ascii="Arial" w:cs="Arial" w:eastAsia="Arial" w:hAnsi="Arial"/>
          <w:sz w:val="18"/>
          <w:szCs w:val="18"/>
          <w:color w:val="auto"/>
        </w:rPr>
        <w:t>2.1</w:t>
        <w:tab/>
        <w:t>Separation and Distribution Agreement among IAC/InterActiveCorp, Exhibit 10.1 to the Registrant's Registration Statement on Form S-1 HSN, Inc., Interval Leisure Group, Inc., Ticketmaster and Tree.com, (No. 333-152700), filed August 1, 2008</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Inc., dated August 20, 2008.</w:t>
      </w:r>
    </w:p>
    <w:p>
      <w:pPr>
        <w:spacing w:after="0" w:line="49" w:lineRule="exact"/>
        <w:rPr>
          <w:sz w:val="20"/>
          <w:szCs w:val="20"/>
          <w:color w:val="auto"/>
        </w:rPr>
      </w:pPr>
    </w:p>
    <w:p>
      <w:pPr>
        <w:ind w:left="1200" w:right="20" w:hanging="373"/>
        <w:spacing w:after="0" w:line="258" w:lineRule="auto"/>
        <w:tabs>
          <w:tab w:leader="none" w:pos="1180" w:val="left"/>
        </w:tabs>
        <w:rPr>
          <w:sz w:val="20"/>
          <w:szCs w:val="20"/>
          <w:color w:val="auto"/>
        </w:rPr>
      </w:pPr>
      <w:r>
        <w:rPr>
          <w:rFonts w:ascii="Arial" w:cs="Arial" w:eastAsia="Arial" w:hAnsi="Arial"/>
          <w:sz w:val="18"/>
          <w:szCs w:val="18"/>
          <w:color w:val="auto"/>
        </w:rPr>
        <w:t>2.2</w:t>
        <w:tab/>
        <w:t>Tax Sharing Agreement among IAC/InterActiveCorp, HSN, Inc., Exhibit 10.2 to the Registrant's Current Report on Form 8-K (No. Interval Leisure Group, Inc., Ticketmaster and Tree.com, Inc., dated 001-34063) filed August 25, 2008</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August 20,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9" w:lineRule="exact"/>
        <w:rPr>
          <w:sz w:val="20"/>
          <w:szCs w:val="20"/>
          <w:color w:val="auto"/>
        </w:rPr>
      </w:pPr>
    </w:p>
    <w:p>
      <w:pPr>
        <w:ind w:left="1200" w:right="20" w:hanging="373"/>
        <w:spacing w:after="0" w:line="258" w:lineRule="auto"/>
        <w:tabs>
          <w:tab w:leader="none" w:pos="1180" w:val="left"/>
        </w:tabs>
        <w:rPr>
          <w:sz w:val="20"/>
          <w:szCs w:val="20"/>
          <w:color w:val="auto"/>
        </w:rPr>
      </w:pPr>
      <w:r>
        <w:rPr>
          <w:rFonts w:ascii="Arial" w:cs="Arial" w:eastAsia="Arial" w:hAnsi="Arial"/>
          <w:sz w:val="18"/>
          <w:szCs w:val="18"/>
          <w:color w:val="auto"/>
        </w:rPr>
        <w:t>2.3</w:t>
        <w:tab/>
        <w:t>Employee Matters Agreement among IAC/InterActiveCorp, HSN, Inc., Exhibit 10.3 to the Registrant's Current Report on Form 8-K (No. Interval Leisure Group, Inc., Ticketmaster and Tree.com, Inc., dated 001-34063) filed August 25, 2008</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August 20, 2008.</w:t>
      </w:r>
    </w:p>
    <w:p>
      <w:pPr>
        <w:spacing w:after="0" w:line="49" w:lineRule="exact"/>
        <w:rPr>
          <w:sz w:val="20"/>
          <w:szCs w:val="20"/>
          <w:color w:val="auto"/>
        </w:rPr>
      </w:pPr>
    </w:p>
    <w:p>
      <w:pPr>
        <w:ind w:left="1200" w:right="20" w:hanging="373"/>
        <w:spacing w:after="0" w:line="258" w:lineRule="auto"/>
        <w:tabs>
          <w:tab w:leader="none" w:pos="1180" w:val="left"/>
        </w:tabs>
        <w:rPr>
          <w:sz w:val="20"/>
          <w:szCs w:val="20"/>
          <w:color w:val="auto"/>
        </w:rPr>
      </w:pPr>
      <w:r>
        <w:rPr>
          <w:rFonts w:ascii="Arial" w:cs="Arial" w:eastAsia="Arial" w:hAnsi="Arial"/>
          <w:sz w:val="18"/>
          <w:szCs w:val="18"/>
          <w:color w:val="auto"/>
        </w:rPr>
        <w:t>2.4</w:t>
        <w:tab/>
        <w:t>Transition Services Agreement among IAC/InterActiveCorp, HSN, Exhibit 10.4 to the Registrant's Current Report on Form 8-K (No. Inc., Interval Leisure Group, Inc., Ticketmaster and Tree.com, Inc., 001-34063) filed August 25, 2008</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dated August 20,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9" w:lineRule="exact"/>
        <w:rPr>
          <w:sz w:val="20"/>
          <w:szCs w:val="20"/>
          <w:color w:val="auto"/>
        </w:rPr>
      </w:pPr>
    </w:p>
    <w:p>
      <w:pPr>
        <w:ind w:left="1200" w:right="20" w:hanging="373"/>
        <w:spacing w:after="0" w:line="258" w:lineRule="auto"/>
        <w:tabs>
          <w:tab w:leader="none" w:pos="1180" w:val="left"/>
        </w:tabs>
        <w:rPr>
          <w:sz w:val="20"/>
          <w:szCs w:val="20"/>
          <w:color w:val="auto"/>
        </w:rPr>
      </w:pPr>
      <w:r>
        <w:rPr>
          <w:rFonts w:ascii="Arial" w:cs="Arial" w:eastAsia="Arial" w:hAnsi="Arial"/>
          <w:sz w:val="18"/>
          <w:szCs w:val="18"/>
          <w:color w:val="auto"/>
        </w:rPr>
        <w:t>2.5</w:t>
        <w:tab/>
        <w:t>Spinco Assignment and Assumption Agreement among Exhibit 10.6 to the Registrant's Current Report on Form 8-K (No. IAC/InterActiveCorp, Tree.com, Inc., Liberty Media Corporation and 001-34063) filed August 25, 2008</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Liberty USA Holdings, LLC, dated August 20, 2008.</w:t>
      </w:r>
    </w:p>
    <w:p>
      <w:pPr>
        <w:spacing w:after="0" w:line="49" w:lineRule="exact"/>
        <w:rPr>
          <w:sz w:val="20"/>
          <w:szCs w:val="20"/>
          <w:color w:val="auto"/>
        </w:rPr>
      </w:pPr>
    </w:p>
    <w:p>
      <w:pPr>
        <w:ind w:left="1200" w:right="40" w:hanging="373"/>
        <w:spacing w:after="0" w:line="258" w:lineRule="auto"/>
        <w:tabs>
          <w:tab w:leader="none" w:pos="1180" w:val="left"/>
        </w:tabs>
        <w:rPr>
          <w:sz w:val="20"/>
          <w:szCs w:val="20"/>
          <w:color w:val="auto"/>
        </w:rPr>
      </w:pPr>
      <w:r>
        <w:rPr>
          <w:rFonts w:ascii="Arial" w:cs="Arial" w:eastAsia="Arial" w:hAnsi="Arial"/>
          <w:sz w:val="18"/>
          <w:szCs w:val="18"/>
          <w:color w:val="auto"/>
        </w:rPr>
        <w:t>2.6</w:t>
        <w:tab/>
        <w:t>Asset Purchase Agreement among Home Loan Center, Inc., First Exhibit 2.1 to Registrant's Current Report on Form 8-K (No. 001-Residential Mortgage Network, Inc. dba SurePoint Lending, and the 34063) filed November 16, 2010</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shareholders of First Residential Mortgage Network named therein,</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dated November 15, 2010.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1"/>
              </w:rPr>
              <w:t>First Amendment to Asset Purchase Agreement among HLC, SurePoint Exhibit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w:t>
            </w:r>
          </w:p>
        </w:tc>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to the Registrant's Current Report on Form 8-K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and the shareholders party thereto, dated March 14, 2011.</w:t>
            </w:r>
          </w:p>
        </w:tc>
        <w:tc>
          <w:tcPr>
            <w:tcW w:w="51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March 21, 2011</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5880" w:type="dxa"/>
            <w:vAlign w:val="bottom"/>
            <w:gridSpan w:val="2"/>
          </w:tcPr>
          <w:p>
            <w:pPr>
              <w:ind w:left="80"/>
              <w:spacing w:after="0"/>
              <w:rPr>
                <w:sz w:val="20"/>
                <w:szCs w:val="20"/>
                <w:color w:val="auto"/>
              </w:rPr>
            </w:pPr>
            <w:r>
              <w:rPr>
                <w:rFonts w:ascii="Arial" w:cs="Arial" w:eastAsia="Arial" w:hAnsi="Arial"/>
                <w:sz w:val="18"/>
                <w:szCs w:val="18"/>
                <w:color w:val="auto"/>
                <w:w w:val="95"/>
              </w:rPr>
              <w:t>Second  Amendment  to  Asset  Purchase  Agreement  among  HLC, Exhibit</w:t>
            </w:r>
          </w:p>
        </w:tc>
        <w:tc>
          <w:tcPr>
            <w:tcW w:w="300" w:type="dxa"/>
            <w:vAlign w:val="bottom"/>
          </w:tcPr>
          <w:p>
            <w:pPr>
              <w:jc w:val="right"/>
              <w:spacing w:after="0"/>
              <w:rPr>
                <w:sz w:val="20"/>
                <w:szCs w:val="20"/>
                <w:color w:val="auto"/>
              </w:rPr>
            </w:pPr>
            <w:r>
              <w:rPr>
                <w:rFonts w:ascii="Arial" w:cs="Arial" w:eastAsia="Arial" w:hAnsi="Arial"/>
                <w:sz w:val="18"/>
                <w:szCs w:val="18"/>
                <w:color w:val="auto"/>
                <w:w w:val="95"/>
              </w:rPr>
              <w:t>2.2</w:t>
            </w:r>
          </w:p>
        </w:tc>
        <w:tc>
          <w:tcPr>
            <w:tcW w:w="4120" w:type="dxa"/>
            <w:vAlign w:val="bottom"/>
          </w:tcPr>
          <w:p>
            <w:pPr>
              <w:ind w:left="40"/>
              <w:spacing w:after="0"/>
              <w:rPr>
                <w:sz w:val="20"/>
                <w:szCs w:val="20"/>
                <w:color w:val="auto"/>
              </w:rPr>
            </w:pPr>
            <w:r>
              <w:rPr>
                <w:rFonts w:ascii="Arial" w:cs="Arial" w:eastAsia="Arial" w:hAnsi="Arial"/>
                <w:sz w:val="18"/>
                <w:szCs w:val="18"/>
                <w:color w:val="auto"/>
                <w:w w:val="98"/>
              </w:rPr>
              <w:t>to the Registrant's Current Report on Form 8-K filed</w:t>
            </w:r>
          </w:p>
        </w:tc>
      </w:tr>
      <w:tr>
        <w:trPr>
          <w:trHeight w:val="230"/>
        </w:trPr>
        <w:tc>
          <w:tcPr>
            <w:tcW w:w="1120" w:type="dxa"/>
            <w:vAlign w:val="bottom"/>
          </w:tcPr>
          <w:p>
            <w:pPr>
              <w:spacing w:after="0"/>
              <w:rPr>
                <w:sz w:val="20"/>
                <w:szCs w:val="20"/>
                <w:color w:val="auto"/>
              </w:rPr>
            </w:pPr>
          </w:p>
        </w:tc>
        <w:tc>
          <w:tcPr>
            <w:tcW w:w="5140" w:type="dxa"/>
            <w:vAlign w:val="bottom"/>
          </w:tcPr>
          <w:p>
            <w:pPr>
              <w:ind w:left="80"/>
              <w:spacing w:after="0"/>
              <w:rPr>
                <w:sz w:val="20"/>
                <w:szCs w:val="20"/>
                <w:color w:val="auto"/>
              </w:rPr>
            </w:pPr>
            <w:r>
              <w:rPr>
                <w:rFonts w:ascii="Arial" w:cs="Arial" w:eastAsia="Arial" w:hAnsi="Arial"/>
                <w:sz w:val="18"/>
                <w:szCs w:val="18"/>
                <w:color w:val="auto"/>
                <w:w w:val="91"/>
              </w:rPr>
              <w:t>SurePoint and the shareholders party thereto, dated March 15, 2011.</w:t>
            </w:r>
          </w:p>
        </w:tc>
        <w:tc>
          <w:tcPr>
            <w:tcW w:w="5160" w:type="dxa"/>
            <w:vAlign w:val="bottom"/>
            <w:gridSpan w:val="3"/>
          </w:tcPr>
          <w:p>
            <w:pPr>
              <w:ind w:left="180"/>
              <w:spacing w:after="0"/>
              <w:rPr>
                <w:sz w:val="20"/>
                <w:szCs w:val="20"/>
                <w:color w:val="auto"/>
              </w:rPr>
            </w:pPr>
            <w:r>
              <w:rPr>
                <w:rFonts w:ascii="Arial" w:cs="Arial" w:eastAsia="Arial" w:hAnsi="Arial"/>
                <w:sz w:val="18"/>
                <w:szCs w:val="18"/>
                <w:color w:val="auto"/>
              </w:rPr>
              <w:t>March 21, 2011</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18" w:right="239" w:bottom="1440" w:gutter="0" w:footer="0" w:header="0"/>
          <w:type w:val="continuous"/>
        </w:sectPr>
      </w:pPr>
    </w:p>
    <w:bookmarkStart w:id="69" w:name="page70"/>
    <w:bookmarkEnd w:id="69"/>
    <w:p>
      <w:pPr>
        <w:ind w:left="300"/>
        <w:spacing w:after="0"/>
        <w:rPr>
          <w:sz w:val="20"/>
          <w:szCs w:val="20"/>
          <w:color w:val="auto"/>
        </w:rPr>
      </w:pPr>
      <w:r>
        <w:rPr>
          <w:rFonts w:ascii="Arial" w:cs="Arial" w:eastAsia="Arial" w:hAnsi="Arial"/>
          <w:sz w:val="17"/>
          <w:szCs w:val="17"/>
          <w:b w:val="1"/>
          <w:bCs w:val="1"/>
          <w:color w:val="auto"/>
        </w:rPr>
        <w:t>Exhibit</w:t>
      </w:r>
    </w:p>
    <w:p>
      <w:pPr>
        <w:sectPr>
          <w:pgSz w:w="11900" w:h="16838" w:orient="portrait"/>
          <w:cols w:equalWidth="0" w:num="1">
            <w:col w:w="11420"/>
          </w:cols>
          <w:pgMar w:left="240" w:top="283" w:right="239" w:bottom="1440" w:gutter="0" w:footer="0" w:header="0"/>
        </w:sectPr>
      </w:pP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37465</wp:posOffset>
            </wp:positionV>
            <wp:extent cx="7246620"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Location</w:t>
      </w:r>
    </w:p>
    <w:p>
      <w:pPr>
        <w:spacing w:after="0" w:line="85" w:lineRule="exact"/>
        <w:rPr>
          <w:sz w:val="20"/>
          <w:szCs w:val="20"/>
          <w:color w:val="auto"/>
        </w:rPr>
      </w:pPr>
    </w:p>
    <w:p>
      <w:pPr>
        <w:sectPr>
          <w:pgSz w:w="11900" w:h="16838" w:orient="portrait"/>
          <w:cols w:equalWidth="0" w:num="3">
            <w:col w:w="2620" w:space="720"/>
            <w:col w:w="4520" w:space="720"/>
            <w:col w:w="2840"/>
          </w:cols>
          <w:pgMar w:left="240" w:top="283" w:right="239" w:bottom="1440" w:gutter="0" w:footer="0" w:header="0"/>
          <w:type w:val="continuous"/>
        </w:sectPr>
      </w:pPr>
    </w:p>
    <w:p>
      <w:pPr>
        <w:ind w:left="1200" w:right="40" w:hanging="373"/>
        <w:spacing w:after="0" w:line="258" w:lineRule="auto"/>
        <w:tabs>
          <w:tab w:leader="none" w:pos="1180" w:val="left"/>
        </w:tabs>
        <w:rPr>
          <w:sz w:val="20"/>
          <w:szCs w:val="20"/>
          <w:color w:val="auto"/>
        </w:rPr>
      </w:pPr>
      <w:r>
        <w:rPr>
          <w:rFonts w:ascii="Arial" w:cs="Arial" w:eastAsia="Arial" w:hAnsi="Arial"/>
          <w:sz w:val="18"/>
          <w:szCs w:val="18"/>
          <w:color w:val="auto"/>
        </w:rPr>
        <w:t>2.9</w:t>
        <w:tab/>
        <w:t>Asset Purchase Agreement among Tree.com, Inc., Home Loan Center, Exhibit 2.1 to the Registrant's Current Report on Form 8-K filed Inc., LendingTree, LLC, HLC Escrow, Inc. and Discover Bank, dated May 16, 2011</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May 12, 2011**</w:t>
      </w:r>
    </w:p>
    <w:p>
      <w:pPr>
        <w:spacing w:after="0" w:line="49" w:lineRule="exact"/>
        <w:rPr>
          <w:sz w:val="20"/>
          <w:szCs w:val="20"/>
          <w:color w:val="auto"/>
        </w:rPr>
      </w:pPr>
    </w:p>
    <w:p>
      <w:pPr>
        <w:ind w:left="740"/>
        <w:spacing w:after="0"/>
        <w:tabs>
          <w:tab w:leader="none" w:pos="11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7"/>
          <w:szCs w:val="17"/>
          <w:color w:val="auto"/>
        </w:rPr>
        <w:t>Asset Purchase Agreement among LendingTree, LLC, RealEstate.com, Exhibit 2.1 to the Registrant's Current Report on Form 8-K filed</w:t>
      </w:r>
    </w:p>
    <w:p>
      <w:pPr>
        <w:spacing w:after="0" w:line="23" w:lineRule="exact"/>
        <w:rPr>
          <w:sz w:val="20"/>
          <w:szCs w:val="20"/>
          <w:color w:val="auto"/>
        </w:rPr>
      </w:pPr>
    </w:p>
    <w:p>
      <w:pPr>
        <w:ind w:left="1200"/>
        <w:spacing w:after="0"/>
        <w:tabs>
          <w:tab w:leader="none" w:pos="6420" w:val="left"/>
        </w:tabs>
        <w:rPr>
          <w:sz w:val="20"/>
          <w:szCs w:val="20"/>
          <w:color w:val="auto"/>
        </w:rPr>
      </w:pPr>
      <w:r>
        <w:rPr>
          <w:rFonts w:ascii="Arial" w:cs="Arial" w:eastAsia="Arial" w:hAnsi="Arial"/>
          <w:sz w:val="18"/>
          <w:szCs w:val="18"/>
          <w:color w:val="auto"/>
        </w:rPr>
        <w:t>Inc. and Market Leader, Inc., dated September 15, 2011**</w:t>
      </w:r>
      <w:r>
        <w:rPr>
          <w:sz w:val="20"/>
          <w:szCs w:val="20"/>
          <w:color w:val="auto"/>
        </w:rPr>
        <w:tab/>
      </w:r>
      <w:r>
        <w:rPr>
          <w:rFonts w:ascii="Arial" w:cs="Arial" w:eastAsia="Arial" w:hAnsi="Arial"/>
          <w:sz w:val="15"/>
          <w:szCs w:val="15"/>
          <w:color w:val="auto"/>
        </w:rPr>
        <w:t>September 21,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9" w:lineRule="exact"/>
        <w:rPr>
          <w:sz w:val="20"/>
          <w:szCs w:val="20"/>
          <w:color w:val="auto"/>
        </w:rPr>
      </w:pPr>
    </w:p>
    <w:p>
      <w:pPr>
        <w:ind w:left="1200" w:right="40" w:hanging="456"/>
        <w:spacing w:after="0" w:line="258" w:lineRule="auto"/>
        <w:tabs>
          <w:tab w:leader="none" w:pos="1180" w:val="left"/>
        </w:tabs>
        <w:rPr>
          <w:sz w:val="20"/>
          <w:szCs w:val="20"/>
          <w:color w:val="auto"/>
        </w:rPr>
      </w:pPr>
      <w:r>
        <w:rPr>
          <w:rFonts w:ascii="Arial" w:cs="Arial" w:eastAsia="Arial" w:hAnsi="Arial"/>
          <w:sz w:val="18"/>
          <w:szCs w:val="18"/>
          <w:color w:val="auto"/>
        </w:rPr>
        <w:t>2.11</w:t>
        <w:tab/>
        <w:t>Amendment to Asset Purchase Agreement among Home Loan Center, Exhibit 2.1 to the Registrant's Current Report on Form 8-K filed Inc., HLC Escrow, Inc., LendingTree, LLC, Tree.com, Inc., Discover February 8, 2012</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Bank and Discover Financial Services, dated February 7, 2012**</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4980" w:type="dxa"/>
            <w:vAlign w:val="bottom"/>
          </w:tcPr>
          <w:p>
            <w:pPr>
              <w:ind w:left="80"/>
              <w:spacing w:after="0"/>
              <w:rPr>
                <w:sz w:val="20"/>
                <w:szCs w:val="20"/>
                <w:color w:val="auto"/>
              </w:rPr>
            </w:pPr>
            <w:r>
              <w:rPr>
                <w:rFonts w:ascii="Arial" w:cs="Arial" w:eastAsia="Arial" w:hAnsi="Arial"/>
                <w:sz w:val="18"/>
                <w:szCs w:val="18"/>
                <w:color w:val="auto"/>
              </w:rPr>
              <w:t>Amended   and   Restated   Certificate   of   Incorporation</w:t>
            </w:r>
          </w:p>
        </w:tc>
        <w:tc>
          <w:tcPr>
            <w:tcW w:w="900" w:type="dxa"/>
            <w:vAlign w:val="bottom"/>
          </w:tcPr>
          <w:p>
            <w:pPr>
              <w:ind w:left="140"/>
              <w:spacing w:after="0"/>
              <w:rPr>
                <w:sz w:val="20"/>
                <w:szCs w:val="20"/>
                <w:color w:val="auto"/>
              </w:rPr>
            </w:pPr>
            <w:r>
              <w:rPr>
                <w:rFonts w:ascii="Arial" w:cs="Arial" w:eastAsia="Arial" w:hAnsi="Arial"/>
                <w:sz w:val="18"/>
                <w:szCs w:val="18"/>
                <w:color w:val="auto"/>
                <w:w w:val="99"/>
              </w:rPr>
              <w:t>of Exhibit</w:t>
            </w:r>
          </w:p>
        </w:tc>
        <w:tc>
          <w:tcPr>
            <w:tcW w:w="300" w:type="dxa"/>
            <w:vAlign w:val="bottom"/>
          </w:tcPr>
          <w:p>
            <w:pPr>
              <w:jc w:val="right"/>
              <w:spacing w:after="0"/>
              <w:rPr>
                <w:sz w:val="20"/>
                <w:szCs w:val="20"/>
                <w:color w:val="auto"/>
              </w:rPr>
            </w:pPr>
            <w:r>
              <w:rPr>
                <w:rFonts w:ascii="Arial" w:cs="Arial" w:eastAsia="Arial" w:hAnsi="Arial"/>
                <w:sz w:val="18"/>
                <w:szCs w:val="18"/>
                <w:color w:val="auto"/>
                <w:w w:val="95"/>
              </w:rPr>
              <w:t>3.1</w:t>
            </w:r>
          </w:p>
        </w:tc>
        <w:tc>
          <w:tcPr>
            <w:tcW w:w="4120" w:type="dxa"/>
            <w:vAlign w:val="bottom"/>
          </w:tcPr>
          <w:p>
            <w:pPr>
              <w:ind w:left="40"/>
              <w:spacing w:after="0"/>
              <w:rPr>
                <w:sz w:val="20"/>
                <w:szCs w:val="20"/>
                <w:color w:val="auto"/>
              </w:rPr>
            </w:pPr>
            <w:r>
              <w:rPr>
                <w:rFonts w:ascii="Arial" w:cs="Arial" w:eastAsia="Arial" w:hAnsi="Arial"/>
                <w:sz w:val="18"/>
                <w:szCs w:val="18"/>
                <w:color w:val="auto"/>
                <w:w w:val="98"/>
              </w:rPr>
              <w:t>to the Registrant's Current Report on Form 8-K (No.</w:t>
            </w:r>
          </w:p>
        </w:tc>
      </w:tr>
      <w:tr>
        <w:trPr>
          <w:trHeight w:val="230"/>
        </w:trPr>
        <w:tc>
          <w:tcPr>
            <w:tcW w:w="1120" w:type="dxa"/>
            <w:vAlign w:val="bottom"/>
          </w:tcPr>
          <w:p>
            <w:pPr>
              <w:spacing w:after="0"/>
              <w:rPr>
                <w:sz w:val="20"/>
                <w:szCs w:val="20"/>
                <w:color w:val="auto"/>
              </w:rPr>
            </w:pPr>
          </w:p>
        </w:tc>
        <w:tc>
          <w:tcPr>
            <w:tcW w:w="4980" w:type="dxa"/>
            <w:vAlign w:val="bottom"/>
          </w:tcPr>
          <w:p>
            <w:pPr>
              <w:ind w:left="80"/>
              <w:spacing w:after="0"/>
              <w:rPr>
                <w:sz w:val="20"/>
                <w:szCs w:val="20"/>
                <w:color w:val="auto"/>
              </w:rPr>
            </w:pPr>
            <w:r>
              <w:rPr>
                <w:rFonts w:ascii="Arial" w:cs="Arial" w:eastAsia="Arial" w:hAnsi="Arial"/>
                <w:sz w:val="18"/>
                <w:szCs w:val="18"/>
                <w:color w:val="auto"/>
              </w:rPr>
              <w:t>LendingTree, Inc.</w:t>
            </w: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001-34063) filed August 25, 2008</w:t>
            </w:r>
          </w:p>
        </w:tc>
      </w:tr>
      <w:tr>
        <w:trPr>
          <w:trHeight w:val="27"/>
        </w:trPr>
        <w:tc>
          <w:tcPr>
            <w:tcW w:w="11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Third Amended and Restated By-laws of LendingTree, Inc.</w:t>
            </w: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Exhibit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w:t>
            </w:r>
          </w:p>
        </w:tc>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to the Registrant's Current Report on Form 8-K filed</w:t>
            </w:r>
          </w:p>
        </w:tc>
      </w:tr>
      <w:tr>
        <w:trPr>
          <w:trHeight w:val="230"/>
        </w:trPr>
        <w:tc>
          <w:tcPr>
            <w:tcW w:w="1120" w:type="dxa"/>
            <w:vAlign w:val="bottom"/>
            <w:shd w:val="clear" w:color="auto" w:fill="CCEEFF"/>
          </w:tcPr>
          <w:p>
            <w:pPr>
              <w:spacing w:after="0"/>
              <w:rPr>
                <w:sz w:val="20"/>
                <w:szCs w:val="20"/>
                <w:color w:val="auto"/>
              </w:rPr>
            </w:pPr>
          </w:p>
        </w:tc>
        <w:tc>
          <w:tcPr>
            <w:tcW w:w="4980" w:type="dxa"/>
            <w:vAlign w:val="bottom"/>
            <w:shd w:val="clear" w:color="auto" w:fill="CCEEFF"/>
          </w:tcPr>
          <w:p>
            <w:pPr>
              <w:spacing w:after="0"/>
              <w:rPr>
                <w:sz w:val="20"/>
                <w:szCs w:val="20"/>
                <w:color w:val="auto"/>
              </w:rPr>
            </w:pPr>
          </w:p>
        </w:tc>
        <w:tc>
          <w:tcPr>
            <w:tcW w:w="5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December 31, 2014</w:t>
            </w:r>
          </w:p>
        </w:tc>
      </w:tr>
      <w:tr>
        <w:trPr>
          <w:trHeight w:val="27"/>
        </w:trPr>
        <w:tc>
          <w:tcPr>
            <w:tcW w:w="112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0300" w:type="dxa"/>
            <w:vAlign w:val="bottom"/>
            <w:gridSpan w:val="4"/>
          </w:tcPr>
          <w:p>
            <w:pPr>
              <w:ind w:left="80"/>
              <w:spacing w:after="0"/>
              <w:rPr>
                <w:sz w:val="20"/>
                <w:szCs w:val="20"/>
                <w:color w:val="auto"/>
              </w:rPr>
            </w:pPr>
            <w:r>
              <w:rPr>
                <w:rFonts w:ascii="Arial" w:cs="Arial" w:eastAsia="Arial" w:hAnsi="Arial"/>
                <w:sz w:val="18"/>
                <w:szCs w:val="18"/>
                <w:color w:val="auto"/>
                <w:w w:val="92"/>
              </w:rPr>
              <w:t>Amended  and  Restated  Restricted  Share  Grant  and  Shareholders' Exhibit 10.8 to the Registrant's Registration Statement on Form S-1</w:t>
            </w:r>
          </w:p>
        </w:tc>
      </w:tr>
      <w:tr>
        <w:trPr>
          <w:trHeight w:val="216"/>
        </w:trPr>
        <w:tc>
          <w:tcPr>
            <w:tcW w:w="112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auto"/>
                <w:w w:val="98"/>
              </w:rPr>
              <w:t>Agreement,</w:t>
            </w:r>
          </w:p>
        </w:tc>
        <w:tc>
          <w:tcPr>
            <w:tcW w:w="740" w:type="dxa"/>
            <w:vAlign w:val="bottom"/>
          </w:tcPr>
          <w:p>
            <w:pPr>
              <w:ind w:left="100"/>
              <w:spacing w:after="0"/>
              <w:rPr>
                <w:sz w:val="20"/>
                <w:szCs w:val="20"/>
                <w:color w:val="auto"/>
              </w:rPr>
            </w:pPr>
            <w:r>
              <w:rPr>
                <w:rFonts w:ascii="Arial" w:cs="Arial" w:eastAsia="Arial" w:hAnsi="Arial"/>
                <w:sz w:val="18"/>
                <w:szCs w:val="18"/>
                <w:color w:val="auto"/>
              </w:rPr>
              <w:t>among</w:t>
            </w:r>
          </w:p>
        </w:tc>
        <w:tc>
          <w:tcPr>
            <w:tcW w:w="8540" w:type="dxa"/>
            <w:vAlign w:val="bottom"/>
            <w:gridSpan w:val="2"/>
          </w:tcPr>
          <w:p>
            <w:pPr>
              <w:ind w:left="20"/>
              <w:spacing w:after="0"/>
              <w:rPr>
                <w:sz w:val="20"/>
                <w:szCs w:val="20"/>
                <w:color w:val="auto"/>
              </w:rPr>
            </w:pPr>
            <w:r>
              <w:rPr>
                <w:rFonts w:ascii="Arial" w:cs="Arial" w:eastAsia="Arial" w:hAnsi="Arial"/>
                <w:sz w:val="18"/>
                <w:szCs w:val="18"/>
                <w:color w:val="auto"/>
              </w:rPr>
              <w:t>Forest  Merger  Corp.,  LendingTree,  Inc., (No. 333-152700), filed August 1, 2008</w:t>
            </w:r>
          </w:p>
        </w:tc>
      </w:tr>
      <w:tr>
        <w:trPr>
          <w:trHeight w:val="230"/>
        </w:trPr>
        <w:tc>
          <w:tcPr>
            <w:tcW w:w="1120" w:type="dxa"/>
            <w:vAlign w:val="bottom"/>
          </w:tcPr>
          <w:p>
            <w:pPr>
              <w:spacing w:after="0"/>
              <w:rPr>
                <w:sz w:val="20"/>
                <w:szCs w:val="20"/>
                <w:color w:val="auto"/>
              </w:rPr>
            </w:pPr>
          </w:p>
        </w:tc>
        <w:tc>
          <w:tcPr>
            <w:tcW w:w="5280" w:type="dxa"/>
            <w:vAlign w:val="bottom"/>
            <w:gridSpan w:val="3"/>
          </w:tcPr>
          <w:p>
            <w:pPr>
              <w:ind w:left="80"/>
              <w:spacing w:after="0"/>
              <w:rPr>
                <w:sz w:val="20"/>
                <w:szCs w:val="20"/>
                <w:color w:val="auto"/>
              </w:rPr>
            </w:pPr>
            <w:r>
              <w:rPr>
                <w:rFonts w:ascii="Arial" w:cs="Arial" w:eastAsia="Arial" w:hAnsi="Arial"/>
                <w:sz w:val="18"/>
                <w:szCs w:val="18"/>
                <w:color w:val="auto"/>
                <w:w w:val="93"/>
              </w:rPr>
              <w:t>InterActiveCorp and the Grantees named therein, dated July 7, 2003*</w:t>
            </w: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10300" w:type="dxa"/>
            <w:vAlign w:val="bottom"/>
            <w:gridSpan w:val="4"/>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3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96"/>
              </w:rPr>
              <w:t>Registration Rights Agreement among Tree.com, Inc., Liberty Media Exhibit 10.5 to the Registrant's Current Report on Form 8-K (No.</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w w:val="95"/>
              </w:rPr>
              <w:t>Corporation and Liberty USA Holdings, LLC, dated August 20, 2008.</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001-34063) filed August 25, 2008</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5280" w:type="dxa"/>
            <w:vAlign w:val="bottom"/>
            <w:gridSpan w:val="3"/>
          </w:tcPr>
          <w:p>
            <w:pPr>
              <w:ind w:left="80"/>
              <w:spacing w:after="0"/>
              <w:rPr>
                <w:sz w:val="20"/>
                <w:szCs w:val="20"/>
                <w:color w:val="auto"/>
              </w:rPr>
            </w:pPr>
            <w:r>
              <w:rPr>
                <w:rFonts w:ascii="Arial" w:cs="Arial" w:eastAsia="Arial" w:hAnsi="Arial"/>
                <w:sz w:val="18"/>
                <w:szCs w:val="18"/>
                <w:color w:val="auto"/>
                <w:w w:val="90"/>
              </w:rPr>
              <w:t>Letter Agreement between Tree.com, Inc. and Alexander Mandel, dated</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10.1 to the Registrant's Quarterly Report on Form 10-Q filed</w:t>
            </w:r>
          </w:p>
        </w:tc>
      </w:tr>
      <w:tr>
        <w:trPr>
          <w:trHeight w:val="230"/>
        </w:trPr>
        <w:tc>
          <w:tcPr>
            <w:tcW w:w="112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color w:val="auto"/>
              </w:rPr>
              <w:t>July 27, 2012*</w:t>
            </w:r>
          </w:p>
        </w:tc>
        <w:tc>
          <w:tcPr>
            <w:tcW w:w="35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November 14, 2012</w:t>
            </w:r>
          </w:p>
        </w:tc>
      </w:tr>
      <w:tr>
        <w:trPr>
          <w:trHeight w:val="27"/>
        </w:trPr>
        <w:tc>
          <w:tcPr>
            <w:tcW w:w="1120" w:type="dxa"/>
            <w:vAlign w:val="bottom"/>
          </w:tcPr>
          <w:p>
            <w:pPr>
              <w:spacing w:after="0"/>
              <w:rPr>
                <w:sz w:val="2"/>
                <w:szCs w:val="2"/>
                <w:color w:val="auto"/>
              </w:rPr>
            </w:pPr>
          </w:p>
        </w:tc>
        <w:tc>
          <w:tcPr>
            <w:tcW w:w="5280" w:type="dxa"/>
            <w:vAlign w:val="bottom"/>
            <w:gridSpan w:val="3"/>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Change in Control Letter between Tree.com, Inc. and Alexander</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Exhibit 10.2 to Registrant's Quarterly Report on Form 10-Q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Mandel, dated July 27, 2012*</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14, 2012</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10300" w:type="dxa"/>
            <w:vAlign w:val="bottom"/>
            <w:gridSpan w:val="4"/>
          </w:tcPr>
          <w:p>
            <w:pPr>
              <w:ind w:left="80"/>
              <w:spacing w:after="0"/>
              <w:rPr>
                <w:sz w:val="20"/>
                <w:szCs w:val="20"/>
                <w:color w:val="auto"/>
              </w:rPr>
            </w:pPr>
            <w:r>
              <w:rPr>
                <w:rFonts w:ascii="Arial" w:cs="Arial" w:eastAsia="Arial" w:hAnsi="Arial"/>
                <w:sz w:val="18"/>
                <w:szCs w:val="18"/>
                <w:color w:val="auto"/>
                <w:w w:val="91"/>
              </w:rPr>
              <w:t>Amended Employment Offer and Change in Control Letter and Release Exhibit 10.1 to the Registrant's Quarterly Report on Form 10-Q filed</w:t>
            </w:r>
          </w:p>
        </w:tc>
      </w:tr>
      <w:tr>
        <w:trPr>
          <w:trHeight w:val="216"/>
        </w:trPr>
        <w:tc>
          <w:tcPr>
            <w:tcW w:w="1120" w:type="dxa"/>
            <w:vAlign w:val="bottom"/>
          </w:tcPr>
          <w:p>
            <w:pPr>
              <w:spacing w:after="0"/>
              <w:rPr>
                <w:sz w:val="18"/>
                <w:szCs w:val="18"/>
                <w:color w:val="auto"/>
              </w:rPr>
            </w:pPr>
          </w:p>
        </w:tc>
        <w:tc>
          <w:tcPr>
            <w:tcW w:w="10300" w:type="dxa"/>
            <w:vAlign w:val="bottom"/>
            <w:gridSpan w:val="4"/>
          </w:tcPr>
          <w:p>
            <w:pPr>
              <w:ind w:left="80"/>
              <w:spacing w:after="0"/>
              <w:rPr>
                <w:sz w:val="20"/>
                <w:szCs w:val="20"/>
                <w:color w:val="auto"/>
              </w:rPr>
            </w:pPr>
            <w:r>
              <w:rPr>
                <w:rFonts w:ascii="Arial" w:cs="Arial" w:eastAsia="Arial" w:hAnsi="Arial"/>
                <w:sz w:val="18"/>
                <w:szCs w:val="18"/>
                <w:color w:val="auto"/>
              </w:rPr>
              <w:t>by and between Alexander Mandel and LendingTree, Inc., dated July 2, October 26, 2015</w:t>
            </w:r>
          </w:p>
        </w:tc>
      </w:tr>
      <w:tr>
        <w:trPr>
          <w:trHeight w:val="230"/>
        </w:trPr>
        <w:tc>
          <w:tcPr>
            <w:tcW w:w="1120" w:type="dxa"/>
            <w:vAlign w:val="bottom"/>
          </w:tcPr>
          <w:p>
            <w:pPr>
              <w:spacing w:after="0"/>
              <w:rPr>
                <w:sz w:val="20"/>
                <w:szCs w:val="20"/>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auto"/>
              </w:rPr>
              <w:t>2015 *</w:t>
            </w:r>
          </w:p>
        </w:tc>
        <w:tc>
          <w:tcPr>
            <w:tcW w:w="7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10300" w:type="dxa"/>
            <w:vAlign w:val="bottom"/>
            <w:gridSpan w:val="4"/>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3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95"/>
              </w:rPr>
              <w:t>Letter Agreement between Tree.com, Inc. and Carla Shumate, dated Exhibit 10.1 to the Registrant's Annual Report on Form 10-K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December 11, 2012*</w:t>
            </w:r>
          </w:p>
        </w:tc>
        <w:tc>
          <w:tcPr>
            <w:tcW w:w="35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2013</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5280" w:type="dxa"/>
            <w:vAlign w:val="bottom"/>
            <w:gridSpan w:val="3"/>
          </w:tcPr>
          <w:p>
            <w:pPr>
              <w:ind w:left="80"/>
              <w:spacing w:after="0"/>
              <w:rPr>
                <w:sz w:val="20"/>
                <w:szCs w:val="20"/>
                <w:color w:val="auto"/>
              </w:rPr>
            </w:pPr>
            <w:r>
              <w:rPr>
                <w:rFonts w:ascii="Arial" w:cs="Arial" w:eastAsia="Arial" w:hAnsi="Arial"/>
                <w:sz w:val="18"/>
                <w:szCs w:val="18"/>
                <w:color w:val="auto"/>
                <w:w w:val="90"/>
              </w:rPr>
              <w:t>Letter Agreement between LendingTree, Inc. and Carla Shumate, dated</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10.1 to the Registrant's Quarterly Report on Form 10-Q filed</w:t>
            </w:r>
          </w:p>
        </w:tc>
      </w:tr>
      <w:tr>
        <w:trPr>
          <w:trHeight w:val="230"/>
        </w:trPr>
        <w:tc>
          <w:tcPr>
            <w:tcW w:w="112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color w:val="auto"/>
              </w:rPr>
              <w:t>March 11, 2015*</w:t>
            </w:r>
          </w:p>
        </w:tc>
        <w:tc>
          <w:tcPr>
            <w:tcW w:w="35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April 30, 2015</w:t>
            </w:r>
          </w:p>
        </w:tc>
      </w:tr>
      <w:tr>
        <w:trPr>
          <w:trHeight w:val="27"/>
        </w:trPr>
        <w:tc>
          <w:tcPr>
            <w:tcW w:w="1120" w:type="dxa"/>
            <w:vAlign w:val="bottom"/>
          </w:tcPr>
          <w:p>
            <w:pPr>
              <w:spacing w:after="0"/>
              <w:rPr>
                <w:sz w:val="2"/>
                <w:szCs w:val="2"/>
                <w:color w:val="auto"/>
              </w:rPr>
            </w:pPr>
          </w:p>
        </w:tc>
        <w:tc>
          <w:tcPr>
            <w:tcW w:w="10300" w:type="dxa"/>
            <w:vAlign w:val="bottom"/>
            <w:gridSpan w:val="4"/>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3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Letter Agreement between LendingTree, Inc. and Carla Shumate, dated †</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December 31, 2015*</w:t>
            </w:r>
          </w:p>
        </w:tc>
        <w:tc>
          <w:tcPr>
            <w:tcW w:w="35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10300" w:type="dxa"/>
            <w:vAlign w:val="bottom"/>
            <w:gridSpan w:val="4"/>
          </w:tcPr>
          <w:p>
            <w:pPr>
              <w:ind w:left="80"/>
              <w:spacing w:after="0"/>
              <w:rPr>
                <w:sz w:val="20"/>
                <w:szCs w:val="20"/>
                <w:color w:val="auto"/>
              </w:rPr>
            </w:pPr>
            <w:r>
              <w:rPr>
                <w:rFonts w:ascii="Arial" w:cs="Arial" w:eastAsia="Arial" w:hAnsi="Arial"/>
                <w:sz w:val="18"/>
                <w:szCs w:val="18"/>
                <w:color w:val="auto"/>
                <w:w w:val="93"/>
              </w:rPr>
              <w:t>Employment Agreement between Tree.com, Inc. and Douglas Lebda, Exhibit 10.1 to the Registrant's Quarterly Report on Form 10-Q filed</w:t>
            </w:r>
          </w:p>
        </w:tc>
      </w:tr>
      <w:tr>
        <w:trPr>
          <w:trHeight w:val="230"/>
        </w:trPr>
        <w:tc>
          <w:tcPr>
            <w:tcW w:w="112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color w:val="auto"/>
                <w:w w:val="89"/>
              </w:rPr>
              <w:t>dated January 9, 2014*</w:t>
            </w:r>
          </w:p>
        </w:tc>
        <w:tc>
          <w:tcPr>
            <w:tcW w:w="35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May 7, 2014</w:t>
            </w:r>
          </w:p>
        </w:tc>
      </w:tr>
      <w:tr>
        <w:trPr>
          <w:trHeight w:val="27"/>
        </w:trPr>
        <w:tc>
          <w:tcPr>
            <w:tcW w:w="1120" w:type="dxa"/>
            <w:vAlign w:val="bottom"/>
          </w:tcPr>
          <w:p>
            <w:pPr>
              <w:spacing w:after="0"/>
              <w:rPr>
                <w:sz w:val="2"/>
                <w:szCs w:val="2"/>
                <w:color w:val="auto"/>
              </w:rPr>
            </w:pPr>
          </w:p>
        </w:tc>
        <w:tc>
          <w:tcPr>
            <w:tcW w:w="5280" w:type="dxa"/>
            <w:vAlign w:val="bottom"/>
            <w:gridSpan w:val="3"/>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Restricted  Share  Grant  and  Stockholder's  Agreement  among</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Exhibits 99.2 and 99.3 to the Registrant's Current Report on Form 8-</w:t>
            </w:r>
          </w:p>
        </w:tc>
      </w:tr>
      <w:tr>
        <w:trPr>
          <w:trHeight w:val="216"/>
        </w:trPr>
        <w:tc>
          <w:tcPr>
            <w:tcW w:w="1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IAC/InterActiveCorp,</w:t>
            </w: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Holdings Corp. and Douglas R. K (No. 001-34063) filed August 20, 2008</w:t>
            </w:r>
          </w:p>
        </w:tc>
      </w:tr>
      <w:tr>
        <w:trPr>
          <w:trHeight w:val="216"/>
        </w:trPr>
        <w:tc>
          <w:tcPr>
            <w:tcW w:w="1120" w:type="dxa"/>
            <w:vAlign w:val="bottom"/>
            <w:shd w:val="clear" w:color="auto" w:fill="CCEEFF"/>
          </w:tcPr>
          <w:p>
            <w:pPr>
              <w:spacing w:after="0"/>
              <w:rPr>
                <w:sz w:val="18"/>
                <w:szCs w:val="18"/>
                <w:color w:val="auto"/>
              </w:rPr>
            </w:pPr>
          </w:p>
        </w:tc>
        <w:tc>
          <w:tcPr>
            <w:tcW w:w="5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Lebda, dated August 15, 2008, together with Exhibit A thereto,</w:t>
            </w:r>
          </w:p>
        </w:tc>
        <w:tc>
          <w:tcPr>
            <w:tcW w:w="5020" w:type="dxa"/>
            <w:vAlign w:val="bottom"/>
            <w:shd w:val="clear" w:color="auto" w:fill="CCEEFF"/>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5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7"/>
              </w:rPr>
              <w:t>Amended and Restated Certificate of Incorporation of LendingTree</w:t>
            </w:r>
          </w:p>
        </w:tc>
        <w:tc>
          <w:tcPr>
            <w:tcW w:w="5020" w:type="dxa"/>
            <w:vAlign w:val="bottom"/>
            <w:shd w:val="clear" w:color="auto" w:fill="CCEEFF"/>
          </w:tcPr>
          <w:p>
            <w:pPr>
              <w:spacing w:after="0"/>
              <w:rPr>
                <w:sz w:val="18"/>
                <w:szCs w:val="18"/>
                <w:color w:val="auto"/>
              </w:rPr>
            </w:pP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Holdings Corp.*</w:t>
            </w:r>
          </w:p>
        </w:tc>
        <w:tc>
          <w:tcPr>
            <w:tcW w:w="35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1020" w:type="dxa"/>
            <w:vAlign w:val="bottom"/>
          </w:tcPr>
          <w:p>
            <w:pPr>
              <w:ind w:left="80"/>
              <w:spacing w:after="0"/>
              <w:rPr>
                <w:sz w:val="20"/>
                <w:szCs w:val="20"/>
                <w:color w:val="auto"/>
              </w:rPr>
            </w:pPr>
            <w:r>
              <w:rPr>
                <w:rFonts w:ascii="Arial" w:cs="Arial" w:eastAsia="Arial" w:hAnsi="Arial"/>
                <w:sz w:val="18"/>
                <w:szCs w:val="18"/>
                <w:color w:val="auto"/>
                <w:w w:val="94"/>
              </w:rPr>
              <w:t>Amendment</w:t>
            </w:r>
          </w:p>
        </w:tc>
        <w:tc>
          <w:tcPr>
            <w:tcW w:w="740" w:type="dxa"/>
            <w:vAlign w:val="bottom"/>
          </w:tcPr>
          <w:p>
            <w:pPr>
              <w:ind w:left="40"/>
              <w:spacing w:after="0"/>
              <w:rPr>
                <w:sz w:val="20"/>
                <w:szCs w:val="20"/>
                <w:color w:val="auto"/>
              </w:rPr>
            </w:pPr>
            <w:r>
              <w:rPr>
                <w:rFonts w:ascii="Arial" w:cs="Arial" w:eastAsia="Arial" w:hAnsi="Arial"/>
                <w:sz w:val="18"/>
                <w:szCs w:val="18"/>
                <w:color w:val="auto"/>
              </w:rPr>
              <w:t>No. 1 to</w:t>
            </w:r>
          </w:p>
        </w:tc>
        <w:tc>
          <w:tcPr>
            <w:tcW w:w="8540" w:type="dxa"/>
            <w:vAlign w:val="bottom"/>
            <w:gridSpan w:val="2"/>
          </w:tcPr>
          <w:p>
            <w:pPr>
              <w:ind w:left="60"/>
              <w:spacing w:after="0"/>
              <w:rPr>
                <w:sz w:val="20"/>
                <w:szCs w:val="20"/>
                <w:color w:val="auto"/>
              </w:rPr>
            </w:pPr>
            <w:r>
              <w:rPr>
                <w:rFonts w:ascii="Arial" w:cs="Arial" w:eastAsia="Arial" w:hAnsi="Arial"/>
                <w:sz w:val="18"/>
                <w:szCs w:val="18"/>
                <w:color w:val="auto"/>
                <w:w w:val="93"/>
              </w:rPr>
              <w:t>the Restricted Share Grant and Stockholder's Exhibit 10.4 to the Registrant's Quarterly Report on Form 10-Q (No.</w:t>
            </w:r>
          </w:p>
        </w:tc>
      </w:tr>
      <w:tr>
        <w:trPr>
          <w:trHeight w:val="216"/>
        </w:trPr>
        <w:tc>
          <w:tcPr>
            <w:tcW w:w="1120" w:type="dxa"/>
            <w:vAlign w:val="bottom"/>
          </w:tcPr>
          <w:p>
            <w:pPr>
              <w:spacing w:after="0"/>
              <w:rPr>
                <w:sz w:val="18"/>
                <w:szCs w:val="18"/>
                <w:color w:val="auto"/>
              </w:rPr>
            </w:pPr>
          </w:p>
        </w:tc>
        <w:tc>
          <w:tcPr>
            <w:tcW w:w="5280" w:type="dxa"/>
            <w:vAlign w:val="bottom"/>
            <w:gridSpan w:val="3"/>
          </w:tcPr>
          <w:p>
            <w:pPr>
              <w:ind w:left="80"/>
              <w:spacing w:after="0"/>
              <w:rPr>
                <w:sz w:val="20"/>
                <w:szCs w:val="20"/>
                <w:color w:val="auto"/>
              </w:rPr>
            </w:pPr>
            <w:r>
              <w:rPr>
                <w:rFonts w:ascii="Arial" w:cs="Arial" w:eastAsia="Arial" w:hAnsi="Arial"/>
                <w:sz w:val="18"/>
                <w:szCs w:val="18"/>
                <w:color w:val="auto"/>
                <w:w w:val="93"/>
              </w:rPr>
              <w:t>Agreement between Tree.com, Inc., LendingTree Holdings Corp. and</w:t>
            </w:r>
          </w:p>
        </w:tc>
        <w:tc>
          <w:tcPr>
            <w:tcW w:w="5020" w:type="dxa"/>
            <w:vAlign w:val="bottom"/>
          </w:tcPr>
          <w:p>
            <w:pPr>
              <w:ind w:left="40"/>
              <w:spacing w:after="0"/>
              <w:rPr>
                <w:sz w:val="20"/>
                <w:szCs w:val="20"/>
                <w:color w:val="auto"/>
              </w:rPr>
            </w:pPr>
            <w:r>
              <w:rPr>
                <w:rFonts w:ascii="Arial" w:cs="Arial" w:eastAsia="Arial" w:hAnsi="Arial"/>
                <w:sz w:val="18"/>
                <w:szCs w:val="18"/>
                <w:color w:val="auto"/>
              </w:rPr>
              <w:t>001-34063) filed November 12, 2010</w:t>
            </w:r>
          </w:p>
        </w:tc>
      </w:tr>
      <w:tr>
        <w:trPr>
          <w:trHeight w:val="230"/>
        </w:trPr>
        <w:tc>
          <w:tcPr>
            <w:tcW w:w="1120" w:type="dxa"/>
            <w:vAlign w:val="bottom"/>
          </w:tcPr>
          <w:p>
            <w:pPr>
              <w:spacing w:after="0"/>
              <w:rPr>
                <w:sz w:val="20"/>
                <w:szCs w:val="20"/>
                <w:color w:val="auto"/>
              </w:rPr>
            </w:pPr>
          </w:p>
        </w:tc>
        <w:tc>
          <w:tcPr>
            <w:tcW w:w="5280" w:type="dxa"/>
            <w:vAlign w:val="bottom"/>
            <w:gridSpan w:val="3"/>
          </w:tcPr>
          <w:p>
            <w:pPr>
              <w:ind w:left="80"/>
              <w:spacing w:after="0"/>
              <w:rPr>
                <w:sz w:val="20"/>
                <w:szCs w:val="20"/>
                <w:color w:val="auto"/>
              </w:rPr>
            </w:pPr>
            <w:r>
              <w:rPr>
                <w:rFonts w:ascii="Arial" w:cs="Arial" w:eastAsia="Arial" w:hAnsi="Arial"/>
                <w:sz w:val="18"/>
                <w:szCs w:val="18"/>
                <w:color w:val="auto"/>
              </w:rPr>
              <w:t>Douglas R. Lebda, dated August 30, 2010*</w:t>
            </w: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10300" w:type="dxa"/>
            <w:vAlign w:val="bottom"/>
            <w:gridSpan w:val="4"/>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3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98"/>
              </w:rPr>
              <w:t>Amendment No. 1 to the Stock Option Award Agreement between Exhibit 10.15 to the Registrant's Quarterly Report on Form 10-Q</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Douglas R. Lebda and Tree.com, Inc., dated May 10, 2010*</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 001-34063) filed May 12, 2010</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10.11</w:t>
            </w:r>
          </w:p>
        </w:tc>
        <w:tc>
          <w:tcPr>
            <w:tcW w:w="5280" w:type="dxa"/>
            <w:vAlign w:val="bottom"/>
            <w:gridSpan w:val="3"/>
          </w:tcPr>
          <w:p>
            <w:pPr>
              <w:ind w:left="80"/>
              <w:spacing w:after="0"/>
              <w:rPr>
                <w:sz w:val="20"/>
                <w:szCs w:val="20"/>
                <w:color w:val="auto"/>
              </w:rPr>
            </w:pPr>
            <w:r>
              <w:rPr>
                <w:rFonts w:ascii="Arial" w:cs="Arial" w:eastAsia="Arial" w:hAnsi="Arial"/>
                <w:sz w:val="18"/>
                <w:szCs w:val="18"/>
                <w:color w:val="auto"/>
                <w:w w:val="92"/>
              </w:rPr>
              <w:t>Employment Agreement between Tree.com, Inc. and Gabriel Dalporto,</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10.2 to the Registrant's Quarterly Report on Form 10-Q filed</w:t>
            </w:r>
          </w:p>
        </w:tc>
      </w:tr>
      <w:tr>
        <w:trPr>
          <w:trHeight w:val="230"/>
        </w:trPr>
        <w:tc>
          <w:tcPr>
            <w:tcW w:w="112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color w:val="auto"/>
                <w:w w:val="89"/>
              </w:rPr>
              <w:t>dated January 9, 2014*</w:t>
            </w:r>
          </w:p>
        </w:tc>
        <w:tc>
          <w:tcPr>
            <w:tcW w:w="35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May 7, 2014</w:t>
            </w:r>
          </w:p>
        </w:tc>
      </w:tr>
      <w:tr>
        <w:trPr>
          <w:trHeight w:val="27"/>
        </w:trPr>
        <w:tc>
          <w:tcPr>
            <w:tcW w:w="1120" w:type="dxa"/>
            <w:vAlign w:val="bottom"/>
          </w:tcPr>
          <w:p>
            <w:pPr>
              <w:spacing w:after="0"/>
              <w:rPr>
                <w:sz w:val="2"/>
                <w:szCs w:val="2"/>
                <w:color w:val="auto"/>
              </w:rPr>
            </w:pPr>
          </w:p>
        </w:tc>
        <w:tc>
          <w:tcPr>
            <w:tcW w:w="5280" w:type="dxa"/>
            <w:vAlign w:val="bottom"/>
            <w:gridSpan w:val="3"/>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5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6"/>
              </w:rPr>
              <w:t>Employment  Agreement  between  LendingTree,  Inc.  and  Gabriel</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Exhibit 10.6 to the Registrant's Annual Report on Form 10-K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Dalporto, dated March 11, 2015*</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16, 2015</w:t>
            </w:r>
          </w:p>
        </w:tc>
      </w:tr>
      <w:tr>
        <w:trPr>
          <w:trHeight w:val="459"/>
        </w:trPr>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20" w:type="dxa"/>
            <w:vAlign w:val="bottom"/>
          </w:tcPr>
          <w:p>
            <w:pPr>
              <w:jc w:val="right"/>
              <w:ind w:right="510"/>
              <w:spacing w:after="0"/>
              <w:rPr>
                <w:sz w:val="20"/>
                <w:szCs w:val="20"/>
                <w:color w:val="auto"/>
              </w:rPr>
            </w:pPr>
            <w:r>
              <w:rPr>
                <w:rFonts w:ascii="Arial" w:cs="Arial" w:eastAsia="Arial" w:hAnsi="Arial"/>
                <w:sz w:val="18"/>
                <w:szCs w:val="18"/>
                <w:color w:val="auto"/>
              </w:rPr>
              <w:t>70</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type w:val="continuous"/>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Exhibit</w:t>
            </w:r>
          </w:p>
        </w:tc>
        <w:tc>
          <w:tcPr>
            <w:tcW w:w="50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34"/>
        </w:trPr>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w:t>
            </w:r>
          </w:p>
        </w:tc>
        <w:tc>
          <w:tcPr>
            <w:tcW w:w="5040" w:type="dxa"/>
            <w:vAlign w:val="bottom"/>
          </w:tcPr>
          <w:p>
            <w:pPr>
              <w:ind w:left="2220"/>
              <w:spacing w:after="0"/>
              <w:rPr>
                <w:sz w:val="20"/>
                <w:szCs w:val="20"/>
                <w:color w:val="auto"/>
              </w:rPr>
            </w:pPr>
            <w:r>
              <w:rPr>
                <w:rFonts w:ascii="Arial" w:cs="Arial" w:eastAsia="Arial" w:hAnsi="Arial"/>
                <w:sz w:val="18"/>
                <w:szCs w:val="18"/>
                <w:b w:val="1"/>
                <w:bCs w:val="1"/>
                <w:color w:val="auto"/>
              </w:rPr>
              <w:t>Description</w:t>
            </w:r>
          </w:p>
        </w:tc>
        <w:tc>
          <w:tcPr>
            <w:tcW w:w="5260" w:type="dxa"/>
            <w:vAlign w:val="bottom"/>
          </w:tcPr>
          <w:p>
            <w:pPr>
              <w:ind w:left="24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1120" w:type="dxa"/>
            <w:vAlign w:val="bottom"/>
            <w:tcBorders>
              <w:bottom w:val="single" w:sz="8" w:color="auto"/>
            </w:tcBorders>
          </w:tcPr>
          <w:p>
            <w:pPr>
              <w:spacing w:after="0"/>
              <w:rPr>
                <w:sz w:val="2"/>
                <w:szCs w:val="2"/>
                <w:color w:val="auto"/>
              </w:rPr>
            </w:pPr>
          </w:p>
        </w:tc>
        <w:tc>
          <w:tcPr>
            <w:tcW w:w="10300" w:type="dxa"/>
            <w:vAlign w:val="bottom"/>
            <w:tcBorders>
              <w:bottom w:val="single" w:sz="8" w:color="auto"/>
            </w:tcBorders>
            <w:gridSpan w:val="2"/>
          </w:tcPr>
          <w:p>
            <w:pPr>
              <w:spacing w:after="0"/>
              <w:rPr>
                <w:sz w:val="2"/>
                <w:szCs w:val="2"/>
                <w:color w:val="auto"/>
              </w:rPr>
            </w:pPr>
          </w:p>
        </w:tc>
      </w:tr>
      <w:tr>
        <w:trPr>
          <w:trHeight w:val="222"/>
        </w:trPr>
        <w:tc>
          <w:tcPr>
            <w:tcW w:w="1120" w:type="dxa"/>
            <w:vAlign w:val="bottom"/>
          </w:tcPr>
          <w:p>
            <w:pPr>
              <w:jc w:val="right"/>
              <w:spacing w:after="0"/>
              <w:rPr>
                <w:sz w:val="20"/>
                <w:szCs w:val="20"/>
                <w:color w:val="auto"/>
              </w:rPr>
            </w:pPr>
            <w:r>
              <w:rPr>
                <w:rFonts w:ascii="Arial" w:cs="Arial" w:eastAsia="Arial" w:hAnsi="Arial"/>
                <w:sz w:val="18"/>
                <w:szCs w:val="18"/>
                <w:color w:val="auto"/>
              </w:rPr>
              <w:t>10.13</w:t>
            </w:r>
          </w:p>
        </w:tc>
        <w:tc>
          <w:tcPr>
            <w:tcW w:w="10300" w:type="dxa"/>
            <w:vAlign w:val="bottom"/>
            <w:gridSpan w:val="2"/>
          </w:tcPr>
          <w:p>
            <w:pPr>
              <w:ind w:left="80"/>
              <w:spacing w:after="0"/>
              <w:rPr>
                <w:sz w:val="20"/>
                <w:szCs w:val="20"/>
                <w:color w:val="auto"/>
              </w:rPr>
            </w:pPr>
            <w:r>
              <w:rPr>
                <w:rFonts w:ascii="Arial" w:cs="Arial" w:eastAsia="Arial" w:hAnsi="Arial"/>
                <w:sz w:val="18"/>
                <w:szCs w:val="18"/>
                <w:color w:val="auto"/>
              </w:rPr>
              <w:t>Letter Agreement between LendingTree, Inc. and Nikul Patel, dated †</w:t>
            </w:r>
          </w:p>
        </w:tc>
      </w:tr>
      <w:tr>
        <w:trPr>
          <w:trHeight w:val="230"/>
        </w:trPr>
        <w:tc>
          <w:tcPr>
            <w:tcW w:w="1120" w:type="dxa"/>
            <w:vAlign w:val="bottom"/>
          </w:tcPr>
          <w:p>
            <w:pPr>
              <w:spacing w:after="0"/>
              <w:rPr>
                <w:sz w:val="20"/>
                <w:szCs w:val="20"/>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December 31, 2015*</w:t>
            </w:r>
          </w:p>
        </w:tc>
        <w:tc>
          <w:tcPr>
            <w:tcW w:w="526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10300" w:type="dxa"/>
            <w:vAlign w:val="bottom"/>
            <w:gridSpan w:val="2"/>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2"/>
              </w:rPr>
              <w:t>Fourth Amended and Restated Tree.com, Inc. 2008 Stock and Annual Exhibit 10.1 to the Registrant's Quarterly Report on Form 10-Q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Incentive Plan*</w:t>
            </w:r>
          </w:p>
        </w:tc>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August 7, 2014</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10.15</w:t>
            </w:r>
          </w:p>
        </w:tc>
        <w:tc>
          <w:tcPr>
            <w:tcW w:w="5040" w:type="dxa"/>
            <w:vAlign w:val="bottom"/>
          </w:tcPr>
          <w:p>
            <w:pPr>
              <w:ind w:left="80"/>
              <w:spacing w:after="0"/>
              <w:rPr>
                <w:sz w:val="20"/>
                <w:szCs w:val="20"/>
                <w:color w:val="auto"/>
              </w:rPr>
            </w:pPr>
            <w:r>
              <w:rPr>
                <w:rFonts w:ascii="Arial" w:cs="Arial" w:eastAsia="Arial" w:hAnsi="Arial"/>
                <w:sz w:val="18"/>
                <w:szCs w:val="18"/>
                <w:color w:val="auto"/>
              </w:rPr>
              <w:t>Deferred Compensation Plan for Non-Employee Directors*</w:t>
            </w:r>
          </w:p>
        </w:tc>
        <w:tc>
          <w:tcPr>
            <w:tcW w:w="5260" w:type="dxa"/>
            <w:vAlign w:val="bottom"/>
          </w:tcPr>
          <w:p>
            <w:pPr>
              <w:ind w:left="280"/>
              <w:spacing w:after="0"/>
              <w:rPr>
                <w:sz w:val="20"/>
                <w:szCs w:val="20"/>
                <w:color w:val="auto"/>
              </w:rPr>
            </w:pPr>
            <w:r>
              <w:rPr>
                <w:rFonts w:ascii="Arial" w:cs="Arial" w:eastAsia="Arial" w:hAnsi="Arial"/>
                <w:sz w:val="18"/>
                <w:szCs w:val="18"/>
                <w:color w:val="auto"/>
                <w:w w:val="92"/>
              </w:rPr>
              <w:t>Exhibit 10.15 to the Registrant's Registration Statement on Form S-</w:t>
            </w:r>
          </w:p>
        </w:tc>
      </w:tr>
      <w:tr>
        <w:trPr>
          <w:trHeight w:val="230"/>
        </w:trPr>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5260" w:type="dxa"/>
            <w:vAlign w:val="bottom"/>
          </w:tcPr>
          <w:p>
            <w:pPr>
              <w:ind w:left="280"/>
              <w:spacing w:after="0"/>
              <w:rPr>
                <w:sz w:val="20"/>
                <w:szCs w:val="20"/>
                <w:color w:val="auto"/>
              </w:rPr>
            </w:pPr>
            <w:r>
              <w:rPr>
                <w:rFonts w:ascii="Arial" w:cs="Arial" w:eastAsia="Arial" w:hAnsi="Arial"/>
                <w:sz w:val="18"/>
                <w:szCs w:val="18"/>
                <w:color w:val="auto"/>
              </w:rPr>
              <w:t>1 (No. 333-152700), filed August 1, 2008</w:t>
            </w:r>
          </w:p>
        </w:tc>
      </w:tr>
      <w:tr>
        <w:trPr>
          <w:trHeight w:val="27"/>
        </w:trPr>
        <w:tc>
          <w:tcPr>
            <w:tcW w:w="11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2011 Deferred Compensation Plan for Non-Employee Directors*</w:t>
            </w:r>
          </w:p>
        </w:tc>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Exhibit 10.2 to the Registrant's Quarterly Report on Form 10-Q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April 30, 2015</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10.17</w:t>
            </w:r>
          </w:p>
        </w:tc>
        <w:tc>
          <w:tcPr>
            <w:tcW w:w="5040" w:type="dxa"/>
            <w:vAlign w:val="bottom"/>
          </w:tcPr>
          <w:p>
            <w:pPr>
              <w:ind w:left="80"/>
              <w:spacing w:after="0"/>
              <w:rPr>
                <w:sz w:val="20"/>
                <w:szCs w:val="20"/>
                <w:color w:val="auto"/>
              </w:rPr>
            </w:pPr>
            <w:r>
              <w:rPr>
                <w:rFonts w:ascii="Arial" w:cs="Arial" w:eastAsia="Arial" w:hAnsi="Arial"/>
                <w:sz w:val="18"/>
                <w:szCs w:val="18"/>
                <w:color w:val="auto"/>
              </w:rPr>
              <w:t>Form of Notice of Restricted Stock Unit Award*</w:t>
            </w:r>
          </w:p>
        </w:tc>
        <w:tc>
          <w:tcPr>
            <w:tcW w:w="5260" w:type="dxa"/>
            <w:vAlign w:val="bottom"/>
          </w:tcPr>
          <w:p>
            <w:pPr>
              <w:ind w:left="280"/>
              <w:spacing w:after="0"/>
              <w:rPr>
                <w:sz w:val="20"/>
                <w:szCs w:val="20"/>
                <w:color w:val="auto"/>
              </w:rPr>
            </w:pPr>
            <w:r>
              <w:rPr>
                <w:rFonts w:ascii="Arial" w:cs="Arial" w:eastAsia="Arial" w:hAnsi="Arial"/>
                <w:sz w:val="18"/>
                <w:szCs w:val="18"/>
                <w:color w:val="auto"/>
                <w:w w:val="92"/>
              </w:rPr>
              <w:t>Exhibit 10.86(b) to the Registrant's Post-Effective Amendment to its</w:t>
            </w:r>
          </w:p>
        </w:tc>
      </w:tr>
      <w:tr>
        <w:trPr>
          <w:trHeight w:val="216"/>
        </w:trPr>
        <w:tc>
          <w:tcPr>
            <w:tcW w:w="1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5260" w:type="dxa"/>
            <w:vAlign w:val="bottom"/>
          </w:tcPr>
          <w:p>
            <w:pPr>
              <w:ind w:left="280"/>
              <w:spacing w:after="0"/>
              <w:rPr>
                <w:sz w:val="20"/>
                <w:szCs w:val="20"/>
                <w:color w:val="auto"/>
              </w:rPr>
            </w:pPr>
            <w:r>
              <w:rPr>
                <w:rFonts w:ascii="Arial" w:cs="Arial" w:eastAsia="Arial" w:hAnsi="Arial"/>
                <w:sz w:val="18"/>
                <w:szCs w:val="18"/>
                <w:color w:val="auto"/>
                <w:w w:val="96"/>
              </w:rPr>
              <w:t>Registration  Statement  on  Form  S-1  (No.  333-152700),  filed</w:t>
            </w:r>
          </w:p>
        </w:tc>
      </w:tr>
      <w:tr>
        <w:trPr>
          <w:trHeight w:val="230"/>
        </w:trPr>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5260" w:type="dxa"/>
            <w:vAlign w:val="bottom"/>
          </w:tcPr>
          <w:p>
            <w:pPr>
              <w:ind w:left="280"/>
              <w:spacing w:after="0"/>
              <w:rPr>
                <w:sz w:val="20"/>
                <w:szCs w:val="20"/>
                <w:color w:val="auto"/>
              </w:rPr>
            </w:pPr>
            <w:r>
              <w:rPr>
                <w:rFonts w:ascii="Arial" w:cs="Arial" w:eastAsia="Arial" w:hAnsi="Arial"/>
                <w:sz w:val="18"/>
                <w:szCs w:val="18"/>
                <w:color w:val="auto"/>
              </w:rPr>
              <w:t>July 13, 2012</w:t>
            </w:r>
          </w:p>
        </w:tc>
      </w:tr>
      <w:tr>
        <w:trPr>
          <w:trHeight w:val="27"/>
        </w:trPr>
        <w:tc>
          <w:tcPr>
            <w:tcW w:w="11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Form of Notice of Restricted Stock Unit Award*</w:t>
            </w:r>
          </w:p>
        </w:tc>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Exhibit 10.3 to the Registrant's Quarterly Report on From 10-Q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May 7, 2014</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10.19</w:t>
            </w:r>
          </w:p>
        </w:tc>
        <w:tc>
          <w:tcPr>
            <w:tcW w:w="5040" w:type="dxa"/>
            <w:vAlign w:val="bottom"/>
          </w:tcPr>
          <w:p>
            <w:pPr>
              <w:ind w:left="80"/>
              <w:spacing w:after="0"/>
              <w:rPr>
                <w:sz w:val="20"/>
                <w:szCs w:val="20"/>
                <w:color w:val="auto"/>
              </w:rPr>
            </w:pPr>
            <w:r>
              <w:rPr>
                <w:rFonts w:ascii="Arial" w:cs="Arial" w:eastAsia="Arial" w:hAnsi="Arial"/>
                <w:sz w:val="18"/>
                <w:szCs w:val="18"/>
                <w:color w:val="auto"/>
              </w:rPr>
              <w:t>Form of Restricted Stock Award*</w:t>
            </w:r>
          </w:p>
        </w:tc>
        <w:tc>
          <w:tcPr>
            <w:tcW w:w="5260" w:type="dxa"/>
            <w:vAlign w:val="bottom"/>
          </w:tcPr>
          <w:p>
            <w:pPr>
              <w:ind w:left="280"/>
              <w:spacing w:after="0"/>
              <w:rPr>
                <w:sz w:val="20"/>
                <w:szCs w:val="20"/>
                <w:color w:val="auto"/>
              </w:rPr>
            </w:pPr>
            <w:r>
              <w:rPr>
                <w:rFonts w:ascii="Arial" w:cs="Arial" w:eastAsia="Arial" w:hAnsi="Arial"/>
                <w:sz w:val="18"/>
                <w:szCs w:val="18"/>
                <w:color w:val="auto"/>
                <w:w w:val="92"/>
              </w:rPr>
              <w:t>Exhibit 10.86(c) to the Registrant's Post-Effective Amendment to its</w:t>
            </w:r>
          </w:p>
        </w:tc>
      </w:tr>
      <w:tr>
        <w:trPr>
          <w:trHeight w:val="216"/>
        </w:trPr>
        <w:tc>
          <w:tcPr>
            <w:tcW w:w="1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5260" w:type="dxa"/>
            <w:vAlign w:val="bottom"/>
          </w:tcPr>
          <w:p>
            <w:pPr>
              <w:ind w:left="280"/>
              <w:spacing w:after="0"/>
              <w:rPr>
                <w:sz w:val="20"/>
                <w:szCs w:val="20"/>
                <w:color w:val="auto"/>
              </w:rPr>
            </w:pPr>
            <w:r>
              <w:rPr>
                <w:rFonts w:ascii="Arial" w:cs="Arial" w:eastAsia="Arial" w:hAnsi="Arial"/>
                <w:sz w:val="18"/>
                <w:szCs w:val="18"/>
                <w:color w:val="auto"/>
                <w:w w:val="96"/>
              </w:rPr>
              <w:t>Registration  Statement  on  Form  S-1  (No.  333-152700),  filed</w:t>
            </w:r>
          </w:p>
        </w:tc>
      </w:tr>
      <w:tr>
        <w:trPr>
          <w:trHeight w:val="230"/>
        </w:trPr>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5260" w:type="dxa"/>
            <w:vAlign w:val="bottom"/>
          </w:tcPr>
          <w:p>
            <w:pPr>
              <w:ind w:left="280"/>
              <w:spacing w:after="0"/>
              <w:rPr>
                <w:sz w:val="20"/>
                <w:szCs w:val="20"/>
                <w:color w:val="auto"/>
              </w:rPr>
            </w:pPr>
            <w:r>
              <w:rPr>
                <w:rFonts w:ascii="Arial" w:cs="Arial" w:eastAsia="Arial" w:hAnsi="Arial"/>
                <w:sz w:val="18"/>
                <w:szCs w:val="18"/>
                <w:color w:val="auto"/>
              </w:rPr>
              <w:t>July 13, 2012</w:t>
            </w:r>
          </w:p>
        </w:tc>
      </w:tr>
      <w:tr>
        <w:trPr>
          <w:trHeight w:val="27"/>
        </w:trPr>
        <w:tc>
          <w:tcPr>
            <w:tcW w:w="11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Form of Notice of Restricted Stock Award*</w:t>
            </w:r>
          </w:p>
        </w:tc>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Exhibit 10.4 to the Registrant's Quarterly Report on Form 10-Q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May 7, 2014</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10.21</w:t>
            </w:r>
          </w:p>
        </w:tc>
        <w:tc>
          <w:tcPr>
            <w:tcW w:w="10300" w:type="dxa"/>
            <w:vAlign w:val="bottom"/>
            <w:gridSpan w:val="2"/>
          </w:tcPr>
          <w:p>
            <w:pPr>
              <w:ind w:left="80"/>
              <w:spacing w:after="0"/>
              <w:rPr>
                <w:sz w:val="20"/>
                <w:szCs w:val="20"/>
                <w:color w:val="auto"/>
              </w:rPr>
            </w:pPr>
            <w:r>
              <w:rPr>
                <w:rFonts w:ascii="Arial" w:cs="Arial" w:eastAsia="Arial" w:hAnsi="Arial"/>
                <w:sz w:val="18"/>
                <w:szCs w:val="18"/>
                <w:color w:val="auto"/>
                <w:w w:val="96"/>
              </w:rPr>
              <w:t>Standard Terms and Conditions to Restricted Stock Award Letters of Exhibit 10.2 to the Registrant's Current Report on Form 8-K filed</w:t>
            </w:r>
          </w:p>
        </w:tc>
      </w:tr>
      <w:tr>
        <w:trPr>
          <w:trHeight w:val="230"/>
        </w:trPr>
        <w:tc>
          <w:tcPr>
            <w:tcW w:w="1120" w:type="dxa"/>
            <w:vAlign w:val="bottom"/>
          </w:tcPr>
          <w:p>
            <w:pPr>
              <w:spacing w:after="0"/>
              <w:rPr>
                <w:sz w:val="20"/>
                <w:szCs w:val="20"/>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Tree.com BU Holding Company, Inc.*</w:t>
            </w:r>
          </w:p>
        </w:tc>
        <w:tc>
          <w:tcPr>
            <w:tcW w:w="5260" w:type="dxa"/>
            <w:vAlign w:val="bottom"/>
          </w:tcPr>
          <w:p>
            <w:pPr>
              <w:ind w:left="280"/>
              <w:spacing w:after="0"/>
              <w:rPr>
                <w:sz w:val="20"/>
                <w:szCs w:val="20"/>
                <w:color w:val="auto"/>
              </w:rPr>
            </w:pPr>
            <w:r>
              <w:rPr>
                <w:rFonts w:ascii="Arial" w:cs="Arial" w:eastAsia="Arial" w:hAnsi="Arial"/>
                <w:sz w:val="18"/>
                <w:szCs w:val="18"/>
                <w:color w:val="auto"/>
              </w:rPr>
              <w:t>February 3,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40" w:lineRule="exact"/>
        <w:rPr>
          <w:sz w:val="20"/>
          <w:szCs w:val="20"/>
          <w:color w:val="auto"/>
        </w:rPr>
      </w:pPr>
    </w:p>
    <w:p>
      <w:pPr>
        <w:ind w:left="1200" w:hanging="553"/>
        <w:spacing w:after="0" w:line="277" w:lineRule="auto"/>
        <w:tabs>
          <w:tab w:leader="none" w:pos="1180" w:val="left"/>
        </w:tabs>
        <w:rPr>
          <w:sz w:val="20"/>
          <w:szCs w:val="20"/>
          <w:color w:val="auto"/>
        </w:rPr>
      </w:pPr>
      <w:r>
        <w:rPr>
          <w:rFonts w:ascii="Arial" w:cs="Arial" w:eastAsia="Arial" w:hAnsi="Arial"/>
          <w:sz w:val="18"/>
          <w:szCs w:val="18"/>
          <w:color w:val="auto"/>
        </w:rPr>
        <w:t>10.22</w:t>
        <w:tab/>
        <w:t>Form of Amendment to Restricted Stock Awards for Douglas Lebda*</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236" w:right="40" w:hanging="236"/>
        <w:spacing w:after="0" w:line="277" w:lineRule="auto"/>
        <w:tabs>
          <w:tab w:leader="none" w:pos="2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 10.4 to the Registrant's Quarterly Report on Form 10-Q filed May 12, 2010</w:t>
      </w:r>
    </w:p>
    <w:p>
      <w:pPr>
        <w:spacing w:after="0" w:line="8" w:lineRule="exact"/>
        <w:rPr>
          <w:sz w:val="20"/>
          <w:szCs w:val="20"/>
          <w:color w:val="auto"/>
        </w:rPr>
      </w:pPr>
    </w:p>
    <w:p>
      <w:pPr>
        <w:sectPr>
          <w:pgSz w:w="11900" w:h="16838" w:orient="portrait"/>
          <w:cols w:equalWidth="0" w:num="2">
            <w:col w:w="6100" w:space="104"/>
            <w:col w:w="5216"/>
          </w:cols>
          <w:pgMar w:left="240" w:top="283"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spacing w:after="0"/>
              <w:rPr>
                <w:sz w:val="20"/>
                <w:szCs w:val="20"/>
                <w:color w:val="auto"/>
              </w:rPr>
            </w:pPr>
            <w:r>
              <w:rPr>
                <w:rFonts w:ascii="Arial" w:cs="Arial" w:eastAsia="Arial" w:hAnsi="Arial"/>
                <w:sz w:val="18"/>
                <w:szCs w:val="18"/>
                <w:color w:val="auto"/>
              </w:rPr>
              <w:t>10.23</w:t>
            </w:r>
          </w:p>
        </w:tc>
        <w:tc>
          <w:tcPr>
            <w:tcW w:w="10300" w:type="dxa"/>
            <w:vAlign w:val="bottom"/>
            <w:gridSpan w:val="2"/>
          </w:tcPr>
          <w:p>
            <w:pPr>
              <w:ind w:left="80"/>
              <w:spacing w:after="0"/>
              <w:rPr>
                <w:sz w:val="20"/>
                <w:szCs w:val="20"/>
                <w:color w:val="auto"/>
              </w:rPr>
            </w:pPr>
            <w:r>
              <w:rPr>
                <w:rFonts w:ascii="Arial" w:cs="Arial" w:eastAsia="Arial" w:hAnsi="Arial"/>
                <w:sz w:val="18"/>
                <w:szCs w:val="18"/>
                <w:color w:val="auto"/>
                <w:w w:val="95"/>
              </w:rPr>
              <w:t>Form of Notice of Stock Option Award Granted Under the 2008 Stock Exhibit 10.6 to the Registrant's Current Report on Form 8-K (No.</w:t>
            </w:r>
          </w:p>
        </w:tc>
      </w:tr>
      <w:tr>
        <w:trPr>
          <w:trHeight w:val="230"/>
        </w:trPr>
        <w:tc>
          <w:tcPr>
            <w:tcW w:w="1120" w:type="dxa"/>
            <w:vAlign w:val="bottom"/>
          </w:tcPr>
          <w:p>
            <w:pPr>
              <w:spacing w:after="0"/>
              <w:rPr>
                <w:sz w:val="20"/>
                <w:szCs w:val="20"/>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and Annual Incentive Plan*</w:t>
            </w:r>
          </w:p>
        </w:tc>
        <w:tc>
          <w:tcPr>
            <w:tcW w:w="5100" w:type="dxa"/>
            <w:vAlign w:val="bottom"/>
          </w:tcPr>
          <w:p>
            <w:pPr>
              <w:ind w:left="120"/>
              <w:spacing w:after="0"/>
              <w:rPr>
                <w:sz w:val="20"/>
                <w:szCs w:val="20"/>
                <w:color w:val="auto"/>
              </w:rPr>
            </w:pPr>
            <w:r>
              <w:rPr>
                <w:rFonts w:ascii="Arial" w:cs="Arial" w:eastAsia="Arial" w:hAnsi="Arial"/>
                <w:sz w:val="18"/>
                <w:szCs w:val="18"/>
                <w:color w:val="auto"/>
              </w:rPr>
              <w:t>001-34063) filed March 27, 2009</w:t>
            </w:r>
          </w:p>
        </w:tc>
      </w:tr>
      <w:tr>
        <w:trPr>
          <w:trHeight w:val="27"/>
        </w:trPr>
        <w:tc>
          <w:tcPr>
            <w:tcW w:w="1120" w:type="dxa"/>
            <w:vAlign w:val="bottom"/>
          </w:tcPr>
          <w:p>
            <w:pPr>
              <w:spacing w:after="0"/>
              <w:rPr>
                <w:sz w:val="2"/>
                <w:szCs w:val="2"/>
                <w:color w:val="auto"/>
              </w:rPr>
            </w:pPr>
          </w:p>
        </w:tc>
        <w:tc>
          <w:tcPr>
            <w:tcW w:w="10300" w:type="dxa"/>
            <w:vAlign w:val="bottom"/>
            <w:gridSpan w:val="2"/>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Form of Notice of Stock Option Award Granted Under the Amended Exhibit 10.86(d) to the Registrant's Post-Effective Amendment to its</w:t>
            </w:r>
          </w:p>
        </w:tc>
      </w:tr>
      <w:tr>
        <w:trPr>
          <w:trHeight w:val="216"/>
        </w:trPr>
        <w:tc>
          <w:tcPr>
            <w:tcW w:w="1120" w:type="dxa"/>
            <w:vAlign w:val="bottom"/>
            <w:shd w:val="clear" w:color="auto" w:fill="CCEEFF"/>
          </w:tcPr>
          <w:p>
            <w:pPr>
              <w:spacing w:after="0"/>
              <w:rPr>
                <w:sz w:val="18"/>
                <w:szCs w:val="18"/>
                <w:color w:val="auto"/>
              </w:rPr>
            </w:pPr>
          </w:p>
        </w:tc>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and Restated 2008 Stock and Annual Incentive Plan*</w:t>
            </w: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Registration  Statement  on  Form  S-1  (No.  333-152700),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00" w:type="dxa"/>
            <w:vAlign w:val="bottom"/>
            <w:tcBorders>
              <w:bottom w:val="single" w:sz="8" w:color="CCEEFF"/>
            </w:tcBorders>
            <w:shd w:val="clear" w:color="auto" w:fill="CCEEFF"/>
          </w:tcPr>
          <w:p>
            <w:pPr>
              <w:spacing w:after="0"/>
              <w:rPr>
                <w:sz w:val="20"/>
                <w:szCs w:val="20"/>
                <w:color w:val="auto"/>
              </w:rPr>
            </w:pPr>
          </w:p>
        </w:tc>
        <w:tc>
          <w:tcPr>
            <w:tcW w:w="5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July 13, 2012</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10.25</w:t>
            </w:r>
          </w:p>
        </w:tc>
        <w:tc>
          <w:tcPr>
            <w:tcW w:w="10300" w:type="dxa"/>
            <w:vAlign w:val="bottom"/>
            <w:gridSpan w:val="2"/>
          </w:tcPr>
          <w:p>
            <w:pPr>
              <w:ind w:left="80"/>
              <w:spacing w:after="0"/>
              <w:rPr>
                <w:sz w:val="20"/>
                <w:szCs w:val="20"/>
                <w:color w:val="auto"/>
              </w:rPr>
            </w:pPr>
            <w:r>
              <w:rPr>
                <w:rFonts w:ascii="Arial" w:cs="Arial" w:eastAsia="Arial" w:hAnsi="Arial"/>
                <w:sz w:val="18"/>
                <w:szCs w:val="18"/>
                <w:color w:val="auto"/>
                <w:w w:val="98"/>
              </w:rPr>
              <w:t>Form of Notice of Stock Option Award Granted Under the Second Exhibit 10.13 to the Registrant's Quarterly Report on Form 10-Q</w:t>
            </w:r>
          </w:p>
        </w:tc>
      </w:tr>
      <w:tr>
        <w:trPr>
          <w:trHeight w:val="230"/>
        </w:trPr>
        <w:tc>
          <w:tcPr>
            <w:tcW w:w="1120" w:type="dxa"/>
            <w:vAlign w:val="bottom"/>
          </w:tcPr>
          <w:p>
            <w:pPr>
              <w:spacing w:after="0"/>
              <w:rPr>
                <w:sz w:val="20"/>
                <w:szCs w:val="20"/>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Amended and Restated 2008 Stock and Annual Incentive Plan*</w:t>
            </w:r>
          </w:p>
        </w:tc>
        <w:tc>
          <w:tcPr>
            <w:tcW w:w="5100" w:type="dxa"/>
            <w:vAlign w:val="bottom"/>
          </w:tcPr>
          <w:p>
            <w:pPr>
              <w:ind w:left="120"/>
              <w:spacing w:after="0"/>
              <w:rPr>
                <w:sz w:val="20"/>
                <w:szCs w:val="20"/>
                <w:color w:val="auto"/>
              </w:rPr>
            </w:pPr>
            <w:r>
              <w:rPr>
                <w:rFonts w:ascii="Arial" w:cs="Arial" w:eastAsia="Arial" w:hAnsi="Arial"/>
                <w:sz w:val="18"/>
                <w:szCs w:val="18"/>
                <w:color w:val="auto"/>
              </w:rPr>
              <w:t>(No. 001-34063) filed May 12, 2010</w:t>
            </w:r>
          </w:p>
        </w:tc>
      </w:tr>
      <w:tr>
        <w:trPr>
          <w:trHeight w:val="27"/>
        </w:trPr>
        <w:tc>
          <w:tcPr>
            <w:tcW w:w="1120" w:type="dxa"/>
            <w:vAlign w:val="bottom"/>
          </w:tcPr>
          <w:p>
            <w:pPr>
              <w:spacing w:after="0"/>
              <w:rPr>
                <w:sz w:val="2"/>
                <w:szCs w:val="2"/>
                <w:color w:val="auto"/>
              </w:rPr>
            </w:pPr>
          </w:p>
        </w:tc>
        <w:tc>
          <w:tcPr>
            <w:tcW w:w="10300" w:type="dxa"/>
            <w:vAlign w:val="bottom"/>
            <w:gridSpan w:val="2"/>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Form of Notice of Stock Option Award Granted Under the 2008 Stock Exhibit 10.5 to the Registrant's Quarterly Report on Form 10-Q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and Annual Incentive Plan*</w:t>
            </w:r>
          </w:p>
        </w:tc>
        <w:tc>
          <w:tcPr>
            <w:tcW w:w="5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May 7, 2014</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10.27</w:t>
            </w:r>
          </w:p>
        </w:tc>
        <w:tc>
          <w:tcPr>
            <w:tcW w:w="10300" w:type="dxa"/>
            <w:vAlign w:val="bottom"/>
            <w:gridSpan w:val="2"/>
          </w:tcPr>
          <w:p>
            <w:pPr>
              <w:ind w:left="80"/>
              <w:spacing w:after="0"/>
              <w:rPr>
                <w:sz w:val="20"/>
                <w:szCs w:val="20"/>
                <w:color w:val="auto"/>
              </w:rPr>
            </w:pPr>
            <w:r>
              <w:rPr>
                <w:rFonts w:ascii="Arial" w:cs="Arial" w:eastAsia="Arial" w:hAnsi="Arial"/>
                <w:sz w:val="18"/>
                <w:szCs w:val="18"/>
                <w:color w:val="auto"/>
                <w:w w:val="96"/>
              </w:rPr>
              <w:t>Stock Purchase Agreement between Tree.com, Inc. and Douglas R. Exhibit 10.1 to the Registrant's Current Report on Form 8-K (No.</w:t>
            </w:r>
          </w:p>
        </w:tc>
      </w:tr>
      <w:tr>
        <w:trPr>
          <w:trHeight w:val="230"/>
        </w:trPr>
        <w:tc>
          <w:tcPr>
            <w:tcW w:w="1120" w:type="dxa"/>
            <w:vAlign w:val="bottom"/>
          </w:tcPr>
          <w:p>
            <w:pPr>
              <w:spacing w:after="0"/>
              <w:rPr>
                <w:sz w:val="20"/>
                <w:szCs w:val="20"/>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Lebda, dated February 8, 2009*</w:t>
            </w:r>
          </w:p>
        </w:tc>
        <w:tc>
          <w:tcPr>
            <w:tcW w:w="5100" w:type="dxa"/>
            <w:vAlign w:val="bottom"/>
          </w:tcPr>
          <w:p>
            <w:pPr>
              <w:ind w:left="120"/>
              <w:spacing w:after="0"/>
              <w:rPr>
                <w:sz w:val="20"/>
                <w:szCs w:val="20"/>
                <w:color w:val="auto"/>
              </w:rPr>
            </w:pPr>
            <w:r>
              <w:rPr>
                <w:rFonts w:ascii="Arial" w:cs="Arial" w:eastAsia="Arial" w:hAnsi="Arial"/>
                <w:sz w:val="18"/>
                <w:szCs w:val="18"/>
                <w:color w:val="auto"/>
              </w:rPr>
              <w:t>001-34063) filed February 11, 2009</w:t>
            </w:r>
          </w:p>
        </w:tc>
      </w:tr>
      <w:tr>
        <w:trPr>
          <w:trHeight w:val="27"/>
        </w:trPr>
        <w:tc>
          <w:tcPr>
            <w:tcW w:w="1120" w:type="dxa"/>
            <w:vAlign w:val="bottom"/>
          </w:tcPr>
          <w:p>
            <w:pPr>
              <w:spacing w:after="0"/>
              <w:rPr>
                <w:sz w:val="2"/>
                <w:szCs w:val="2"/>
                <w:color w:val="auto"/>
              </w:rPr>
            </w:pPr>
          </w:p>
        </w:tc>
        <w:tc>
          <w:tcPr>
            <w:tcW w:w="10300" w:type="dxa"/>
            <w:vAlign w:val="bottom"/>
            <w:gridSpan w:val="2"/>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Amendment No. 1 to Stock Purchase Agreement between Tree.com, Exhibit 10.2 to the Registrant's Quarterly Report on Form 10-Q (No.</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 and Douglas R. Lebda, dated May 10, 2010*</w:t>
            </w:r>
          </w:p>
        </w:tc>
        <w:tc>
          <w:tcPr>
            <w:tcW w:w="5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001-34063) filed May 12, 2010</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10.29</w:t>
            </w:r>
          </w:p>
        </w:tc>
        <w:tc>
          <w:tcPr>
            <w:tcW w:w="10300" w:type="dxa"/>
            <w:vAlign w:val="bottom"/>
            <w:gridSpan w:val="2"/>
          </w:tcPr>
          <w:p>
            <w:pPr>
              <w:ind w:left="80"/>
              <w:spacing w:after="0"/>
              <w:rPr>
                <w:sz w:val="20"/>
                <w:szCs w:val="20"/>
                <w:color w:val="auto"/>
              </w:rPr>
            </w:pPr>
            <w:r>
              <w:rPr>
                <w:rFonts w:ascii="Arial" w:cs="Arial" w:eastAsia="Arial" w:hAnsi="Arial"/>
                <w:sz w:val="18"/>
                <w:szCs w:val="18"/>
                <w:color w:val="auto"/>
                <w:w w:val="92"/>
              </w:rPr>
              <w:t>Credit Agreement by and among LendingTree, LLC, LendingTree, Inc. Exhibit 99.1 to the Registrant's Quarterly Report on Form 10-Q filed</w:t>
            </w:r>
          </w:p>
        </w:tc>
      </w:tr>
      <w:tr>
        <w:trPr>
          <w:trHeight w:val="230"/>
        </w:trPr>
        <w:tc>
          <w:tcPr>
            <w:tcW w:w="1120" w:type="dxa"/>
            <w:vAlign w:val="bottom"/>
          </w:tcPr>
          <w:p>
            <w:pPr>
              <w:spacing w:after="0"/>
              <w:rPr>
                <w:sz w:val="20"/>
                <w:szCs w:val="20"/>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and SunTrust Bank, dated October 22, 2015</w:t>
            </w:r>
          </w:p>
        </w:tc>
        <w:tc>
          <w:tcPr>
            <w:tcW w:w="5100" w:type="dxa"/>
            <w:vAlign w:val="bottom"/>
          </w:tcPr>
          <w:p>
            <w:pPr>
              <w:ind w:left="120"/>
              <w:spacing w:after="0"/>
              <w:rPr>
                <w:sz w:val="20"/>
                <w:szCs w:val="20"/>
                <w:color w:val="auto"/>
              </w:rPr>
            </w:pPr>
            <w:r>
              <w:rPr>
                <w:rFonts w:ascii="Arial" w:cs="Arial" w:eastAsia="Arial" w:hAnsi="Arial"/>
                <w:sz w:val="18"/>
                <w:szCs w:val="18"/>
                <w:color w:val="auto"/>
              </w:rPr>
              <w:t>October 26, 2015</w:t>
            </w:r>
          </w:p>
        </w:tc>
      </w:tr>
      <w:tr>
        <w:trPr>
          <w:trHeight w:val="27"/>
        </w:trPr>
        <w:tc>
          <w:tcPr>
            <w:tcW w:w="1120" w:type="dxa"/>
            <w:vAlign w:val="bottom"/>
          </w:tcPr>
          <w:p>
            <w:pPr>
              <w:spacing w:after="0"/>
              <w:rPr>
                <w:sz w:val="2"/>
                <w:szCs w:val="2"/>
                <w:color w:val="auto"/>
              </w:rPr>
            </w:pPr>
          </w:p>
        </w:tc>
        <w:tc>
          <w:tcPr>
            <w:tcW w:w="10300" w:type="dxa"/>
            <w:vAlign w:val="bottom"/>
            <w:gridSpan w:val="2"/>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First Amendment to Credit Agreement by and among LendingTree, †</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2"/>
              </w:rPr>
              <w:t>LLC, LendingTree, Inc. and SunTrust Bank, dated February 25, 2016</w:t>
            </w:r>
          </w:p>
        </w:tc>
        <w:tc>
          <w:tcPr>
            <w:tcW w:w="5100" w:type="dxa"/>
            <w:vAlign w:val="bottom"/>
            <w:tcBorders>
              <w:bottom w:val="single" w:sz="8" w:color="CCEEFF"/>
            </w:tcBorders>
            <w:shd w:val="clear" w:color="auto" w:fill="CCEEFF"/>
          </w:tcPr>
          <w:p>
            <w:pPr>
              <w:spacing w:after="0"/>
              <w:rPr>
                <w:sz w:val="20"/>
                <w:szCs w:val="20"/>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5200" w:type="dxa"/>
            <w:vAlign w:val="bottom"/>
          </w:tcPr>
          <w:p>
            <w:pPr>
              <w:ind w:left="80"/>
              <w:spacing w:after="0"/>
              <w:rPr>
                <w:sz w:val="20"/>
                <w:szCs w:val="20"/>
                <w:color w:val="auto"/>
              </w:rPr>
            </w:pPr>
            <w:r>
              <w:rPr>
                <w:rFonts w:ascii="Arial" w:cs="Arial" w:eastAsia="Arial" w:hAnsi="Arial"/>
                <w:sz w:val="18"/>
                <w:szCs w:val="18"/>
                <w:color w:val="auto"/>
              </w:rPr>
              <w:t>Subsidiaries of LendingTree, Inc.</w:t>
            </w:r>
          </w:p>
        </w:tc>
        <w:tc>
          <w:tcPr>
            <w:tcW w:w="510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486"/>
        </w:trPr>
        <w:tc>
          <w:tcPr>
            <w:tcW w:w="1120" w:type="dxa"/>
            <w:vAlign w:val="bottom"/>
          </w:tcPr>
          <w:p>
            <w:pPr>
              <w:spacing w:after="0"/>
              <w:rPr>
                <w:sz w:val="24"/>
                <w:szCs w:val="24"/>
                <w:color w:val="auto"/>
              </w:rPr>
            </w:pPr>
          </w:p>
        </w:tc>
        <w:tc>
          <w:tcPr>
            <w:tcW w:w="5200" w:type="dxa"/>
            <w:vAlign w:val="bottom"/>
          </w:tcPr>
          <w:p>
            <w:pPr>
              <w:ind w:left="4500"/>
              <w:spacing w:after="0"/>
              <w:rPr>
                <w:sz w:val="20"/>
                <w:szCs w:val="20"/>
                <w:color w:val="auto"/>
              </w:rPr>
            </w:pPr>
            <w:r>
              <w:rPr>
                <w:rFonts w:ascii="Arial" w:cs="Arial" w:eastAsia="Arial" w:hAnsi="Arial"/>
                <w:sz w:val="18"/>
                <w:szCs w:val="18"/>
                <w:color w:val="auto"/>
              </w:rPr>
              <w:t>71</w:t>
            </w:r>
          </w:p>
        </w:tc>
        <w:tc>
          <w:tcPr>
            <w:tcW w:w="510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type w:val="continuous"/>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Exhibit</w:t>
            </w:r>
          </w:p>
        </w:tc>
        <w:tc>
          <w:tcPr>
            <w:tcW w:w="528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4"/>
        </w:trPr>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w:t>
            </w:r>
          </w:p>
        </w:tc>
        <w:tc>
          <w:tcPr>
            <w:tcW w:w="5280" w:type="dxa"/>
            <w:vAlign w:val="bottom"/>
          </w:tcPr>
          <w:p>
            <w:pPr>
              <w:ind w:left="2220"/>
              <w:spacing w:after="0"/>
              <w:rPr>
                <w:sz w:val="20"/>
                <w:szCs w:val="20"/>
                <w:color w:val="auto"/>
              </w:rPr>
            </w:pPr>
            <w:r>
              <w:rPr>
                <w:rFonts w:ascii="Arial" w:cs="Arial" w:eastAsia="Arial" w:hAnsi="Arial"/>
                <w:sz w:val="18"/>
                <w:szCs w:val="18"/>
                <w:b w:val="1"/>
                <w:bCs w:val="1"/>
                <w:color w:val="auto"/>
              </w:rPr>
              <w:t>Description</w:t>
            </w:r>
          </w:p>
        </w:tc>
        <w:tc>
          <w:tcPr>
            <w:tcW w:w="5020" w:type="dxa"/>
            <w:vAlign w:val="bottom"/>
          </w:tcPr>
          <w:p>
            <w:pPr>
              <w:ind w:left="218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112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44"/>
        </w:trPr>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Consent of independent registered public accounting firm.</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24.1</w:t>
            </w:r>
          </w:p>
        </w:tc>
        <w:tc>
          <w:tcPr>
            <w:tcW w:w="10300" w:type="dxa"/>
            <w:vAlign w:val="bottom"/>
            <w:gridSpan w:val="2"/>
          </w:tcPr>
          <w:p>
            <w:pPr>
              <w:ind w:left="80"/>
              <w:spacing w:after="0"/>
              <w:rPr>
                <w:sz w:val="20"/>
                <w:szCs w:val="20"/>
                <w:color w:val="auto"/>
              </w:rPr>
            </w:pPr>
            <w:r>
              <w:rPr>
                <w:rFonts w:ascii="Arial" w:cs="Arial" w:eastAsia="Arial" w:hAnsi="Arial"/>
                <w:sz w:val="18"/>
                <w:szCs w:val="18"/>
                <w:color w:val="auto"/>
              </w:rPr>
              <w:t>Power of Attorney (included on signature page of this Annual Report †</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on Form 10-K)</w:t>
            </w: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10300" w:type="dxa"/>
            <w:vAlign w:val="bottom"/>
            <w:gridSpan w:val="2"/>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Certification of the Chief Executive Officer pursuant to Rule 13a-14(a) †</w:t>
            </w:r>
          </w:p>
        </w:tc>
      </w:tr>
      <w:tr>
        <w:trPr>
          <w:trHeight w:val="216"/>
        </w:trPr>
        <w:tc>
          <w:tcPr>
            <w:tcW w:w="112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or Rule 15d-14(a) of the Securities Exchange Act of 1934 as adopted</w:t>
            </w:r>
          </w:p>
        </w:tc>
        <w:tc>
          <w:tcPr>
            <w:tcW w:w="5020" w:type="dxa"/>
            <w:vAlign w:val="bottom"/>
            <w:shd w:val="clear" w:color="auto" w:fill="CCEEFF"/>
          </w:tcPr>
          <w:p>
            <w:pPr>
              <w:spacing w:after="0"/>
              <w:rPr>
                <w:sz w:val="18"/>
                <w:szCs w:val="18"/>
                <w:color w:val="auto"/>
              </w:rPr>
            </w:pP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pursuant to Section 302 of the Sarbanes-Oxley Act of 2002</w:t>
            </w:r>
          </w:p>
        </w:tc>
        <w:tc>
          <w:tcPr>
            <w:tcW w:w="502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10300" w:type="dxa"/>
            <w:vAlign w:val="bottom"/>
            <w:gridSpan w:val="2"/>
          </w:tcPr>
          <w:p>
            <w:pPr>
              <w:ind w:left="80"/>
              <w:spacing w:after="0"/>
              <w:rPr>
                <w:sz w:val="20"/>
                <w:szCs w:val="20"/>
                <w:color w:val="auto"/>
              </w:rPr>
            </w:pPr>
            <w:r>
              <w:rPr>
                <w:rFonts w:ascii="Arial" w:cs="Arial" w:eastAsia="Arial" w:hAnsi="Arial"/>
                <w:sz w:val="18"/>
                <w:szCs w:val="18"/>
                <w:color w:val="auto"/>
              </w:rPr>
              <w:t>Certification of the Chief Financial Officer pursuant to Rule 13a-14(a) †</w:t>
            </w: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4"/>
              </w:rPr>
              <w:t>or Rule 15d-14(a) of the Securities Exchange Act of 1934 as adopted</w:t>
            </w:r>
          </w:p>
        </w:tc>
        <w:tc>
          <w:tcPr>
            <w:tcW w:w="50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pursuant to Section 302 of the Sarbanes-Oxley Act of 2002</w:t>
            </w: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10300" w:type="dxa"/>
            <w:vAlign w:val="bottom"/>
            <w:gridSpan w:val="2"/>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Certification of the Chief Executive Officer pursuant to 18 U.S.C. ††</w:t>
            </w:r>
          </w:p>
        </w:tc>
      </w:tr>
      <w:tr>
        <w:trPr>
          <w:trHeight w:val="216"/>
        </w:trPr>
        <w:tc>
          <w:tcPr>
            <w:tcW w:w="112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Section 1350 as adopted pursuant to Section 906 of the Sarbanes-Oxley</w:t>
            </w:r>
          </w:p>
        </w:tc>
        <w:tc>
          <w:tcPr>
            <w:tcW w:w="5020" w:type="dxa"/>
            <w:vAlign w:val="bottom"/>
            <w:shd w:val="clear" w:color="auto" w:fill="CCEEFF"/>
          </w:tcPr>
          <w:p>
            <w:pPr>
              <w:spacing w:after="0"/>
              <w:rPr>
                <w:sz w:val="18"/>
                <w:szCs w:val="18"/>
                <w:color w:val="auto"/>
              </w:rPr>
            </w:pP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Act of 2002</w:t>
            </w:r>
          </w:p>
        </w:tc>
        <w:tc>
          <w:tcPr>
            <w:tcW w:w="502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32.2</w:t>
            </w:r>
          </w:p>
        </w:tc>
        <w:tc>
          <w:tcPr>
            <w:tcW w:w="10300" w:type="dxa"/>
            <w:vAlign w:val="bottom"/>
            <w:gridSpan w:val="2"/>
          </w:tcPr>
          <w:p>
            <w:pPr>
              <w:ind w:left="80"/>
              <w:spacing w:after="0"/>
              <w:rPr>
                <w:sz w:val="20"/>
                <w:szCs w:val="20"/>
                <w:color w:val="auto"/>
              </w:rPr>
            </w:pPr>
            <w:r>
              <w:rPr>
                <w:rFonts w:ascii="Arial" w:cs="Arial" w:eastAsia="Arial" w:hAnsi="Arial"/>
                <w:sz w:val="18"/>
                <w:szCs w:val="18"/>
                <w:color w:val="auto"/>
              </w:rPr>
              <w:t>Certification of the Chief Financial Officer pursuant to 18 U.S.C. ††</w:t>
            </w: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89"/>
              </w:rPr>
              <w:t>Section 1350 as adopted pursuant to Section 906 of the Sarbanes-Oxley</w:t>
            </w:r>
          </w:p>
        </w:tc>
        <w:tc>
          <w:tcPr>
            <w:tcW w:w="50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Act of 2002</w:t>
            </w: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101.CAL</w:t>
            </w: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XBRL Taxonomy Extension Calculation Linkbase Document</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1120" w:type="dxa"/>
            <w:vAlign w:val="bottom"/>
          </w:tcPr>
          <w:p>
            <w:pPr>
              <w:jc w:val="right"/>
              <w:spacing w:after="0"/>
              <w:rPr>
                <w:sz w:val="20"/>
                <w:szCs w:val="20"/>
                <w:color w:val="auto"/>
              </w:rPr>
            </w:pPr>
            <w:r>
              <w:rPr>
                <w:rFonts w:ascii="Arial" w:cs="Arial" w:eastAsia="Arial" w:hAnsi="Arial"/>
                <w:sz w:val="18"/>
                <w:szCs w:val="18"/>
                <w:color w:val="auto"/>
              </w:rPr>
              <w:t>101.DEF</w:t>
            </w:r>
          </w:p>
        </w:tc>
        <w:tc>
          <w:tcPr>
            <w:tcW w:w="528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c>
          <w:tcPr>
            <w:tcW w:w="50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101.INS</w:t>
            </w: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XBRL Instance Document</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1120" w:type="dxa"/>
            <w:vAlign w:val="bottom"/>
          </w:tcPr>
          <w:p>
            <w:pPr>
              <w:jc w:val="right"/>
              <w:spacing w:after="0"/>
              <w:rPr>
                <w:sz w:val="20"/>
                <w:szCs w:val="20"/>
                <w:color w:val="auto"/>
              </w:rPr>
            </w:pPr>
            <w:r>
              <w:rPr>
                <w:rFonts w:ascii="Arial" w:cs="Arial" w:eastAsia="Arial" w:hAnsi="Arial"/>
                <w:sz w:val="18"/>
                <w:szCs w:val="18"/>
                <w:color w:val="auto"/>
              </w:rPr>
              <w:t>101.LAB</w:t>
            </w:r>
          </w:p>
        </w:tc>
        <w:tc>
          <w:tcPr>
            <w:tcW w:w="528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c>
          <w:tcPr>
            <w:tcW w:w="50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101.PRE</w:t>
            </w: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1120" w:type="dxa"/>
            <w:vAlign w:val="bottom"/>
          </w:tcPr>
          <w:p>
            <w:pPr>
              <w:jc w:val="right"/>
              <w:spacing w:after="0"/>
              <w:rPr>
                <w:sz w:val="20"/>
                <w:szCs w:val="20"/>
                <w:color w:val="auto"/>
              </w:rPr>
            </w:pPr>
            <w:r>
              <w:rPr>
                <w:rFonts w:ascii="Arial" w:cs="Arial" w:eastAsia="Arial" w:hAnsi="Arial"/>
                <w:sz w:val="18"/>
                <w:szCs w:val="18"/>
                <w:color w:val="auto"/>
              </w:rPr>
              <w:t>101.SCH</w:t>
            </w:r>
          </w:p>
        </w:tc>
        <w:tc>
          <w:tcPr>
            <w:tcW w:w="528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c>
          <w:tcPr>
            <w:tcW w:w="5020" w:type="dxa"/>
            <w:vAlign w:val="bottom"/>
          </w:tcPr>
          <w:p>
            <w:pPr>
              <w:ind w:left="40"/>
              <w:spacing w:after="0"/>
              <w:rPr>
                <w:sz w:val="20"/>
                <w:szCs w:val="20"/>
                <w:color w:val="auto"/>
              </w:rPr>
            </w:pPr>
            <w:r>
              <w:rPr>
                <w:rFonts w:ascii="Arial" w:cs="Arial" w:eastAsia="Arial" w:hAnsi="Arial"/>
                <w:sz w:val="18"/>
                <w:szCs w:val="18"/>
                <w:color w:val="auto"/>
              </w:rPr>
              <w: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4" w:lineRule="auto"/>
        <w:tabs>
          <w:tab w:leader="none" w:pos="2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100" w:lineRule="exact"/>
        <w:rPr>
          <w:sz w:val="20"/>
          <w:szCs w:val="20"/>
          <w:color w:val="auto"/>
        </w:rPr>
      </w:pPr>
    </w:p>
    <w:p>
      <w:pPr>
        <w:jc w:val="both"/>
        <w:ind w:firstLine="8"/>
        <w:spacing w:after="0" w:line="264" w:lineRule="auto"/>
        <w:tabs>
          <w:tab w:leader="none" w:pos="118" w:val="left"/>
        </w:tabs>
        <w:numPr>
          <w:ilvl w:val="0"/>
          <w:numId w:val="32"/>
        </w:numPr>
        <w:rPr>
          <w:rFonts w:ascii="Arial" w:cs="Arial" w:eastAsia="Arial" w:hAnsi="Arial"/>
          <w:sz w:val="18"/>
          <w:szCs w:val="18"/>
          <w:color w:val="auto"/>
        </w:rPr>
      </w:pPr>
      <w:r>
        <w:rPr>
          <w:rFonts w:ascii="Arial" w:cs="Arial" w:eastAsia="Arial" w:hAnsi="Arial"/>
          <w:sz w:val="18"/>
          <w:szCs w:val="18"/>
          <w:color w:val="auto"/>
        </w:rPr>
        <w:t>† † Furnished herewith. Pursuant to Rule 406T of Regulation S-T, the Interactive Data Files on Exhibit 101 hereto are deemed not filed or part of a registration statement or prospectus for purposes of Sections 11 or 12 of the Securities Act are deemed not filed for purposes of Section 18 of the Exchange Act and otherwise are not subject to liability under those sections.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compensation plan or arrangement.</w:t>
      </w:r>
    </w:p>
    <w:p>
      <w:pPr>
        <w:spacing w:after="0" w:line="144" w:lineRule="exact"/>
        <w:rPr>
          <w:sz w:val="20"/>
          <w:szCs w:val="20"/>
          <w:color w:val="auto"/>
        </w:rPr>
      </w:pPr>
    </w:p>
    <w:p>
      <w:pPr>
        <w:ind w:firstLine="8"/>
        <w:spacing w:after="0" w:line="277" w:lineRule="auto"/>
        <w:tabs>
          <w:tab w:leader="none" w:pos="2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in accordance with Regulation S-K Item 601(b)(2). The Company agrees to furnish supplementally a copy of all omitted schedules to the SEC upon its request.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3" w:right="2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2016</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LendingTree, Inc.</w:t>
      </w:r>
    </w:p>
    <w:p>
      <w:pPr>
        <w:spacing w:after="0" w:line="329" w:lineRule="exact"/>
        <w:rPr>
          <w:sz w:val="20"/>
          <w:szCs w:val="20"/>
          <w:color w:val="auto"/>
        </w:rPr>
      </w:pPr>
    </w:p>
    <w:p>
      <w:pPr>
        <w:ind w:left="564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6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3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6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KNOW ALL PERSONS BY THESE PRESENTS, that each individual whose signature appears below constitutes and appoints Katharine Pierce as his or her true and lawful attorney and agent, with full power of substitution and resubstitution, for him or her and in his or her name, place and stead, in any and all capacities, to sign any and all amendments to the Registrant's Annual Report on Form 10-K for the fiscal year ended December 31, 2015, and to file the same with all exhibits thereto, and all other documents in connection therewith, with the Securities and Exchange Commission, granting unto said attorney and agent full power and authority to do and perform each and every act and thing requisite and necessary to be done, as fully to all intents and purposes as he or she might or could do in person, hereby ratifying and confirming all that said attorney and agent may lawfully do or cause to be done by virtue hereof.</w:t>
      </w:r>
    </w:p>
    <w:p>
      <w:pPr>
        <w:spacing w:after="0" w:line="8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760" w:type="dxa"/>
            <w:vAlign w:val="bottom"/>
          </w:tcPr>
          <w:p>
            <w:pPr>
              <w:spacing w:after="0"/>
              <w:rPr>
                <w:sz w:val="14"/>
                <w:szCs w:val="14"/>
                <w:color w:val="auto"/>
              </w:rPr>
            </w:pPr>
          </w:p>
        </w:tc>
        <w:tc>
          <w:tcPr>
            <w:tcW w:w="4460" w:type="dxa"/>
            <w:vAlign w:val="bottom"/>
            <w:gridSpan w:val="3"/>
          </w:tcPr>
          <w:p>
            <w:pPr>
              <w:ind w:left="2360"/>
              <w:spacing w:after="0"/>
              <w:rPr>
                <w:sz w:val="20"/>
                <w:szCs w:val="20"/>
                <w:color w:val="auto"/>
              </w:rPr>
            </w:pPr>
            <w:r>
              <w:rPr>
                <w:rFonts w:ascii="Arial" w:cs="Arial" w:eastAsia="Arial" w:hAnsi="Arial"/>
                <w:sz w:val="14"/>
                <w:szCs w:val="14"/>
                <w:b w:val="1"/>
                <w:bCs w:val="1"/>
                <w:color w:val="auto"/>
              </w:rPr>
              <w:t>Title</w:t>
            </w:r>
          </w:p>
        </w:tc>
        <w:tc>
          <w:tcPr>
            <w:tcW w:w="1660" w:type="dxa"/>
            <w:vAlign w:val="bottom"/>
            <w:gridSpan w:val="2"/>
          </w:tcPr>
          <w:p>
            <w:pPr>
              <w:ind w:left="138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DOUGLAS R. LEBDA</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Chairman, Chief Executive Officer and Director</w:t>
            </w:r>
          </w:p>
        </w:tc>
        <w:tc>
          <w:tcPr>
            <w:tcW w:w="1660" w:type="dxa"/>
            <w:vAlign w:val="bottom"/>
            <w:gridSpan w:val="2"/>
          </w:tcPr>
          <w:p>
            <w:pPr>
              <w:ind w:left="560"/>
              <w:spacing w:after="0"/>
              <w:rPr>
                <w:sz w:val="20"/>
                <w:szCs w:val="20"/>
                <w:color w:val="auto"/>
              </w:rPr>
            </w:pPr>
            <w:r>
              <w:rPr>
                <w:rFonts w:ascii="Arial" w:cs="Arial" w:eastAsia="Arial" w:hAnsi="Arial"/>
                <w:sz w:val="18"/>
                <w:szCs w:val="18"/>
                <w:color w:val="auto"/>
                <w:w w:val="93"/>
              </w:rPr>
              <w:t>March 1, 2016</w:t>
            </w:r>
          </w:p>
        </w:tc>
        <w:tc>
          <w:tcPr>
            <w:tcW w:w="0" w:type="dxa"/>
            <w:vAlign w:val="bottom"/>
          </w:tcPr>
          <w:p>
            <w:pPr>
              <w:spacing w:after="0"/>
              <w:rPr>
                <w:sz w:val="1"/>
                <w:szCs w:val="1"/>
                <w:color w:val="auto"/>
              </w:rPr>
            </w:pPr>
          </w:p>
        </w:tc>
      </w:tr>
      <w:tr>
        <w:trPr>
          <w:trHeight w:val="41"/>
        </w:trPr>
        <w:tc>
          <w:tcPr>
            <w:tcW w:w="17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4460" w:type="dxa"/>
            <w:vAlign w:val="bottom"/>
            <w:gridSpan w:val="3"/>
            <w:vMerge w:val="restart"/>
          </w:tcPr>
          <w:p>
            <w:pPr>
              <w:ind w:left="140"/>
              <w:spacing w:after="0"/>
              <w:rPr>
                <w:sz w:val="20"/>
                <w:szCs w:val="20"/>
                <w:color w:val="auto"/>
              </w:rPr>
            </w:pPr>
            <w:r>
              <w:rPr>
                <w:rFonts w:ascii="Arial" w:cs="Arial" w:eastAsia="Arial" w:hAnsi="Arial"/>
                <w:sz w:val="18"/>
                <w:szCs w:val="18"/>
                <w:i w:val="1"/>
                <w:iCs w:val="1"/>
                <w:color w:val="auto"/>
              </w:rPr>
              <w:t>(Principal Executive Officer)</w:t>
            </w: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20" w:type="dxa"/>
            <w:vAlign w:val="bottom"/>
            <w:gridSpan w:val="3"/>
            <w:vMerge w:val="restart"/>
          </w:tcPr>
          <w:p>
            <w:pPr>
              <w:ind w:left="280"/>
              <w:spacing w:after="0"/>
              <w:rPr>
                <w:sz w:val="20"/>
                <w:szCs w:val="20"/>
                <w:color w:val="auto"/>
              </w:rPr>
            </w:pPr>
            <w:r>
              <w:rPr>
                <w:rFonts w:ascii="Arial" w:cs="Arial" w:eastAsia="Arial" w:hAnsi="Arial"/>
                <w:sz w:val="18"/>
                <w:szCs w:val="18"/>
                <w:color w:val="auto"/>
              </w:rPr>
              <w:t>Douglas R. Lebda</w:t>
            </w:r>
          </w:p>
        </w:tc>
        <w:tc>
          <w:tcPr>
            <w:tcW w:w="4460" w:type="dxa"/>
            <w:vAlign w:val="bottom"/>
            <w:gridSpan w:val="3"/>
            <w:vMerge w:val="continue"/>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20" w:type="dxa"/>
            <w:vAlign w:val="bottom"/>
            <w:gridSpan w:val="3"/>
            <w:vMerge w:val="continue"/>
          </w:tcPr>
          <w:p>
            <w:pPr>
              <w:spacing w:after="0"/>
              <w:rPr>
                <w:sz w:val="5"/>
                <w:szCs w:val="5"/>
                <w:color w:val="auto"/>
              </w:rPr>
            </w:pPr>
          </w:p>
        </w:tc>
        <w:tc>
          <w:tcPr>
            <w:tcW w:w="2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2"/>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GABRIEL DALPORTO</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w:t>
            </w:r>
          </w:p>
        </w:tc>
        <w:tc>
          <w:tcPr>
            <w:tcW w:w="1660" w:type="dxa"/>
            <w:vAlign w:val="bottom"/>
            <w:gridSpan w:val="2"/>
          </w:tcPr>
          <w:p>
            <w:pPr>
              <w:ind w:left="560"/>
              <w:spacing w:after="0"/>
              <w:rPr>
                <w:sz w:val="20"/>
                <w:szCs w:val="20"/>
                <w:color w:val="auto"/>
              </w:rPr>
            </w:pPr>
            <w:r>
              <w:rPr>
                <w:rFonts w:ascii="Arial" w:cs="Arial" w:eastAsia="Arial" w:hAnsi="Arial"/>
                <w:sz w:val="18"/>
                <w:szCs w:val="18"/>
                <w:color w:val="auto"/>
                <w:w w:val="93"/>
              </w:rPr>
              <w:t>March 1, 2016</w:t>
            </w:r>
          </w:p>
        </w:tc>
        <w:tc>
          <w:tcPr>
            <w:tcW w:w="0" w:type="dxa"/>
            <w:vAlign w:val="bottom"/>
          </w:tcPr>
          <w:p>
            <w:pPr>
              <w:spacing w:after="0"/>
              <w:rPr>
                <w:sz w:val="1"/>
                <w:szCs w:val="1"/>
                <w:color w:val="auto"/>
              </w:rPr>
            </w:pPr>
          </w:p>
        </w:tc>
      </w:tr>
      <w:tr>
        <w:trPr>
          <w:trHeight w:val="41"/>
        </w:trPr>
        <w:tc>
          <w:tcPr>
            <w:tcW w:w="17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4460" w:type="dxa"/>
            <w:vAlign w:val="bottom"/>
            <w:gridSpan w:val="3"/>
            <w:vMerge w:val="restart"/>
          </w:tcPr>
          <w:p>
            <w:pPr>
              <w:ind w:left="140"/>
              <w:spacing w:after="0"/>
              <w:rPr>
                <w:sz w:val="20"/>
                <w:szCs w:val="20"/>
                <w:color w:val="auto"/>
              </w:rPr>
            </w:pPr>
            <w:r>
              <w:rPr>
                <w:rFonts w:ascii="Arial" w:cs="Arial" w:eastAsia="Arial" w:hAnsi="Arial"/>
                <w:sz w:val="18"/>
                <w:szCs w:val="18"/>
                <w:i w:val="1"/>
                <w:iCs w:val="1"/>
                <w:color w:val="auto"/>
              </w:rPr>
              <w:t>(Principal Financial Officer)</w:t>
            </w: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20" w:type="dxa"/>
            <w:vAlign w:val="bottom"/>
            <w:gridSpan w:val="3"/>
            <w:vMerge w:val="restart"/>
          </w:tcPr>
          <w:p>
            <w:pPr>
              <w:ind w:left="280"/>
              <w:spacing w:after="0"/>
              <w:rPr>
                <w:sz w:val="20"/>
                <w:szCs w:val="20"/>
                <w:color w:val="auto"/>
              </w:rPr>
            </w:pPr>
            <w:r>
              <w:rPr>
                <w:rFonts w:ascii="Arial" w:cs="Arial" w:eastAsia="Arial" w:hAnsi="Arial"/>
                <w:sz w:val="18"/>
                <w:szCs w:val="18"/>
                <w:color w:val="auto"/>
              </w:rPr>
              <w:t>Gabriel Dalporto</w:t>
            </w:r>
          </w:p>
        </w:tc>
        <w:tc>
          <w:tcPr>
            <w:tcW w:w="4460" w:type="dxa"/>
            <w:vAlign w:val="bottom"/>
            <w:gridSpan w:val="3"/>
            <w:vMerge w:val="continue"/>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20" w:type="dxa"/>
            <w:vAlign w:val="bottom"/>
            <w:gridSpan w:val="3"/>
            <w:vMerge w:val="continue"/>
          </w:tcPr>
          <w:p>
            <w:pPr>
              <w:spacing w:after="0"/>
              <w:rPr>
                <w:sz w:val="5"/>
                <w:szCs w:val="5"/>
                <w:color w:val="auto"/>
              </w:rPr>
            </w:pPr>
          </w:p>
        </w:tc>
        <w:tc>
          <w:tcPr>
            <w:tcW w:w="2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2"/>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CARLA SHUMATE</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Senior Vice President and Chief Accounting Officer</w:t>
            </w:r>
          </w:p>
        </w:tc>
        <w:tc>
          <w:tcPr>
            <w:tcW w:w="1660" w:type="dxa"/>
            <w:vAlign w:val="bottom"/>
            <w:gridSpan w:val="2"/>
          </w:tcPr>
          <w:p>
            <w:pPr>
              <w:ind w:left="560"/>
              <w:spacing w:after="0"/>
              <w:rPr>
                <w:sz w:val="20"/>
                <w:szCs w:val="20"/>
                <w:color w:val="auto"/>
              </w:rPr>
            </w:pPr>
            <w:r>
              <w:rPr>
                <w:rFonts w:ascii="Arial" w:cs="Arial" w:eastAsia="Arial" w:hAnsi="Arial"/>
                <w:sz w:val="18"/>
                <w:szCs w:val="18"/>
                <w:color w:val="auto"/>
                <w:w w:val="93"/>
              </w:rPr>
              <w:t>March 1, 2016</w:t>
            </w:r>
          </w:p>
        </w:tc>
        <w:tc>
          <w:tcPr>
            <w:tcW w:w="0" w:type="dxa"/>
            <w:vAlign w:val="bottom"/>
          </w:tcPr>
          <w:p>
            <w:pPr>
              <w:spacing w:after="0"/>
              <w:rPr>
                <w:sz w:val="1"/>
                <w:szCs w:val="1"/>
                <w:color w:val="auto"/>
              </w:rPr>
            </w:pPr>
          </w:p>
        </w:tc>
      </w:tr>
      <w:tr>
        <w:trPr>
          <w:trHeight w:val="41"/>
        </w:trPr>
        <w:tc>
          <w:tcPr>
            <w:tcW w:w="17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4460" w:type="dxa"/>
            <w:vAlign w:val="bottom"/>
            <w:gridSpan w:val="3"/>
            <w:vMerge w:val="restart"/>
          </w:tcPr>
          <w:p>
            <w:pPr>
              <w:ind w:left="140"/>
              <w:spacing w:after="0"/>
              <w:rPr>
                <w:sz w:val="20"/>
                <w:szCs w:val="20"/>
                <w:color w:val="auto"/>
              </w:rPr>
            </w:pPr>
            <w:r>
              <w:rPr>
                <w:rFonts w:ascii="Arial" w:cs="Arial" w:eastAsia="Arial" w:hAnsi="Arial"/>
                <w:sz w:val="18"/>
                <w:szCs w:val="18"/>
                <w:i w:val="1"/>
                <w:iCs w:val="1"/>
                <w:color w:val="auto"/>
              </w:rPr>
              <w:t>(Principal Accounting Officer)</w:t>
            </w: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20" w:type="dxa"/>
            <w:vAlign w:val="bottom"/>
            <w:gridSpan w:val="3"/>
            <w:vMerge w:val="restart"/>
          </w:tcPr>
          <w:p>
            <w:pPr>
              <w:ind w:left="280"/>
              <w:spacing w:after="0"/>
              <w:rPr>
                <w:sz w:val="20"/>
                <w:szCs w:val="20"/>
                <w:color w:val="auto"/>
              </w:rPr>
            </w:pPr>
            <w:r>
              <w:rPr>
                <w:rFonts w:ascii="Arial" w:cs="Arial" w:eastAsia="Arial" w:hAnsi="Arial"/>
                <w:sz w:val="18"/>
                <w:szCs w:val="18"/>
                <w:color w:val="auto"/>
              </w:rPr>
              <w:t>Carla Shumate</w:t>
            </w:r>
          </w:p>
        </w:tc>
        <w:tc>
          <w:tcPr>
            <w:tcW w:w="4460" w:type="dxa"/>
            <w:vAlign w:val="bottom"/>
            <w:gridSpan w:val="3"/>
            <w:vMerge w:val="continue"/>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20" w:type="dxa"/>
            <w:vAlign w:val="bottom"/>
            <w:gridSpan w:val="3"/>
            <w:vMerge w:val="continue"/>
          </w:tcPr>
          <w:p>
            <w:pPr>
              <w:spacing w:after="0"/>
              <w:rPr>
                <w:sz w:val="5"/>
                <w:szCs w:val="5"/>
                <w:color w:val="auto"/>
              </w:rPr>
            </w:pPr>
          </w:p>
        </w:tc>
        <w:tc>
          <w:tcPr>
            <w:tcW w:w="2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NEAL DERMER</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60" w:type="dxa"/>
            <w:vAlign w:val="bottom"/>
            <w:gridSpan w:val="2"/>
          </w:tcPr>
          <w:p>
            <w:pPr>
              <w:ind w:left="560"/>
              <w:spacing w:after="0"/>
              <w:rPr>
                <w:sz w:val="20"/>
                <w:szCs w:val="20"/>
                <w:color w:val="auto"/>
              </w:rPr>
            </w:pPr>
            <w:r>
              <w:rPr>
                <w:rFonts w:ascii="Arial" w:cs="Arial" w:eastAsia="Arial" w:hAnsi="Arial"/>
                <w:sz w:val="18"/>
                <w:szCs w:val="18"/>
                <w:color w:val="auto"/>
                <w:w w:val="93"/>
              </w:rPr>
              <w:t>March 1, 2016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Neal Dermer</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ROBIN HENDERSON</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60" w:type="dxa"/>
            <w:vAlign w:val="bottom"/>
            <w:gridSpan w:val="2"/>
          </w:tcPr>
          <w:p>
            <w:pPr>
              <w:ind w:left="560"/>
              <w:spacing w:after="0"/>
              <w:rPr>
                <w:sz w:val="20"/>
                <w:szCs w:val="20"/>
                <w:color w:val="auto"/>
              </w:rPr>
            </w:pPr>
            <w:r>
              <w:rPr>
                <w:rFonts w:ascii="Arial" w:cs="Arial" w:eastAsia="Arial" w:hAnsi="Arial"/>
                <w:sz w:val="18"/>
                <w:szCs w:val="18"/>
                <w:color w:val="auto"/>
                <w:w w:val="93"/>
              </w:rPr>
              <w:t>March 1, 2016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Robin Henderson</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PETER HORAN</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60" w:type="dxa"/>
            <w:vAlign w:val="bottom"/>
            <w:gridSpan w:val="2"/>
          </w:tcPr>
          <w:p>
            <w:pPr>
              <w:ind w:left="560"/>
              <w:spacing w:after="0"/>
              <w:rPr>
                <w:sz w:val="20"/>
                <w:szCs w:val="20"/>
                <w:color w:val="auto"/>
              </w:rPr>
            </w:pPr>
            <w:r>
              <w:rPr>
                <w:rFonts w:ascii="Arial" w:cs="Arial" w:eastAsia="Arial" w:hAnsi="Arial"/>
                <w:sz w:val="18"/>
                <w:szCs w:val="18"/>
                <w:color w:val="auto"/>
                <w:w w:val="93"/>
              </w:rPr>
              <w:t>March 1, 2016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Peter Horan</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STEVEN OZONIAN</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60" w:type="dxa"/>
            <w:vAlign w:val="bottom"/>
            <w:gridSpan w:val="2"/>
          </w:tcPr>
          <w:p>
            <w:pPr>
              <w:ind w:left="560"/>
              <w:spacing w:after="0"/>
              <w:rPr>
                <w:sz w:val="20"/>
                <w:szCs w:val="20"/>
                <w:color w:val="auto"/>
              </w:rPr>
            </w:pPr>
            <w:r>
              <w:rPr>
                <w:rFonts w:ascii="Arial" w:cs="Arial" w:eastAsia="Arial" w:hAnsi="Arial"/>
                <w:sz w:val="18"/>
                <w:szCs w:val="18"/>
                <w:color w:val="auto"/>
                <w:w w:val="93"/>
              </w:rPr>
              <w:t>March 1, 2016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Steven Ozonian</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SARAS SARASVATHY</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60" w:type="dxa"/>
            <w:vAlign w:val="bottom"/>
            <w:gridSpan w:val="2"/>
          </w:tcPr>
          <w:p>
            <w:pPr>
              <w:ind w:left="560"/>
              <w:spacing w:after="0"/>
              <w:rPr>
                <w:sz w:val="20"/>
                <w:szCs w:val="20"/>
                <w:color w:val="auto"/>
              </w:rPr>
            </w:pPr>
            <w:r>
              <w:rPr>
                <w:rFonts w:ascii="Arial" w:cs="Arial" w:eastAsia="Arial" w:hAnsi="Arial"/>
                <w:sz w:val="18"/>
                <w:szCs w:val="18"/>
                <w:color w:val="auto"/>
                <w:w w:val="93"/>
              </w:rPr>
              <w:t>March 1, 2016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Saras Sarasvathy</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CRAIG TROYER</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60" w:type="dxa"/>
            <w:vAlign w:val="bottom"/>
            <w:gridSpan w:val="2"/>
          </w:tcPr>
          <w:p>
            <w:pPr>
              <w:ind w:left="560"/>
              <w:spacing w:after="0"/>
              <w:rPr>
                <w:sz w:val="20"/>
                <w:szCs w:val="20"/>
                <w:color w:val="auto"/>
              </w:rPr>
            </w:pPr>
            <w:r>
              <w:rPr>
                <w:rFonts w:ascii="Arial" w:cs="Arial" w:eastAsia="Arial" w:hAnsi="Arial"/>
                <w:sz w:val="18"/>
                <w:szCs w:val="18"/>
                <w:color w:val="auto"/>
                <w:w w:val="93"/>
              </w:rPr>
              <w:t>March 1, 2016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Craig Troyer</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18" w:right="239" w:bottom="1440" w:gutter="0" w:footer="0" w:header="0"/>
          <w:type w:val="continuous"/>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172085</wp:posOffset>
            </wp:positionV>
            <wp:extent cx="1972310" cy="737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7231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Carla Shumate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Carla,</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This letter reflects our mutual agreement to amend the terms of both the severance letter agreement dated March 11, 2015 (the “</w:t>
      </w:r>
      <w:r>
        <w:rPr>
          <w:rFonts w:ascii="Arial" w:cs="Arial" w:eastAsia="Arial" w:hAnsi="Arial"/>
          <w:sz w:val="18"/>
          <w:szCs w:val="18"/>
          <w:u w:val="single" w:color="auto"/>
          <w:color w:val="auto"/>
        </w:rPr>
        <w:t>Severance Letter</w:t>
      </w:r>
      <w:r>
        <w:rPr>
          <w:rFonts w:ascii="Arial" w:cs="Arial" w:eastAsia="Arial" w:hAnsi="Arial"/>
          <w:sz w:val="18"/>
          <w:szCs w:val="18"/>
          <w:color w:val="auto"/>
        </w:rPr>
        <w:t>”) and the change of control letter agreement dated March 11, 2015 (the “</w:t>
      </w:r>
      <w:r>
        <w:rPr>
          <w:rFonts w:ascii="Arial" w:cs="Arial" w:eastAsia="Arial" w:hAnsi="Arial"/>
          <w:sz w:val="18"/>
          <w:szCs w:val="18"/>
          <w:u w:val="single" w:color="auto"/>
          <w:color w:val="auto"/>
        </w:rPr>
        <w:t>CC Letter</w:t>
      </w:r>
      <w:r>
        <w:rPr>
          <w:rFonts w:ascii="Arial" w:cs="Arial" w:eastAsia="Arial" w:hAnsi="Arial"/>
          <w:sz w:val="18"/>
          <w:szCs w:val="18"/>
          <w:color w:val="auto"/>
        </w:rPr>
        <w:t>”), as set forth herein. Capitalized terms used herein and not defined have the same meaning as set forth in the Severance Letter and CC Letter, as applicable.</w:t>
      </w:r>
    </w:p>
    <w:p>
      <w:pPr>
        <w:spacing w:after="0" w:line="181" w:lineRule="exact"/>
        <w:rPr>
          <w:sz w:val="20"/>
          <w:szCs w:val="20"/>
          <w:color w:val="auto"/>
        </w:rPr>
      </w:pPr>
    </w:p>
    <w:p>
      <w:pPr>
        <w:ind w:left="980" w:hanging="648"/>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paragraph is added as a new second paragraph to the Severance Letter.</w:t>
      </w:r>
    </w:p>
    <w:p>
      <w:pPr>
        <w:spacing w:after="0" w:line="225" w:lineRule="exact"/>
        <w:rPr>
          <w:rFonts w:ascii="Arial" w:cs="Arial" w:eastAsia="Arial" w:hAnsi="Arial"/>
          <w:sz w:val="18"/>
          <w:szCs w:val="18"/>
          <w:color w:val="auto"/>
        </w:rPr>
      </w:pPr>
    </w:p>
    <w:p>
      <w:pPr>
        <w:ind w:left="980" w:right="20"/>
        <w:spacing w:after="0" w:line="280" w:lineRule="auto"/>
        <w:rPr>
          <w:rFonts w:ascii="Arial" w:cs="Arial" w:eastAsia="Arial" w:hAnsi="Arial"/>
          <w:sz w:val="18"/>
          <w:szCs w:val="18"/>
          <w:color w:val="auto"/>
        </w:rPr>
      </w:pPr>
      <w:r>
        <w:rPr>
          <w:rFonts w:ascii="Arial" w:cs="Arial" w:eastAsia="Arial" w:hAnsi="Arial"/>
          <w:sz w:val="16"/>
          <w:szCs w:val="16"/>
          <w:color w:val="auto"/>
        </w:rPr>
        <w:t>You must execute (and not revoke) such waiver and release document within forty-five (45) days following the effective date of termination of your employment by the Company other than for Cause or unacceptable performance or else your eligibility to receive the benefits described in this letter shall immediately become null and void. If such waiver and release document becomes effective on a timely basis by its own terms, then the first severance pay installment (in an amount equal to two months of your annual base salary) will be paid to you on the 60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after termination of your employment and, for the ten months thereafter, you will receive pro-rata installments of the severance pay in accordance with the Company’s regularly scheduled pay dates for its employees. It is intended that any amounts payable hereunder shall comply with or be exempt from Section 409A of the Internal Revenue Code of 1986 (“Section 409A”) (including under Treasury Regulation §§ 1.409A-1(b)(4) (“short-term deferrals”) and (b)(9) (“separation pay plans,” including the exceptions under subparagraph (iii) and subparagraph (v)(D)) and other applicable provisions of Treasury Regulation §§ 1.409A-1 through A-6). For purposes of Section 409A, each of the payments that may be made under this letter shall be deemed to be a separate payment. You and the Company agree to negotiate in good faith to make amendments to this letter, as the parties mutually agree are necessary or desirable to avoid the imposition of taxes, penalties or interest under Section 409A. Neither you nor the Company shall have the right to accelerate or defer the delivery of any such payments or benefits except (i) where payment may be made within a certain period of time, the timing of payment within such period will be in the sole discretion of the Company, and (ii) to the extent specifically permitted or required by Section 409A. To the extent any nonqualified deferred compensation payment to you could be paid in one or more of your taxable years depending upon you completing certain employment-related actions, then any such payments will commence or occur in the later taxable year to the extent required by Section 409A. With respect to the time of payments of any amounts under the letter that are “deferred compensation” subject to Section 409A, references in this letter to “termination of employment” (and substantially similar phrases) shall mean “separation from service” within the meaning of Section 409A. Notwithstanding anything in this letter to the contrary, if you are considered a “specified employee” under Section 409A upon your separation from service and if payment of any amounts on account of your separation from service under this letter is required to be delayed for a period of six months after separation from service in order to avoid taxation under Section 409A, payment of such amounts shall be delayed as required by Section 409A, and the accumulated amounts shall be paid in a lump sum payment, without interest, within five business days after the end of the six-month delay period. If you die during the six-month delay period prior to the payment of benefits, the amounts withheld on account of Section 409A shall be paid to the personal representative of your estate within 60 days after the date of your death. While it is intended that all payments and benefits provided to you under this letter or otherwise will be exempt from or comply with Section 409A, the Company makes no representation or covenant to ensure that such payments and benefits are exempt from or compliant with Section 409A. The Company will have no liability to you or any other party if a payment or benefit under this letter or otherwise is challenged by any taxing authority or is ultimately determined not to be so exempt or compliant. You further understand and agree that you will be entirely responsible for any and all taxes imposed on you as a result of this letter.</w:t>
      </w:r>
    </w:p>
    <w:p>
      <w:pPr>
        <w:spacing w:after="0" w:line="391" w:lineRule="exact"/>
        <w:rPr>
          <w:rFonts w:ascii="Arial" w:cs="Arial" w:eastAsia="Arial" w:hAnsi="Arial"/>
          <w:sz w:val="18"/>
          <w:szCs w:val="18"/>
          <w:color w:val="auto"/>
        </w:rPr>
      </w:pPr>
    </w:p>
    <w:p>
      <w:pPr>
        <w:ind w:left="980" w:right="400" w:hanging="648"/>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paragraph is added as a new second-to-last paragraph to the CC Letter (and before the Definitions and Restrictive Covenants sections).</w:t>
      </w:r>
    </w:p>
    <w:p>
      <w:pPr>
        <w:sectPr>
          <w:pgSz w:w="11900" w:h="16838" w:orient="portrait"/>
          <w:cols w:equalWidth="0" w:num="1">
            <w:col w:w="11420"/>
          </w:cols>
          <w:pgMar w:left="240" w:top="121" w:right="239" w:bottom="1440" w:gutter="0" w:footer="0" w:header="0"/>
        </w:sectPr>
      </w:pPr>
    </w:p>
    <w:bookmarkStart w:id="74" w:name="page75"/>
    <w:bookmarkEnd w:id="74"/>
    <w:p>
      <w:pPr>
        <w:ind w:left="648"/>
        <w:spacing w:after="0" w:line="280" w:lineRule="auto"/>
        <w:rPr>
          <w:sz w:val="20"/>
          <w:szCs w:val="20"/>
          <w:color w:val="auto"/>
        </w:rPr>
      </w:pPr>
      <w:r>
        <w:rPr>
          <w:rFonts w:ascii="Arial" w:cs="Arial" w:eastAsia="Arial" w:hAnsi="Arial"/>
          <w:sz w:val="16"/>
          <w:szCs w:val="16"/>
          <w:color w:val="auto"/>
        </w:rPr>
        <w:t>You must execute (and not revoke) such general release of claims within forty-five (45) days following the effective date of a qualifying termination of your employment or else your eligibility to receive the benefits described in this letter shall immediately become null and void. If such general release of claims becomes effective on a timely basis by its own terms, then the severance payment will be paid to you on the 60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after termination of your employment. It is intended that any amounts payable hereunder shall comply with or be exempt from Section 409A of the Internal Revenue Code of 1986 (“Section 409A”) (including under Treasury Regulation §§ 1.409A-1(b)(4) (“short-term deferrals”) and (b)(9) (“separation pay plans,” including the exceptions under subparagraph (iii) and subparagraph (v)(D)) and other applicable provisions of Treasury Regulation §§ 1.409A-1 through A-6). For purposes of Section 409A, each of the payments that may be made under this letter shall be deemed to be a separate payment. You and the Company agree to negotiate in good faith to make amendments to this letter, as the parties mutually agree are necessary or desirable to avoid the imposition of taxes, penalties or interest under Section 409A. Neither you nor the Company shall have the right to accelerate or defer the delivery of any such payments or benefits except (i) where payment may be made within a certain period of time, the timing of payment within such period will be in the sole discretion of the Company, and (ii) to the extent specifically permitted or required by Section 409A. To the extent any nonqualified deferred compensation payment to you could be paid in one or more of your taxable years depending upon you completing certain employment-related actions, then any such payments will commence or occur in the later taxable year to the extent required by Section 409A. With respect to the time of payments of any amounts under the letter that are “deferred compensation” subject to Section 409A, references in this letter to “termination of employment” (and substantially similar phrases) shall mean “separation from service” within the meaning of Section 409A. Notwithstanding anything in this letter to the contrary, if you are considered a “specified employee” under Section 409A upon your separation from service and if payment of any amounts on account of your separation from service under this letter is required to be delayed for a period of six months after separation from service in order to avoid taxation under Section 409A, payment of such amounts shall be delayed as required by Section 409A, and the accumulated amounts shall be paid in a lump sum payment, without interest, within five business days after the end of the six-month delay period. If you die during the six-month delay period prior to the payment of benefits, the amounts withheld on account of Section 409A shall be paid to the personal representative of your estate within 60 days after the date of your death. While it is intended that all payments and benefits provided to you under this letter or otherwise will be exempt from or comply with Section 409A, the Company makes no representation or covenant to ensure that such payments and benefits are exempt from or compliant with Section 409A. The Company will have no liability to you or any other party if a payment or benefit under this letter or otherwise is challenged by any taxing authority or is ultimately determined not to be so exempt or compliant. You further understand and agree that you will be entirely responsible for any and all taxes imposed on you as a result of this letter.</w:t>
      </w:r>
    </w:p>
    <w:p>
      <w:pPr>
        <w:spacing w:after="0" w:line="173" w:lineRule="exact"/>
        <w:rPr>
          <w:sz w:val="20"/>
          <w:szCs w:val="20"/>
          <w:color w:val="auto"/>
        </w:rPr>
      </w:pPr>
    </w:p>
    <w:p>
      <w:pPr>
        <w:ind w:left="648" w:hanging="648"/>
        <w:spacing w:after="0"/>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sentences are added on to the end of the Good Reason definition in the CC Letter.</w:t>
      </w:r>
    </w:p>
    <w:p>
      <w:pPr>
        <w:spacing w:after="0" w:line="225" w:lineRule="exact"/>
        <w:rPr>
          <w:rFonts w:ascii="Arial" w:cs="Arial" w:eastAsia="Arial" w:hAnsi="Arial"/>
          <w:sz w:val="18"/>
          <w:szCs w:val="18"/>
          <w:color w:val="auto"/>
        </w:rPr>
      </w:pPr>
    </w:p>
    <w:p>
      <w:pPr>
        <w:ind w:left="648"/>
        <w:spacing w:after="0" w:line="293" w:lineRule="auto"/>
        <w:rPr>
          <w:rFonts w:ascii="Arial" w:cs="Arial" w:eastAsia="Arial" w:hAnsi="Arial"/>
          <w:sz w:val="18"/>
          <w:szCs w:val="18"/>
          <w:color w:val="auto"/>
        </w:rPr>
      </w:pPr>
      <w:r>
        <w:rPr>
          <w:rFonts w:ascii="Arial" w:cs="Arial" w:eastAsia="Arial" w:hAnsi="Arial"/>
          <w:sz w:val="16"/>
          <w:szCs w:val="16"/>
          <w:color w:val="auto"/>
        </w:rPr>
        <w:t>In order to resign your employment for Good Reason, you must notify the Company in writing within fifteen (15) days of the initial existence of any event falling under clauses (i) through (iii) and such notice shall describe in detail the facts and circumstances explaining why you believe a Good Reason event has occurred. The Company shall then have sixty (60) days following its receipt of such notice to cure or remedy such alleged Good Reason event such that Good Reason will not be deemed to exist for such event. If the event remains uncured or is not remedied by the Company within such sixty (60) day period and if your employment has not otherwise been terminated, then a termination of your employment for Good Reason shall automatically occur on the first business day following the end of such sixty (60) day cure/remedy period.</w:t>
      </w:r>
    </w:p>
    <w:p>
      <w:pPr>
        <w:sectPr>
          <w:pgSz w:w="11900" w:h="16838" w:orient="portrait"/>
          <w:cols w:equalWidth="0" w:num="1">
            <w:col w:w="11048"/>
          </w:cols>
          <w:pgMar w:left="572" w:top="584" w:right="27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Except as set forth in this letter, the Severance Letter and the CC Letter each remain in full force and effect as is.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 Claudette Parham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31750</wp:posOffset>
            </wp:positionV>
            <wp:extent cx="32499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Claudette Parham</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Chief People Officer</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Agreed and accepted</w:t>
      </w:r>
      <w:r>
        <w:rPr>
          <w:rFonts w:ascii="Arial" w:cs="Arial" w:eastAsia="Arial" w:hAnsi="Arial"/>
          <w:sz w:val="18"/>
          <w:szCs w:val="18"/>
          <w:b w:val="1"/>
          <w:bCs w:val="1"/>
          <w:color w:val="auto"/>
        </w:rPr>
        <w:t>:</w:t>
      </w:r>
    </w:p>
    <w:p>
      <w:pPr>
        <w:sectPr>
          <w:pgSz w:w="11900" w:h="16838" w:orient="portrait"/>
          <w:cols w:equalWidth="0" w:num="1">
            <w:col w:w="10219"/>
          </w:cols>
          <w:pgMar w:left="240" w:top="368" w:right="1440" w:bottom="1440" w:gutter="0" w:footer="0" w:header="0"/>
        </w:sectPr>
      </w:pPr>
    </w:p>
    <w:p>
      <w:pPr>
        <w:spacing w:after="0" w:line="33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 Carla Shumate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53975</wp:posOffset>
            </wp:positionV>
            <wp:extent cx="32499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Carla Shumate</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32416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2">
            <w:col w:w="5120" w:space="720"/>
            <w:col w:w="4379"/>
          </w:cols>
          <w:pgMar w:left="240" w:top="368" w:right="1440" w:bottom="1440" w:gutter="0" w:footer="0" w:header="0"/>
          <w:type w:val="continuous"/>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172085</wp:posOffset>
            </wp:positionV>
            <wp:extent cx="1972310" cy="737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7231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Nikul Patel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Nikul,</w:t>
      </w:r>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This letter reflects our mutual agreement to amend the terms of both the severance letter agreement dated April 7, 2014 (the “</w:t>
      </w:r>
      <w:r>
        <w:rPr>
          <w:rFonts w:ascii="Arial" w:cs="Arial" w:eastAsia="Arial" w:hAnsi="Arial"/>
          <w:sz w:val="18"/>
          <w:szCs w:val="18"/>
          <w:u w:val="single" w:color="auto"/>
          <w:color w:val="auto"/>
        </w:rPr>
        <w:t>Severance Letter</w:t>
      </w:r>
      <w:r>
        <w:rPr>
          <w:rFonts w:ascii="Arial" w:cs="Arial" w:eastAsia="Arial" w:hAnsi="Arial"/>
          <w:sz w:val="18"/>
          <w:szCs w:val="18"/>
          <w:color w:val="auto"/>
        </w:rPr>
        <w:t>”) and the change of control letter agreement dated April 7, 2014 (the “</w:t>
      </w:r>
      <w:r>
        <w:rPr>
          <w:rFonts w:ascii="Arial" w:cs="Arial" w:eastAsia="Arial" w:hAnsi="Arial"/>
          <w:sz w:val="18"/>
          <w:szCs w:val="18"/>
          <w:u w:val="single" w:color="auto"/>
          <w:color w:val="auto"/>
        </w:rPr>
        <w:t>CC Letter</w:t>
      </w:r>
      <w:r>
        <w:rPr>
          <w:rFonts w:ascii="Arial" w:cs="Arial" w:eastAsia="Arial" w:hAnsi="Arial"/>
          <w:sz w:val="18"/>
          <w:szCs w:val="18"/>
          <w:color w:val="auto"/>
        </w:rPr>
        <w:t>”), as set forth herein. Capitalized terms used herein and not defined have the same meaning as set forth in the Severance Letter and CC Letter, as applicable.</w:t>
      </w:r>
    </w:p>
    <w:p>
      <w:pPr>
        <w:spacing w:after="0" w:line="181" w:lineRule="exact"/>
        <w:rPr>
          <w:sz w:val="20"/>
          <w:szCs w:val="20"/>
          <w:color w:val="auto"/>
        </w:rPr>
      </w:pPr>
    </w:p>
    <w:p>
      <w:pPr>
        <w:ind w:left="980" w:hanging="648"/>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paragraph is added as a new second paragraph to the Severance Letter.</w:t>
      </w:r>
    </w:p>
    <w:p>
      <w:pPr>
        <w:spacing w:after="0" w:line="225" w:lineRule="exact"/>
        <w:rPr>
          <w:rFonts w:ascii="Arial" w:cs="Arial" w:eastAsia="Arial" w:hAnsi="Arial"/>
          <w:sz w:val="18"/>
          <w:szCs w:val="18"/>
          <w:color w:val="auto"/>
        </w:rPr>
      </w:pPr>
    </w:p>
    <w:p>
      <w:pPr>
        <w:ind w:left="980" w:right="20"/>
        <w:spacing w:after="0" w:line="280" w:lineRule="auto"/>
        <w:rPr>
          <w:rFonts w:ascii="Arial" w:cs="Arial" w:eastAsia="Arial" w:hAnsi="Arial"/>
          <w:sz w:val="18"/>
          <w:szCs w:val="18"/>
          <w:color w:val="auto"/>
        </w:rPr>
      </w:pPr>
      <w:r>
        <w:rPr>
          <w:rFonts w:ascii="Arial" w:cs="Arial" w:eastAsia="Arial" w:hAnsi="Arial"/>
          <w:sz w:val="16"/>
          <w:szCs w:val="16"/>
          <w:color w:val="auto"/>
        </w:rPr>
        <w:t>You must execute (and not revoke) such waiver and release document within forty-five (45) days following the effective date of termination of your employment by the Company other than for Cause or unacceptable performance or else your eligibility to receive the benefits described in this letter shall immediately become null and void. If such waiver and release document becomes effective on a timely basis by its own terms, then the first severance pay installment (in an amount equal to two months of your annual base salary) will be paid to you on the 60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after termination of your employment and, for the ten months thereafter, you will receive pro-rata installments of the severance pay in accordance with the Company’s regularly scheduled pay dates for its employees. It is intended that any amounts payable hereunder shall comply with or be exempt from Section 409A of the Internal Revenue Code of 1986 (“Section 409A”) (including under Treasury Regulation §§ 1.409A-1(b)(4) (“short-term deferrals”) and (b)(9) (“separation pay plans,” including the exceptions under subparagraph (iii) and subparagraph (v)(D)) and other applicable provisions of Treasury Regulation §§ 1.409A-1 through A-6). For purposes of Section 409A, each of the payments that may be made under this letter shall be deemed to be a separate payment. You and the Company agree to negotiate in good faith to make amendments to this letter, as the parties mutually agree are necessary or desirable to avoid the imposition of taxes, penalties or interest under Section 409A. Neither you nor the Company shall have the right to accelerate or defer the delivery of any such payments or benefits except (i) where payment may be made within a certain period of time, the timing of payment within such period will be in the sole discretion of the Company, and (ii) to the extent specifically permitted or required by Section 409A. To the extent any nonqualified deferred compensation payment to you could be paid in one or more of your taxable years depending upon you completing certain employment-related actions, then any such payments will commence or occur in the later taxable year to the extent required by Section 409A. With respect to the time of payments of any amounts under the letter that are “deferred compensation” subject to Section 409A, references in this letter to “termination of employment” (and substantially similar phrases) shall mean “separation from service” within the meaning of Section 409A. Notwithstanding anything in this letter to the contrary, if you are considered a “specified employee” under Section 409A upon your separation from service and if payment of any amounts on account of your separation from service under this letter is required to be delayed for a period of six months after separation from service in order to avoid taxation under Section 409A, payment of such amounts shall be delayed as required by Section 409A, and the accumulated amounts shall be paid in a lump sum payment, without interest, within five business days after the end of the six-month delay period. If you die during the six-month delay period prior to the payment of benefits, the amounts withheld on account of Section 409A shall be paid to the personal representative of your estate within 60 days after the date of your death. While it is intended that all payments and benefits provided to you under this letter or otherwise will be exempt from or comply with Section 409A, the Company makes no representation or covenant to ensure that such payments and benefits are exempt from or compliant with Section 409A. The Company will have no liability to you or any other party if a payment or benefit under this letter or otherwise is challenged by any taxing authority or is ultimately determined not to be so exempt or compliant. You further understand and agree that you will be entirely responsible for any and all taxes imposed on you as a result of this letter.</w:t>
      </w:r>
    </w:p>
    <w:p>
      <w:pPr>
        <w:spacing w:after="0" w:line="391" w:lineRule="exact"/>
        <w:rPr>
          <w:rFonts w:ascii="Arial" w:cs="Arial" w:eastAsia="Arial" w:hAnsi="Arial"/>
          <w:sz w:val="18"/>
          <w:szCs w:val="18"/>
          <w:color w:val="auto"/>
        </w:rPr>
      </w:pPr>
    </w:p>
    <w:p>
      <w:pPr>
        <w:ind w:left="980" w:right="400" w:hanging="648"/>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paragraph is added as a new second-to-last paragraph to the CC Letter (and before the Definitions and Restrictive Covenants sections).</w:t>
      </w:r>
    </w:p>
    <w:p>
      <w:pPr>
        <w:sectPr>
          <w:pgSz w:w="11900" w:h="16838" w:orient="portrait"/>
          <w:cols w:equalWidth="0" w:num="1">
            <w:col w:w="11420"/>
          </w:cols>
          <w:pgMar w:left="240" w:top="121" w:right="239" w:bottom="1440" w:gutter="0" w:footer="0" w:header="0"/>
        </w:sectPr>
      </w:pPr>
    </w:p>
    <w:bookmarkStart w:id="77" w:name="page78"/>
    <w:bookmarkEnd w:id="77"/>
    <w:p>
      <w:pPr>
        <w:ind w:left="648"/>
        <w:spacing w:after="0" w:line="280" w:lineRule="auto"/>
        <w:rPr>
          <w:sz w:val="20"/>
          <w:szCs w:val="20"/>
          <w:color w:val="auto"/>
        </w:rPr>
      </w:pPr>
      <w:r>
        <w:rPr>
          <w:rFonts w:ascii="Arial" w:cs="Arial" w:eastAsia="Arial" w:hAnsi="Arial"/>
          <w:sz w:val="16"/>
          <w:szCs w:val="16"/>
          <w:color w:val="auto"/>
        </w:rPr>
        <w:t>You must execute (and not revoke) such general release of claims within forty-five (45) days following the effective date of a qualifying termination of your employment or else your eligibility to receive the benefits described in this letter shall immediately become null and void. If such general release of claims becomes effective on a timely basis by its own terms, then the severance payment will be paid to you on the 60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after termination of your employment. It is intended that any amounts payable hereunder shall comply with or be exempt from Section 409A of the Internal Revenue Code of 1986 (“Section 409A”) (including under Treasury Regulation §§ 1.409A-1(b)(4) (“short-term deferrals”) and (b)(9) (“separation pay plans,” including the exceptions under subparagraph (iii) and subparagraph (v)(D)) and other applicable provisions of Treasury Regulation §§ 1.409A-1 through A-6). For purposes of Section 409A, each of the payments that may be made under this letter shall be deemed to be a separate payment. You and the Company agree to negotiate in good faith to make amendments to this letter, as the parties mutually agree are necessary or desirable to avoid the imposition of taxes, penalties or interest under Section 409A. Neither you nor the Company shall have the right to accelerate or defer the delivery of any such payments or benefits except (i) where payment may be made within a certain period of time, the timing of payment within such period will be in the sole discretion of the Company, and (ii) to the extent specifically permitted or required by Section 409A. To the extent any nonqualified deferred compensation payment to you could be paid in one or more of your taxable years depending upon you completing certain employment-related actions, then any such payments will commence or occur in the later taxable year to the extent required by Section 409A. With respect to the time of payments of any amounts under the letter that are “deferred compensation” subject to Section 409A, references in this letter to “termination of employment” (and substantially similar phrases) shall mean “separation from service” within the meaning of Section 409A. Notwithstanding anything in this letter to the contrary, if you are considered a “specified employee” under Section 409A upon your separation from service and if payment of any amounts on account of your separation from service under this letter is required to be delayed for a period of six months after separation from service in order to avoid taxation under Section 409A, payment of such amounts shall be delayed as required by Section 409A, and the accumulated amounts shall be paid in a lump sum payment, without interest, within five business days after the end of the six-month delay period. If you die during the six-month delay period prior to the payment of benefits, the amounts withheld on account of Section 409A shall be paid to the personal representative of your estate within 60 days after the date of your death. While it is intended that all payments and benefits provided to you under this letter or otherwise will be exempt from or comply with Section 409A, the Company makes no representation or covenant to ensure that such payments and benefits are exempt from or compliant with Section 409A. The Company will have no liability to you or any other party if a payment or benefit under this letter or otherwise is challenged by any taxing authority or is ultimately determined not to be so exempt or compliant. You further understand and agree that you will be entirely responsible for any and all taxes imposed on you as a result of this letter.</w:t>
      </w:r>
    </w:p>
    <w:p>
      <w:pPr>
        <w:spacing w:after="0" w:line="173" w:lineRule="exact"/>
        <w:rPr>
          <w:sz w:val="20"/>
          <w:szCs w:val="20"/>
          <w:color w:val="auto"/>
        </w:rPr>
      </w:pPr>
    </w:p>
    <w:p>
      <w:pPr>
        <w:ind w:left="648" w:hanging="648"/>
        <w:spacing w:after="0"/>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sentences are added on to the end of the Good Reason definition in the CC Letter.</w:t>
      </w:r>
    </w:p>
    <w:p>
      <w:pPr>
        <w:spacing w:after="0" w:line="225" w:lineRule="exact"/>
        <w:rPr>
          <w:rFonts w:ascii="Arial" w:cs="Arial" w:eastAsia="Arial" w:hAnsi="Arial"/>
          <w:sz w:val="18"/>
          <w:szCs w:val="18"/>
          <w:color w:val="auto"/>
        </w:rPr>
      </w:pPr>
    </w:p>
    <w:p>
      <w:pPr>
        <w:ind w:left="648"/>
        <w:spacing w:after="0" w:line="293" w:lineRule="auto"/>
        <w:rPr>
          <w:rFonts w:ascii="Arial" w:cs="Arial" w:eastAsia="Arial" w:hAnsi="Arial"/>
          <w:sz w:val="18"/>
          <w:szCs w:val="18"/>
          <w:color w:val="auto"/>
        </w:rPr>
      </w:pPr>
      <w:r>
        <w:rPr>
          <w:rFonts w:ascii="Arial" w:cs="Arial" w:eastAsia="Arial" w:hAnsi="Arial"/>
          <w:sz w:val="16"/>
          <w:szCs w:val="16"/>
          <w:color w:val="auto"/>
        </w:rPr>
        <w:t>In order to resign your employment for Good Reason, you must notify the Company in writing within fifteen (15) days of the initial existence of any event falling under clauses (i) through (iii) and such notice shall describe in detail the facts and circumstances explaining why you believe a Good Reason event has occurred. The Company shall then have sixty (60) days following its receipt of such notice to cure or remedy such alleged Good Reason event such that Good Reason will not be deemed to exist for such event. If the event remains uncured or is not remedied by the Company within such sixty (60) day period and if your employment has not otherwise been terminated, then a termination of your employment for Good Reason shall automatically occur on the first business day following the end of such sixty (60) day cure/remedy period.</w:t>
      </w:r>
    </w:p>
    <w:p>
      <w:pPr>
        <w:sectPr>
          <w:pgSz w:w="11900" w:h="16838" w:orient="portrait"/>
          <w:cols w:equalWidth="0" w:num="1">
            <w:col w:w="11048"/>
          </w:cols>
          <w:pgMar w:left="572" w:top="584" w:right="27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Except as set forth in this letter, the Severance Letter and the CC Letter each remain in full force and effect as is.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 Claudette Parham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31750</wp:posOffset>
            </wp:positionV>
            <wp:extent cx="32499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Claudette Parham</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Chief People Officer</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Agreed and accepted</w:t>
      </w:r>
      <w:r>
        <w:rPr>
          <w:rFonts w:ascii="Arial" w:cs="Arial" w:eastAsia="Arial" w:hAnsi="Arial"/>
          <w:sz w:val="18"/>
          <w:szCs w:val="18"/>
          <w:b w:val="1"/>
          <w:bCs w:val="1"/>
          <w:color w:val="auto"/>
        </w:rPr>
        <w:t>:</w:t>
      </w:r>
    </w:p>
    <w:p>
      <w:pPr>
        <w:sectPr>
          <w:pgSz w:w="11900" w:h="16838" w:orient="portrait"/>
          <w:cols w:equalWidth="0" w:num="1">
            <w:col w:w="10219"/>
          </w:cols>
          <w:pgMar w:left="240" w:top="368" w:right="1440" w:bottom="1440" w:gutter="0" w:footer="0" w:header="0"/>
        </w:sectPr>
      </w:pPr>
    </w:p>
    <w:p>
      <w:pPr>
        <w:spacing w:after="0" w:line="33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 Nikul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39370</wp:posOffset>
            </wp:positionV>
            <wp:extent cx="32499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Nikul Patel</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32416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2">
            <w:col w:w="5120" w:space="720"/>
            <w:col w:w="4379"/>
          </w:cols>
          <w:pgMar w:left="240" w:top="368" w:right="1440" w:bottom="1440"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CREDIT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FIRST AMENDMENT TO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February 25, 2016, by and among LENDINGTREE,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LENDINGTREE,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the other Loan Parties (as defined in the Credit Agreement referred to below), the Lenders (as defined below) party hereto, and SUNTRUST BANK, as the administrative agent for itself and on behalf of the Lenders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Borrower, Parent, the financial institutions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the Administrative Agent have executed and delivered that certain Credit Agreement dated as of October 22, 2015 (as the same may be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the Borrower has requested that the Lenders agree to amend certain provisions of the Credit Agreement as set forth herein, and the Administrative Agent and the Lenders party hereto have agreed to such amendments, in each case subject to the terms and conditions hereof.</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for and in consideration of the above premises and other good and valuable consideration, the receipt and sufficiency of which is hereby acknowledged by the parties hereto, each of the parties hereto hereby covenants and agrees as follows:</w:t>
      </w:r>
    </w:p>
    <w:p>
      <w:pPr>
        <w:spacing w:after="0" w:line="19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Unless otherwise specifically defined herein, each term used herein (and in the recitals above) which is defined in the Credit Agreement shall have the meaning assigned to such term in the Credit Agreement. Each reference to “hereof,” “hereunder,” “herein,” and “hereby” and each other similar reference and each reference to “this Agreement” and each other similar reference contained in the Credit Agreement shall from and after the date hereof refer to the Credit Agreement as amended hereby.</w:t>
      </w:r>
    </w:p>
    <w:p>
      <w:pPr>
        <w:spacing w:after="0" w:line="187"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Amendments to Credit Agreement</w:t>
      </w:r>
      <w:r>
        <w:rPr>
          <w:rFonts w:ascii="Arial" w:cs="Arial" w:eastAsia="Arial" w:hAnsi="Arial"/>
          <w:sz w:val="16"/>
          <w:szCs w:val="16"/>
          <w:color w:val="auto"/>
        </w:rPr>
        <w:t>.</w:t>
      </w:r>
    </w:p>
    <w:p>
      <w:pPr>
        <w:spacing w:after="0" w:line="266" w:lineRule="exact"/>
        <w:rPr>
          <w:sz w:val="20"/>
          <w:szCs w:val="20"/>
          <w:color w:val="auto"/>
        </w:rPr>
      </w:pPr>
    </w:p>
    <w:p>
      <w:pPr>
        <w:ind w:left="1560" w:hanging="904"/>
        <w:spacing w:after="0"/>
        <w:tabs>
          <w:tab w:leader="none" w:pos="156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Amendments to Section 1.1</w:t>
      </w:r>
      <w:r>
        <w:rPr>
          <w:rFonts w:ascii="Arial" w:cs="Arial" w:eastAsia="Arial" w:hAnsi="Arial"/>
          <w:sz w:val="17"/>
          <w:szCs w:val="17"/>
          <w:color w:val="auto"/>
        </w:rPr>
        <w:t xml:space="preserve">. The following new definitions are hereby added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the Credit Agreement in appropriate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alphabetical order:</w:t>
      </w:r>
    </w:p>
    <w:p>
      <w:pPr>
        <w:spacing w:after="0" w:line="239" w:lineRule="exact"/>
        <w:rPr>
          <w:sz w:val="20"/>
          <w:szCs w:val="20"/>
          <w:color w:val="auto"/>
        </w:rPr>
      </w:pPr>
    </w:p>
    <w:p>
      <w:pPr>
        <w:ind w:left="1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Cash Contribution</w:t>
      </w:r>
      <w:r>
        <w:rPr>
          <w:rFonts w:ascii="Arial" w:cs="Arial" w:eastAsia="Arial" w:hAnsi="Arial"/>
          <w:sz w:val="18"/>
          <w:szCs w:val="18"/>
          <w:color w:val="auto"/>
        </w:rPr>
        <w:t>” shall mean capital contributions to Parent made in cash or the net cash proceeds from Permitted Capital Stock Issuances actually received by Parent.</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Cash Contribution Amount</w:t>
      </w:r>
      <w:r>
        <w:rPr>
          <w:rFonts w:ascii="Arial" w:cs="Arial" w:eastAsia="Arial" w:hAnsi="Arial"/>
          <w:sz w:val="16"/>
          <w:szCs w:val="16"/>
          <w:color w:val="auto"/>
        </w:rPr>
        <w:t>” shall mean the aggregate amount of Specified Cash Contributions made after the Closing</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130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Capital Stock Issuance</w:t>
      </w:r>
      <w:r>
        <w:rPr>
          <w:rFonts w:ascii="Arial" w:cs="Arial" w:eastAsia="Arial" w:hAnsi="Arial"/>
          <w:sz w:val="18"/>
          <w:szCs w:val="18"/>
          <w:color w:val="auto"/>
        </w:rPr>
        <w:t>” shall mean any sale or issuance of any Qualified Capital Stock of Parent to the extent permitted hereunder.</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Capital Stock</w:t>
      </w:r>
      <w:r>
        <w:rPr>
          <w:rFonts w:ascii="Arial" w:cs="Arial" w:eastAsia="Arial" w:hAnsi="Arial"/>
          <w:sz w:val="18"/>
          <w:szCs w:val="18"/>
          <w:color w:val="auto"/>
        </w:rPr>
        <w:t>” shall mean any Capital Stock that is not Disqualified Capital Stock.</w:t>
      </w:r>
    </w:p>
    <w:p>
      <w:pPr>
        <w:spacing w:after="0" w:line="252" w:lineRule="exact"/>
        <w:rPr>
          <w:sz w:val="20"/>
          <w:szCs w:val="20"/>
          <w:color w:val="auto"/>
        </w:rPr>
      </w:pPr>
    </w:p>
    <w:p>
      <w:pPr>
        <w:ind w:left="1560" w:hanging="904"/>
        <w:spacing w:after="0"/>
        <w:tabs>
          <w:tab w:leader="none" w:pos="156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Amendments to Section 7.5(f)</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7.5(f)</w:t>
      </w:r>
      <w:r>
        <w:rPr>
          <w:rFonts w:ascii="Arial" w:cs="Arial" w:eastAsia="Arial" w:hAnsi="Arial"/>
          <w:sz w:val="16"/>
          <w:szCs w:val="16"/>
          <w:color w:val="auto"/>
        </w:rPr>
        <w:t xml:space="preserve"> of the Credit Agreement is amended and restated in its entirety so that it reads as follows:</w:t>
      </w:r>
    </w:p>
    <w:p>
      <w:pPr>
        <w:spacing w:after="0" w:line="261" w:lineRule="exact"/>
        <w:rPr>
          <w:rFonts w:ascii="Arial" w:cs="Arial" w:eastAsia="Arial" w:hAnsi="Arial"/>
          <w:sz w:val="16"/>
          <w:szCs w:val="16"/>
          <w:color w:val="auto"/>
        </w:rPr>
      </w:pPr>
    </w:p>
    <w:p>
      <w:pPr>
        <w:jc w:val="both"/>
        <w:ind w:left="1300" w:firstLine="653"/>
        <w:spacing w:after="0" w:line="255" w:lineRule="auto"/>
        <w:tabs>
          <w:tab w:leader="none" w:pos="2393"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other Restricted Payments made by Parent or any Subsidiary of Parent so long as (i) the aggregate amount of Restricted Payments made pursuant to this clause (f) since the Closing Date does not exceed the sum of (A) $50,000,000,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50% of cumulative Excess Cash Flow for the period commencing on January 1, 2016, and ending on the first day of the most recent Fiscal Year beginning before such Restricted Payment is made,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Specified Cash Contribution Amount, (ii) no Default or Event of Default shall have occurred and be continuing at the time such Restricted Payment is made, (iii) the Consolidated Leverage Ratio is less than or equal to 2.75 to 1.00, calculated on a Pro Forma Basis as of the last day of the most recently ended Fiscal Quarter for which financial statements are required</w:t>
      </w:r>
    </w:p>
    <w:p>
      <w:pPr>
        <w:sectPr>
          <w:pgSz w:w="11900" w:h="16838" w:orient="portrait"/>
          <w:cols w:equalWidth="0" w:num="1">
            <w:col w:w="11420"/>
          </w:cols>
          <w:pgMar w:left="240" w:top="121" w:right="239" w:bottom="1440" w:gutter="0" w:footer="0" w:header="0"/>
        </w:sectPr>
      </w:pPr>
    </w:p>
    <w:bookmarkStart w:id="80" w:name="page81"/>
    <w:bookmarkEnd w:id="80"/>
    <w:p>
      <w:pPr>
        <w:ind w:left="1300"/>
        <w:spacing w:after="0" w:line="277" w:lineRule="auto"/>
        <w:rPr>
          <w:sz w:val="20"/>
          <w:szCs w:val="20"/>
          <w:color w:val="auto"/>
        </w:rPr>
      </w:pPr>
      <w:r>
        <w:rPr>
          <w:rFonts w:ascii="Arial" w:cs="Arial" w:eastAsia="Arial" w:hAnsi="Arial"/>
          <w:sz w:val="18"/>
          <w:szCs w:val="18"/>
          <w:color w:val="auto"/>
        </w:rPr>
        <w:t xml:space="preserve">to have been delivered pursuant to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and (iv) after giving effect to such Restricted Payment, the Loan Parties shall have Liquidity of at least $20,000,000.</w:t>
      </w:r>
    </w:p>
    <w:p>
      <w:pPr>
        <w:spacing w:after="0" w:line="197"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Agreement shall become effective only upon satisfaction or waiver of the following conditions precedent except as otherwise agreed between the Borrower, Parent, and the Administrative Agent:</w:t>
      </w:r>
    </w:p>
    <w:p>
      <w:pPr>
        <w:spacing w:after="0" w:line="170" w:lineRule="exact"/>
        <w:rPr>
          <w:sz w:val="20"/>
          <w:szCs w:val="20"/>
          <w:color w:val="auto"/>
        </w:rPr>
      </w:pPr>
    </w:p>
    <w:p>
      <w:pPr>
        <w:ind w:firstLine="656"/>
        <w:spacing w:after="0" w:line="324" w:lineRule="auto"/>
        <w:tabs>
          <w:tab w:leader="none" w:pos="154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Administrative Agent’s receipt of this Agreement duly executed by each of (i) the Loan Parties, (ii) the Required Lenders, and (iii) the Administrative Agent; and</w:t>
      </w:r>
    </w:p>
    <w:p>
      <w:pPr>
        <w:spacing w:after="0" w:line="170" w:lineRule="exact"/>
        <w:rPr>
          <w:rFonts w:ascii="Arial" w:cs="Arial" w:eastAsia="Arial" w:hAnsi="Arial"/>
          <w:sz w:val="18"/>
          <w:szCs w:val="18"/>
          <w:color w:val="auto"/>
        </w:rPr>
      </w:pPr>
    </w:p>
    <w:p>
      <w:pPr>
        <w:ind w:right="20" w:firstLine="656"/>
        <w:spacing w:after="0" w:line="324" w:lineRule="auto"/>
        <w:tabs>
          <w:tab w:leader="none" w:pos="15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Borrower shall have paid all fees, costs and expenses owed by the Borrower to the Administrative Agent or any of its Affiliates, without limitation, reasonable fees, charges and disbursements of counsel for the Administrative Agent.</w:t>
      </w:r>
    </w:p>
    <w:p>
      <w:pPr>
        <w:spacing w:after="0" w:line="170"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Miscellaneous Terms</w:t>
      </w:r>
      <w:r>
        <w:rPr>
          <w:rFonts w:ascii="Arial" w:cs="Arial" w:eastAsia="Arial" w:hAnsi="Arial"/>
          <w:sz w:val="16"/>
          <w:szCs w:val="16"/>
          <w:color w:val="auto"/>
        </w:rPr>
        <w:t>.</w:t>
      </w:r>
    </w:p>
    <w:p>
      <w:pPr>
        <w:spacing w:after="0" w:line="266" w:lineRule="exact"/>
        <w:rPr>
          <w:sz w:val="20"/>
          <w:szCs w:val="20"/>
          <w:color w:val="auto"/>
        </w:rPr>
      </w:pPr>
    </w:p>
    <w:p>
      <w:pPr>
        <w:ind w:firstLine="656"/>
        <w:spacing w:after="0" w:line="324" w:lineRule="auto"/>
        <w:tabs>
          <w:tab w:leader="none" w:pos="156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Loan Document</w:t>
      </w:r>
      <w:r>
        <w:rPr>
          <w:rFonts w:ascii="Arial" w:cs="Arial" w:eastAsia="Arial" w:hAnsi="Arial"/>
          <w:sz w:val="18"/>
          <w:szCs w:val="18"/>
          <w:color w:val="auto"/>
        </w:rPr>
        <w:t>. For avoidance of doubt, the Loan Parties, the Lenders party hereto, and the Administrative Agent each hereby acknowledges and agrees that this Agreement is a Loan Document.</w:t>
      </w:r>
    </w:p>
    <w:p>
      <w:pPr>
        <w:spacing w:after="0" w:line="170" w:lineRule="exact"/>
        <w:rPr>
          <w:rFonts w:ascii="Arial" w:cs="Arial" w:eastAsia="Arial" w:hAnsi="Arial"/>
          <w:sz w:val="18"/>
          <w:szCs w:val="18"/>
          <w:color w:val="auto"/>
        </w:rPr>
      </w:pPr>
    </w:p>
    <w:p>
      <w:pPr>
        <w:ind w:right="20" w:firstLine="656"/>
        <w:spacing w:after="0" w:line="357" w:lineRule="auto"/>
        <w:tabs>
          <w:tab w:leader="none" w:pos="1551"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Effect of Agreement</w:t>
      </w:r>
      <w:r>
        <w:rPr>
          <w:rFonts w:ascii="Arial" w:cs="Arial" w:eastAsia="Arial" w:hAnsi="Arial"/>
          <w:sz w:val="17"/>
          <w:szCs w:val="17"/>
          <w:color w:val="auto"/>
        </w:rPr>
        <w:t>. Except as set forth expressly hereinabove, all terms of the Credit Agreement and the other Loan Documents shall be and remain in full force and effect, and shall constitute the legal, valid, binding, and enforceable obligations of the Loan Parties.</w:t>
      </w:r>
    </w:p>
    <w:p>
      <w:pPr>
        <w:spacing w:after="0" w:line="147" w:lineRule="exact"/>
        <w:rPr>
          <w:rFonts w:ascii="Arial" w:cs="Arial" w:eastAsia="Arial" w:hAnsi="Arial"/>
          <w:sz w:val="17"/>
          <w:szCs w:val="17"/>
          <w:color w:val="auto"/>
        </w:rPr>
      </w:pPr>
    </w:p>
    <w:p>
      <w:pPr>
        <w:jc w:val="both"/>
        <w:ind w:firstLine="656"/>
        <w:spacing w:after="0" w:line="344" w:lineRule="auto"/>
        <w:tabs>
          <w:tab w:leader="none" w:pos="1541"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No Novation or Mutual Departure</w:t>
      </w:r>
      <w:r>
        <w:rPr>
          <w:rFonts w:ascii="Arial" w:cs="Arial" w:eastAsia="Arial" w:hAnsi="Arial"/>
          <w:sz w:val="16"/>
          <w:szCs w:val="16"/>
          <w:color w:val="auto"/>
        </w:rPr>
        <w:t xml:space="preserve">. The Loan Parties expressly acknowledge and agree that (i) there has not been, and this Agreement does not constitute or establish, a novation with respect to the Credit Agreement or any of the other Loan Documents, or a mutual departure from the strict terms, provisions, and conditions thereof, other than with respect to the amendments contained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above and (ii) nothing in this Agreement shall affect or limit the Administrative Agent’s or any Lender’s right to demand payment of liabilities owing from any Loan Party to the Administrative Agent or the Lender under, or to demand strict performance of the terms, provisions, and conditions of, the Credit Agreement and the other Loan Documents, to exercise any and all rights, powers, and remedies under the Credit Agreement or the other Loan Documents or at law or in equity, or to do any and all of the foregoing, immediately at any time after the occurrence of a Default or an Event of Default under the Credit Agreement or the other Loan Documents.</w:t>
      </w:r>
    </w:p>
    <w:p>
      <w:pPr>
        <w:spacing w:after="0" w:line="166" w:lineRule="exact"/>
        <w:rPr>
          <w:rFonts w:ascii="Arial" w:cs="Arial" w:eastAsia="Arial" w:hAnsi="Arial"/>
          <w:sz w:val="16"/>
          <w:szCs w:val="16"/>
          <w:color w:val="auto"/>
        </w:rPr>
      </w:pPr>
    </w:p>
    <w:p>
      <w:pPr>
        <w:jc w:val="both"/>
        <w:ind w:firstLine="656"/>
        <w:spacing w:after="0" w:line="349" w:lineRule="auto"/>
        <w:tabs>
          <w:tab w:leader="none" w:pos="1578"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Ratification</w:t>
      </w:r>
      <w:r>
        <w:rPr>
          <w:rFonts w:ascii="Arial" w:cs="Arial" w:eastAsia="Arial" w:hAnsi="Arial"/>
          <w:sz w:val="16"/>
          <w:szCs w:val="16"/>
          <w:color w:val="auto"/>
        </w:rPr>
        <w:t>. Each Loan Party hereby (i) restates, ratifies, and reaffirms all of its obligations and covenants set forth in the Credit Agreement and the other Loan Documents to which it is a party effective as of the date hereof and (ii) restates and renews each and every representation and warranty heretofore made by it in the Credit Agreement and the other Loan Documents as fully as if made on the date hereof and with specific reference to this Agreement and any other Loan Documents executed or delivered in connection herewith (except with respect to representations and warranties made as of an expressed date, in which case such representations and warranties shall be true and correct as of such date).</w:t>
      </w:r>
    </w:p>
    <w:p>
      <w:pPr>
        <w:spacing w:after="0" w:line="161" w:lineRule="exact"/>
        <w:rPr>
          <w:rFonts w:ascii="Arial" w:cs="Arial" w:eastAsia="Arial" w:hAnsi="Arial"/>
          <w:sz w:val="16"/>
          <w:szCs w:val="16"/>
          <w:color w:val="auto"/>
        </w:rPr>
      </w:pPr>
    </w:p>
    <w:p>
      <w:pPr>
        <w:jc w:val="both"/>
        <w:ind w:firstLine="656"/>
        <w:spacing w:after="0" w:line="306" w:lineRule="auto"/>
        <w:tabs>
          <w:tab w:leader="none" w:pos="154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To induce Lenders to enter into this Agreement, Borrower hereby acknowledges and agrees that, as of the date hereof, and after giving effect to the terms hereof, there exists (i) no Default or Event of Default and (ii) no right of offset, defense, counterclaim, claim, or objection in favor of Borrower or arising out of or with respect to any of the Loans or other obligations of Borrower owed to Lenders under the Credit Agreement or any other Loan Document.</w:t>
      </w:r>
    </w:p>
    <w:p>
      <w:pPr>
        <w:spacing w:after="0" w:line="186" w:lineRule="exact"/>
        <w:rPr>
          <w:rFonts w:ascii="Arial" w:cs="Arial" w:eastAsia="Arial" w:hAnsi="Arial"/>
          <w:sz w:val="18"/>
          <w:szCs w:val="18"/>
          <w:color w:val="auto"/>
        </w:rPr>
      </w:pPr>
    </w:p>
    <w:p>
      <w:pPr>
        <w:jc w:val="both"/>
        <w:ind w:firstLine="656"/>
        <w:spacing w:after="0" w:line="311" w:lineRule="auto"/>
        <w:tabs>
          <w:tab w:leader="none" w:pos="152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different parties hereto in separate counterparts, each of which when so executed and delivered shall be deemed to be an original and all of which counterparts, taken together, shall constitute but one and the same instrument.</w:t>
      </w:r>
    </w:p>
    <w:p>
      <w:pPr>
        <w:spacing w:after="0" w:line="181" w:lineRule="exact"/>
        <w:rPr>
          <w:rFonts w:ascii="Arial" w:cs="Arial" w:eastAsia="Arial" w:hAnsi="Arial"/>
          <w:sz w:val="18"/>
          <w:szCs w:val="18"/>
          <w:color w:val="auto"/>
        </w:rPr>
      </w:pPr>
    </w:p>
    <w:p>
      <w:pPr>
        <w:jc w:val="both"/>
        <w:ind w:firstLine="656"/>
        <w:spacing w:after="0" w:line="325" w:lineRule="auto"/>
        <w:tabs>
          <w:tab w:leader="none" w:pos="1551"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Fax or Other Transmission</w:t>
      </w:r>
      <w:r>
        <w:rPr>
          <w:rFonts w:ascii="Arial" w:cs="Arial" w:eastAsia="Arial" w:hAnsi="Arial"/>
          <w:sz w:val="17"/>
          <w:szCs w:val="17"/>
          <w:color w:val="auto"/>
        </w:rPr>
        <w:t>. Delivery by one or more parties hereto of an executed counterpart of this Agreement via facsimile, telecopy, or other electronic method of transmission pursuant to which the signature of such party can be seen (including, without limitation, Adobe Corporation’s Portable Document Format) shall have the same force and effect as the delivery of an original executed counterpart of this Agreement. Any party delivering an executed counterpart of this Agreement by facsimile or other electronic method of transmission shall also deliver an original executed counterpart, but the failure to do so shall not affect the validity, enforceability, or binding effect of this Agreement.</w:t>
      </w:r>
    </w:p>
    <w:p>
      <w:pPr>
        <w:spacing w:after="0" w:line="175" w:lineRule="exact"/>
        <w:rPr>
          <w:rFonts w:ascii="Arial" w:cs="Arial" w:eastAsia="Arial" w:hAnsi="Arial"/>
          <w:sz w:val="17"/>
          <w:szCs w:val="17"/>
          <w:color w:val="auto"/>
        </w:rPr>
      </w:pPr>
    </w:p>
    <w:p>
      <w:pPr>
        <w:ind w:left="1560" w:hanging="904"/>
        <w:spacing w:after="0"/>
        <w:tabs>
          <w:tab w:leader="none" w:pos="156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Recitals Incorporated Herein</w:t>
      </w:r>
      <w:r>
        <w:rPr>
          <w:rFonts w:ascii="Arial" w:cs="Arial" w:eastAsia="Arial" w:hAnsi="Arial"/>
          <w:sz w:val="17"/>
          <w:szCs w:val="17"/>
          <w:color w:val="auto"/>
        </w:rPr>
        <w:t>. The preamble and the recitals to this Agreement are hereby incorporated herein by this reference.</w:t>
      </w:r>
    </w:p>
    <w:p>
      <w:pPr>
        <w:spacing w:after="0" w:line="277" w:lineRule="exact"/>
        <w:rPr>
          <w:rFonts w:ascii="Arial" w:cs="Arial" w:eastAsia="Arial" w:hAnsi="Arial"/>
          <w:sz w:val="17"/>
          <w:szCs w:val="17"/>
          <w:color w:val="auto"/>
        </w:rPr>
      </w:pPr>
    </w:p>
    <w:p>
      <w:pPr>
        <w:ind w:firstLine="656"/>
        <w:spacing w:after="0" w:line="324" w:lineRule="auto"/>
        <w:tabs>
          <w:tab w:leader="none" w:pos="152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Section References</w:t>
      </w:r>
      <w:r>
        <w:rPr>
          <w:rFonts w:ascii="Arial" w:cs="Arial" w:eastAsia="Arial" w:hAnsi="Arial"/>
          <w:sz w:val="18"/>
          <w:szCs w:val="18"/>
          <w:color w:val="auto"/>
        </w:rPr>
        <w:t>. Section titles and references used in this Agreement shall be without substantive meaning or content of any kind whatsoever and are not a part of the agreements among the parties hereto evidenced hereby.</w:t>
      </w:r>
    </w:p>
    <w:p>
      <w:pPr>
        <w:sectPr>
          <w:pgSz w:w="11900" w:h="16838" w:orient="portrait"/>
          <w:cols w:equalWidth="0" w:num="1">
            <w:col w:w="11420"/>
          </w:cols>
          <w:pgMar w:left="240" w:top="368" w:right="239" w:bottom="1440" w:gutter="0" w:footer="0" w:header="0"/>
        </w:sectPr>
      </w:pPr>
    </w:p>
    <w:bookmarkStart w:id="81" w:name="page82"/>
    <w:bookmarkEnd w:id="81"/>
    <w:p>
      <w:pPr>
        <w:ind w:firstLine="656"/>
        <w:spacing w:after="0" w:line="357" w:lineRule="auto"/>
        <w:tabs>
          <w:tab w:leader="none" w:pos="1511"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The Loan Parties agree to take, at the Loan Parties’ expense, such further actions as the Administrative Agent shall reasonably request from time to time to evidence the amendments set forth herein and the transactions contemplated hereby.</w:t>
      </w:r>
    </w:p>
    <w:p>
      <w:pPr>
        <w:spacing w:after="0" w:line="147" w:lineRule="exact"/>
        <w:rPr>
          <w:rFonts w:ascii="Arial" w:cs="Arial" w:eastAsia="Arial" w:hAnsi="Arial"/>
          <w:sz w:val="17"/>
          <w:szCs w:val="17"/>
          <w:color w:val="auto"/>
        </w:rPr>
      </w:pPr>
    </w:p>
    <w:p>
      <w:pPr>
        <w:jc w:val="both"/>
        <w:ind w:firstLine="656"/>
        <w:spacing w:after="0" w:line="311" w:lineRule="auto"/>
        <w:tabs>
          <w:tab w:leader="none" w:pos="155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interpreted in accordance with the internal laws of the State of New York but excluding any principles of conflicts of law or other rule of law that would cause the application of the law of any jurisdiction other than the laws of the State of New York.</w:t>
      </w:r>
    </w:p>
    <w:p>
      <w:pPr>
        <w:spacing w:after="0" w:line="181" w:lineRule="exact"/>
        <w:rPr>
          <w:rFonts w:ascii="Arial" w:cs="Arial" w:eastAsia="Arial" w:hAnsi="Arial"/>
          <w:sz w:val="18"/>
          <w:szCs w:val="18"/>
          <w:color w:val="auto"/>
        </w:rPr>
      </w:pPr>
    </w:p>
    <w:p>
      <w:pPr>
        <w:jc w:val="both"/>
        <w:ind w:firstLine="656"/>
        <w:spacing w:after="0" w:line="311" w:lineRule="auto"/>
        <w:tabs>
          <w:tab w:leader="none" w:pos="151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prohibited or unenforceable shall be ineffective to the extent of such prohibition or unenforceability without invalidating the remaining provisions hereof in that jurisdiction or affecting the validity or enforceability of such provision in any other jurisdiction.</w:t>
      </w:r>
    </w:p>
    <w:p>
      <w:pPr>
        <w:spacing w:after="0" w:line="181" w:lineRule="exact"/>
        <w:rPr>
          <w:rFonts w:ascii="Arial" w:cs="Arial" w:eastAsia="Arial" w:hAnsi="Arial"/>
          <w:sz w:val="18"/>
          <w:szCs w:val="18"/>
          <w:color w:val="auto"/>
        </w:rPr>
      </w:pPr>
    </w:p>
    <w:p>
      <w:pPr>
        <w:jc w:val="both"/>
        <w:ind w:firstLine="656"/>
        <w:spacing w:after="0" w:line="311" w:lineRule="auto"/>
        <w:tabs>
          <w:tab w:leader="none" w:pos="161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Reaffirmation</w:t>
      </w:r>
      <w:r>
        <w:rPr>
          <w:rFonts w:ascii="Arial" w:cs="Arial" w:eastAsia="Arial" w:hAnsi="Arial"/>
          <w:sz w:val="18"/>
          <w:szCs w:val="18"/>
          <w:color w:val="auto"/>
        </w:rPr>
        <w:t>. Each Guarantor (i) consents to the execution and delivery of this Agreement, (ii) reaffirms all of its obligations and covenants under the Loan Documents to which it is a party, and (iii) agrees that none of its respective obligations and covenants shall be reduced or limited by the execution and delivery of this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PAGES]</w:t>
      </w:r>
    </w:p>
    <w:p>
      <w:pPr>
        <w:sectPr>
          <w:pgSz w:w="11900" w:h="16838" w:orient="portrait"/>
          <w:cols w:equalWidth="0" w:num="1">
            <w:col w:w="11420"/>
          </w:cols>
          <w:pgMar w:left="240" w:top="395" w:right="239" w:bottom="1440" w:gutter="0" w:footer="0" w:header="0"/>
        </w:sectPr>
      </w:pPr>
    </w:p>
    <w:bookmarkStart w:id="82" w:name="page83"/>
    <w:bookmarkEnd w:id="82"/>
    <w:p>
      <w:pPr>
        <w:ind w:firstLine="648"/>
        <w:spacing w:after="0" w:line="277" w:lineRule="auto"/>
        <w:rPr>
          <w:sz w:val="20"/>
          <w:szCs w:val="20"/>
          <w:color w:val="auto"/>
        </w:rPr>
      </w:pPr>
      <w:r>
        <w:rPr>
          <w:rFonts w:ascii="Arial" w:cs="Arial" w:eastAsia="Arial" w:hAnsi="Arial"/>
          <w:sz w:val="18"/>
          <w:szCs w:val="18"/>
          <w:color w:val="auto"/>
        </w:rPr>
        <w:t>IN WITNESS WHEREOF, each of the parties hereto has caused this Agreement to be duly executed by its duly authorized officer as of the day and year first above written.</w:t>
      </w:r>
    </w:p>
    <w:p>
      <w:pPr>
        <w:spacing w:after="0" w:line="166"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BORROWER</w:t>
      </w:r>
      <w:r>
        <w:rPr>
          <w:rFonts w:ascii="Arial" w:cs="Arial" w:eastAsia="Arial" w:hAnsi="Arial"/>
          <w:sz w:val="18"/>
          <w:szCs w:val="18"/>
          <w:b w:val="1"/>
          <w:bCs w:val="1"/>
          <w:color w:val="auto"/>
        </w:rPr>
        <w: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LENDINGTREE, LLC</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-10160</wp:posOffset>
            </wp:positionV>
            <wp:extent cx="8001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PARENT AND GUARANTOR</w:t>
      </w:r>
      <w:r>
        <w:rPr>
          <w:rFonts w:ascii="Arial" w:cs="Arial" w:eastAsia="Arial" w:hAnsi="Arial"/>
          <w:sz w:val="18"/>
          <w:szCs w:val="18"/>
          <w:b w:val="1"/>
          <w:bCs w:val="1"/>
          <w:color w:val="auto"/>
        </w:rPr>
        <w: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LENDINGTREE, INC.</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-10160</wp:posOffset>
            </wp:positionV>
            <wp:extent cx="8001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GUARANTORS</w:t>
      </w:r>
      <w:r>
        <w:rPr>
          <w:rFonts w:ascii="Arial" w:cs="Arial" w:eastAsia="Arial" w:hAnsi="Arial"/>
          <w:sz w:val="18"/>
          <w:szCs w:val="18"/>
          <w:b w:val="1"/>
          <w:bCs w:val="1"/>
          <w:color w:val="auto"/>
        </w:rPr>
        <w: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HOME LOAN CENTER, INC.</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-10160</wp:posOffset>
            </wp:positionV>
            <wp:extent cx="8001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BU HOLDING COMPANY, INC.</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-10160</wp:posOffset>
            </wp:positionV>
            <wp:extent cx="8001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 xml:space="preserve">DEGREETREE, INC. </w:t>
      </w:r>
      <w:r>
        <w:rPr>
          <w:rFonts w:ascii="Arial" w:cs="Arial" w:eastAsia="Arial" w:hAnsi="Arial"/>
          <w:sz w:val="18"/>
          <w:szCs w:val="18"/>
          <w:color w:val="auto"/>
        </w:rPr>
        <w:t>(for itself and as successor to Tree Home Services, Inc.)</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-10160</wp:posOffset>
            </wp:positionV>
            <wp:extent cx="8001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00"/>
          </w:cols>
          <w:pgMar w:left="240" w:top="584" w:right="259" w:bottom="1440" w:gutter="0" w:footer="0" w:header="0"/>
        </w:sectPr>
      </w:pPr>
    </w:p>
    <w:bookmarkStart w:id="83" w:name="page84"/>
    <w:bookmarkEnd w:id="83"/>
    <w:p>
      <w:pPr>
        <w:ind w:left="2700"/>
        <w:spacing w:after="0"/>
        <w:rPr>
          <w:sz w:val="20"/>
          <w:szCs w:val="20"/>
          <w:color w:val="auto"/>
        </w:rPr>
      </w:pPr>
      <w:r>
        <w:rPr>
          <w:rFonts w:ascii="Arial" w:cs="Arial" w:eastAsia="Arial" w:hAnsi="Arial"/>
          <w:sz w:val="18"/>
          <w:szCs w:val="18"/>
          <w:u w:val="single" w:color="auto"/>
          <w:color w:val="auto"/>
        </w:rPr>
        <w:t>ADMINISTRATIVE AGENT AND LENDERS</w:t>
      </w:r>
      <w:r>
        <w:rPr>
          <w:rFonts w:ascii="Arial" w:cs="Arial" w:eastAsia="Arial" w:hAnsi="Arial"/>
          <w:sz w:val="18"/>
          <w:szCs w:val="18"/>
          <w:color w:val="auto"/>
        </w:rPr>
        <w:t>:</w:t>
      </w:r>
    </w:p>
    <w:p>
      <w:pPr>
        <w:spacing w:after="0" w:line="221"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SUNTRUST BANK</w:t>
      </w:r>
      <w:r>
        <w:rPr>
          <w:rFonts w:ascii="Arial" w:cs="Arial" w:eastAsia="Arial" w:hAnsi="Arial"/>
          <w:sz w:val="16"/>
          <w:szCs w:val="16"/>
          <w:color w:val="auto"/>
        </w:rPr>
        <w:t>, as the Administrative Agent and a Lender</w:t>
      </w:r>
    </w:p>
    <w:p>
      <w:pPr>
        <w:spacing w:after="0" w:line="200" w:lineRule="exact"/>
        <w:rPr>
          <w:sz w:val="20"/>
          <w:szCs w:val="20"/>
          <w:color w:val="auto"/>
        </w:rPr>
      </w:pPr>
    </w:p>
    <w:p>
      <w:pPr>
        <w:spacing w:after="0" w:line="268"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-10160</wp:posOffset>
            </wp:positionV>
            <wp:extent cx="685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584" w:right="1440" w:bottom="1440" w:gutter="0" w:footer="0" w:header="0"/>
        </w:sectPr>
      </w:pPr>
    </w:p>
    <w:bookmarkStart w:id="84" w:name="page85"/>
    <w:bookmarkEnd w:id="84"/>
    <w:p>
      <w:pPr>
        <w:ind w:left="2700"/>
        <w:spacing w:after="0"/>
        <w:rPr>
          <w:sz w:val="20"/>
          <w:szCs w:val="20"/>
          <w:color w:val="auto"/>
        </w:rPr>
      </w:pPr>
      <w:r>
        <w:rPr>
          <w:rFonts w:ascii="Arial" w:cs="Arial" w:eastAsia="Arial" w:hAnsi="Arial"/>
          <w:sz w:val="17"/>
          <w:szCs w:val="17"/>
          <w:b w:val="1"/>
          <w:bCs w:val="1"/>
          <w:color w:val="auto"/>
        </w:rPr>
        <w:t>BANK OF AMERICA, N.A.</w:t>
      </w:r>
      <w:r>
        <w:rPr>
          <w:rFonts w:ascii="Arial" w:cs="Arial" w:eastAsia="Arial" w:hAnsi="Arial"/>
          <w:sz w:val="17"/>
          <w:szCs w:val="17"/>
          <w:color w:val="auto"/>
        </w:rPr>
        <w:t>,</w:t>
      </w:r>
    </w:p>
    <w:p>
      <w:pPr>
        <w:spacing w:after="0" w:line="3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-10160</wp:posOffset>
            </wp:positionV>
            <wp:extent cx="6858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580" w:right="1440" w:bottom="1440" w:gutter="0" w:footer="0" w:header="0"/>
        </w:sectPr>
      </w:pPr>
    </w:p>
    <w:bookmarkStart w:id="85" w:name="page86"/>
    <w:bookmarkEnd w:id="85"/>
    <w:p>
      <w:pPr>
        <w:ind w:left="2700"/>
        <w:spacing w:after="0"/>
        <w:rPr>
          <w:sz w:val="20"/>
          <w:szCs w:val="20"/>
          <w:color w:val="auto"/>
        </w:rPr>
      </w:pPr>
      <w:r>
        <w:rPr>
          <w:rFonts w:ascii="Arial" w:cs="Arial" w:eastAsia="Arial" w:hAnsi="Arial"/>
          <w:sz w:val="17"/>
          <w:szCs w:val="17"/>
          <w:b w:val="1"/>
          <w:bCs w:val="1"/>
          <w:color w:val="auto"/>
        </w:rPr>
        <w:t>ROYAL BANK OF CANADA</w:t>
      </w:r>
      <w:r>
        <w:rPr>
          <w:rFonts w:ascii="Arial" w:cs="Arial" w:eastAsia="Arial" w:hAnsi="Arial"/>
          <w:sz w:val="17"/>
          <w:szCs w:val="17"/>
          <w:color w:val="auto"/>
        </w:rPr>
        <w:t>,</w:t>
      </w:r>
    </w:p>
    <w:p>
      <w:pPr>
        <w:spacing w:after="0" w:line="3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-10160</wp:posOffset>
            </wp:positionV>
            <wp:extent cx="6858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580" w:right="1440" w:bottom="1440" w:gutter="0" w:footer="0" w:header="0"/>
        </w:sectPr>
      </w:pPr>
    </w:p>
    <w:bookmarkStart w:id="86" w:name="page87"/>
    <w:bookmarkEnd w:id="86"/>
    <w:p>
      <w:pPr>
        <w:ind w:left="2700"/>
        <w:spacing w:after="0"/>
        <w:rPr>
          <w:sz w:val="20"/>
          <w:szCs w:val="20"/>
          <w:color w:val="auto"/>
        </w:rPr>
      </w:pPr>
      <w:r>
        <w:rPr>
          <w:rFonts w:ascii="Arial" w:cs="Arial" w:eastAsia="Arial" w:hAnsi="Arial"/>
          <w:sz w:val="18"/>
          <w:szCs w:val="18"/>
          <w:b w:val="1"/>
          <w:bCs w:val="1"/>
          <w:color w:val="auto"/>
        </w:rPr>
        <w:t>FIFTH THIRD BANK</w:t>
      </w:r>
      <w:r>
        <w:rPr>
          <w:rFonts w:ascii="Arial" w:cs="Arial" w:eastAsia="Arial" w:hAnsi="Arial"/>
          <w:sz w:val="18"/>
          <w:szCs w:val="18"/>
          <w:color w:val="auto"/>
        </w:rPr>
        <w:t>,</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-10160</wp:posOffset>
            </wp:positionV>
            <wp:extent cx="685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580" w:right="1440" w:bottom="1440" w:gutter="0" w:footer="0" w:header="0"/>
        </w:sectPr>
      </w:pPr>
    </w:p>
    <w:bookmarkStart w:id="87" w:name="page88"/>
    <w:bookmarkEnd w:id="87"/>
    <w:p>
      <w:pPr>
        <w:ind w:left="2700"/>
        <w:spacing w:after="0"/>
        <w:rPr>
          <w:sz w:val="20"/>
          <w:szCs w:val="20"/>
          <w:color w:val="auto"/>
        </w:rPr>
      </w:pPr>
      <w:r>
        <w:rPr>
          <w:rFonts w:ascii="Arial" w:cs="Arial" w:eastAsia="Arial" w:hAnsi="Arial"/>
          <w:sz w:val="17"/>
          <w:szCs w:val="17"/>
          <w:b w:val="1"/>
          <w:bCs w:val="1"/>
          <w:color w:val="auto"/>
        </w:rPr>
        <w:t>JPMORGAN CHASE BANK, N.A.</w:t>
      </w:r>
      <w:r>
        <w:rPr>
          <w:rFonts w:ascii="Arial" w:cs="Arial" w:eastAsia="Arial" w:hAnsi="Arial"/>
          <w:sz w:val="17"/>
          <w:szCs w:val="17"/>
          <w:color w:val="auto"/>
        </w:rPr>
        <w:t>,</w:t>
      </w:r>
    </w:p>
    <w:p>
      <w:pPr>
        <w:spacing w:after="0" w:line="3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-10160</wp:posOffset>
            </wp:positionV>
            <wp:extent cx="6858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580" w:right="1440" w:bottom="1440" w:gutter="0" w:footer="0" w:header="0"/>
        </w:sectPr>
      </w:pPr>
    </w:p>
    <w:bookmarkStart w:id="88" w:name="page89"/>
    <w:bookmarkEnd w:id="88"/>
    <w:p>
      <w:pPr>
        <w:ind w:left="2700"/>
        <w:spacing w:after="0"/>
        <w:rPr>
          <w:sz w:val="20"/>
          <w:szCs w:val="20"/>
          <w:color w:val="auto"/>
        </w:rPr>
      </w:pPr>
      <w:r>
        <w:rPr>
          <w:rFonts w:ascii="Arial" w:cs="Arial" w:eastAsia="Arial" w:hAnsi="Arial"/>
          <w:sz w:val="16"/>
          <w:szCs w:val="16"/>
          <w:b w:val="1"/>
          <w:bCs w:val="1"/>
          <w:color w:val="auto"/>
        </w:rPr>
        <w:t>Citizens Bank</w:t>
      </w:r>
      <w:r>
        <w:rPr>
          <w:rFonts w:ascii="Arial" w:cs="Arial" w:eastAsia="Arial" w:hAnsi="Arial"/>
          <w:sz w:val="16"/>
          <w:szCs w:val="16"/>
          <w:color w:val="auto"/>
        </w:rPr>
        <w:t>,</w:t>
      </w:r>
    </w:p>
    <w:p>
      <w:pPr>
        <w:spacing w:after="0" w:line="5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1878330</wp:posOffset>
            </wp:positionH>
            <wp:positionV relativeFrom="paragraph">
              <wp:posOffset>-10160</wp:posOffset>
            </wp:positionV>
            <wp:extent cx="7143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580"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8220" w:type="dxa"/>
            <w:vAlign w:val="bottom"/>
          </w:tcPr>
          <w:p>
            <w:pPr>
              <w:ind w:left="728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675"/>
        </w:trPr>
        <w:tc>
          <w:tcPr>
            <w:tcW w:w="3200" w:type="dxa"/>
            <w:vAlign w:val="bottom"/>
          </w:tcPr>
          <w:p>
            <w:pPr>
              <w:spacing w:after="0"/>
              <w:rPr>
                <w:sz w:val="24"/>
                <w:szCs w:val="24"/>
                <w:color w:val="auto"/>
              </w:rPr>
            </w:pPr>
          </w:p>
        </w:tc>
        <w:tc>
          <w:tcPr>
            <w:tcW w:w="8220" w:type="dxa"/>
            <w:vAlign w:val="bottom"/>
          </w:tcPr>
          <w:p>
            <w:pPr>
              <w:ind w:left="820"/>
              <w:spacing w:after="0"/>
              <w:rPr>
                <w:sz w:val="20"/>
                <w:szCs w:val="20"/>
                <w:color w:val="auto"/>
              </w:rPr>
            </w:pPr>
            <w:r>
              <w:rPr>
                <w:rFonts w:ascii="Arial" w:cs="Arial" w:eastAsia="Arial" w:hAnsi="Arial"/>
                <w:sz w:val="18"/>
                <w:szCs w:val="18"/>
                <w:b w:val="1"/>
                <w:bCs w:val="1"/>
                <w:color w:val="auto"/>
              </w:rPr>
              <w:t>SUBSIDIARIES OF LENDINGTREE, INC.</w:t>
            </w:r>
          </w:p>
        </w:tc>
        <w:tc>
          <w:tcPr>
            <w:tcW w:w="0" w:type="dxa"/>
            <w:vAlign w:val="bottom"/>
          </w:tcPr>
          <w:p>
            <w:pPr>
              <w:spacing w:after="0"/>
              <w:rPr>
                <w:sz w:val="1"/>
                <w:szCs w:val="1"/>
                <w:color w:val="auto"/>
              </w:rPr>
            </w:pPr>
          </w:p>
        </w:tc>
      </w:tr>
      <w:tr>
        <w:trPr>
          <w:trHeight w:val="585"/>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8220" w:type="dxa"/>
            <w:vAlign w:val="bottom"/>
          </w:tcPr>
          <w:p>
            <w:pPr>
              <w:jc w:val="center"/>
              <w:ind w:left="6654"/>
              <w:spacing w:after="0"/>
              <w:rPr>
                <w:sz w:val="20"/>
                <w:szCs w:val="20"/>
                <w:color w:val="auto"/>
              </w:rPr>
            </w:pPr>
            <w:r>
              <w:rPr>
                <w:rFonts w:ascii="Arial" w:cs="Arial" w:eastAsia="Arial" w:hAnsi="Arial"/>
                <w:sz w:val="14"/>
                <w:szCs w:val="14"/>
                <w:b w:val="1"/>
                <w:bCs w:val="1"/>
                <w:color w:val="auto"/>
                <w:w w:val="91"/>
              </w:rPr>
              <w:t>Jurisdiction of</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8220" w:type="dxa"/>
            <w:vAlign w:val="bottom"/>
            <w:tcBorders>
              <w:bottom w:val="single" w:sz="8" w:color="auto"/>
            </w:tcBorders>
          </w:tcPr>
          <w:p>
            <w:pPr>
              <w:jc w:val="center"/>
              <w:ind w:left="6674"/>
              <w:spacing w:after="0"/>
              <w:rPr>
                <w:sz w:val="20"/>
                <w:szCs w:val="20"/>
                <w:color w:val="auto"/>
              </w:rPr>
            </w:pPr>
            <w:r>
              <w:rPr>
                <w:rFonts w:ascii="Arial" w:cs="Arial" w:eastAsia="Arial" w:hAnsi="Arial"/>
                <w:sz w:val="14"/>
                <w:szCs w:val="14"/>
                <w:b w:val="1"/>
                <w:bCs w:val="1"/>
                <w:color w:val="auto"/>
                <w:w w:val="96"/>
              </w:rPr>
              <w:t>Formation</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LendingTree, LLC</w:t>
            </w:r>
          </w:p>
        </w:tc>
        <w:tc>
          <w:tcPr>
            <w:tcW w:w="8220" w:type="dxa"/>
            <w:vAlign w:val="bottom"/>
            <w:tcBorders>
              <w:bottom w:val="single" w:sz="8" w:color="CCEEFF"/>
            </w:tcBorders>
            <w:shd w:val="clear" w:color="auto" w:fill="CCEEFF"/>
          </w:tcPr>
          <w:p>
            <w:pPr>
              <w:jc w:val="center"/>
              <w:ind w:left="6654"/>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Tree BU Holding Company, Inc.</w:t>
            </w:r>
          </w:p>
        </w:tc>
        <w:tc>
          <w:tcPr>
            <w:tcW w:w="8220" w:type="dxa"/>
            <w:vAlign w:val="bottom"/>
          </w:tcPr>
          <w:p>
            <w:pPr>
              <w:jc w:val="center"/>
              <w:ind w:left="6654"/>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DegreeTree, Inc.</w:t>
            </w:r>
          </w:p>
        </w:tc>
        <w:tc>
          <w:tcPr>
            <w:tcW w:w="8220" w:type="dxa"/>
            <w:vAlign w:val="bottom"/>
            <w:tcBorders>
              <w:bottom w:val="single" w:sz="8" w:color="CCEEFF"/>
            </w:tcBorders>
            <w:shd w:val="clear" w:color="auto" w:fill="CCEEFF"/>
          </w:tcPr>
          <w:p>
            <w:pPr>
              <w:jc w:val="center"/>
              <w:ind w:left="6654"/>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Home Loan Center, Inc.</w:t>
            </w:r>
          </w:p>
        </w:tc>
        <w:tc>
          <w:tcPr>
            <w:tcW w:w="8220" w:type="dxa"/>
            <w:vAlign w:val="bottom"/>
          </w:tcPr>
          <w:p>
            <w:pPr>
              <w:jc w:val="center"/>
              <w:ind w:left="6654"/>
              <w:spacing w:after="0"/>
              <w:rPr>
                <w:sz w:val="20"/>
                <w:szCs w:val="20"/>
                <w:color w:val="auto"/>
              </w:rPr>
            </w:pPr>
            <w:r>
              <w:rPr>
                <w:rFonts w:ascii="Arial" w:cs="Arial" w:eastAsia="Arial" w:hAnsi="Arial"/>
                <w:sz w:val="18"/>
                <w:szCs w:val="18"/>
                <w:color w:val="auto"/>
                <w:w w:val="95"/>
              </w:rPr>
              <w:t>CA</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HLC Escrow, Inc.</w:t>
            </w:r>
          </w:p>
        </w:tc>
        <w:tc>
          <w:tcPr>
            <w:tcW w:w="8220" w:type="dxa"/>
            <w:vAlign w:val="bottom"/>
            <w:tcBorders>
              <w:bottom w:val="single" w:sz="8" w:color="CCEEFF"/>
            </w:tcBorders>
            <w:shd w:val="clear" w:color="auto" w:fill="CCEEFF"/>
          </w:tcPr>
          <w:p>
            <w:pPr>
              <w:jc w:val="center"/>
              <w:ind w:left="6654"/>
              <w:spacing w:after="0"/>
              <w:rPr>
                <w:sz w:val="20"/>
                <w:szCs w:val="20"/>
                <w:color w:val="auto"/>
              </w:rPr>
            </w:pPr>
            <w:r>
              <w:rPr>
                <w:rFonts w:ascii="Arial" w:cs="Arial" w:eastAsia="Arial" w:hAnsi="Arial"/>
                <w:sz w:val="18"/>
                <w:szCs w:val="18"/>
                <w:color w:val="auto"/>
                <w:w w:val="95"/>
              </w:rPr>
              <w:t>CA</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LT Real Estate, Inc.</w:t>
            </w:r>
          </w:p>
        </w:tc>
        <w:tc>
          <w:tcPr>
            <w:tcW w:w="8220" w:type="dxa"/>
            <w:vAlign w:val="bottom"/>
          </w:tcPr>
          <w:p>
            <w:pPr>
              <w:jc w:val="center"/>
              <w:ind w:left="6654"/>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10"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 on Form S-3 (No. 333-207718) and on Form S</w:t>
      </w:r>
      <w:r>
        <w:rPr>
          <w:rFonts w:ascii="MS PGothic" w:cs="MS PGothic" w:eastAsia="MS PGothic" w:hAnsi="MS PGothic"/>
          <w:sz w:val="18"/>
          <w:szCs w:val="18"/>
          <w:color w:val="auto"/>
        </w:rPr>
        <w:t>‑</w:t>
      </w:r>
      <w:r>
        <w:rPr>
          <w:rFonts w:ascii="Arial" w:cs="Arial" w:eastAsia="Arial" w:hAnsi="Arial"/>
          <w:sz w:val="18"/>
          <w:szCs w:val="18"/>
          <w:color w:val="auto"/>
        </w:rPr>
        <w:t>8 (No. 333-197952 and No. 333-182670) of LendingTree, Inc. of our report dated March 1, 2016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2016</w:t>
      </w:r>
    </w:p>
    <w:p>
      <w:pPr>
        <w:sectPr>
          <w:pgSz w:w="11900" w:h="16838" w:orient="portrait"/>
          <w:cols w:equalWidth="0" w:num="1">
            <w:col w:w="11420"/>
          </w:cols>
          <w:pgMar w:left="240" w:top="256" w:right="239" w:bottom="1440" w:gutter="0" w:footer="0" w:header="0"/>
        </w:sectPr>
      </w:pPr>
    </w:p>
    <w:bookmarkStart w:id="91" w:name="page92"/>
    <w:bookmarkEnd w:id="91"/>
    <w:p>
      <w:pPr>
        <w:ind w:left="1048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79"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2015 of LendingTree, Inc.;</w:t>
      </w:r>
    </w:p>
    <w:p>
      <w:pPr>
        <w:spacing w:after="0" w:line="14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2016</w:t>
      </w:r>
    </w:p>
    <w:p>
      <w:pPr>
        <w:spacing w:after="0" w:line="200" w:lineRule="exact"/>
        <w:rPr>
          <w:sz w:val="20"/>
          <w:szCs w:val="20"/>
          <w:color w:val="auto"/>
        </w:rPr>
      </w:pPr>
    </w:p>
    <w:p>
      <w:pPr>
        <w:spacing w:after="0" w:line="318"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34290</wp:posOffset>
            </wp:positionV>
            <wp:extent cx="34734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1"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256" w:right="239" w:bottom="1440" w:gutter="0" w:footer="0" w:header="0"/>
        </w:sectPr>
      </w:pPr>
    </w:p>
    <w:bookmarkStart w:id="92" w:name="page93"/>
    <w:bookmarkEnd w:id="92"/>
    <w:p>
      <w:pPr>
        <w:ind w:left="1048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Gabriel Dalporto, certify that:</w:t>
      </w:r>
    </w:p>
    <w:p>
      <w:pPr>
        <w:spacing w:after="0" w:line="279"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2015 of LendingTree, Inc.;</w:t>
      </w:r>
    </w:p>
    <w:p>
      <w:pPr>
        <w:spacing w:after="0" w:line="14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2016</w:t>
      </w:r>
    </w:p>
    <w:p>
      <w:pPr>
        <w:spacing w:after="0" w:line="302"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1"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Gabriel Dalporto</w:t>
      </w:r>
    </w:p>
    <w:p>
      <w:pPr>
        <w:spacing w:after="0" w:line="23" w:lineRule="exact"/>
        <w:rPr>
          <w:sz w:val="20"/>
          <w:szCs w:val="20"/>
          <w:color w:val="auto"/>
        </w:rPr>
      </w:pPr>
    </w:p>
    <w:p>
      <w:pPr>
        <w:ind w:left="78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256"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660" w:hanging="328"/>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Annual Report on Form 10-K for the fiscal year ended December 31, 2015 of LendingTree, Inc. (the "Report") which this statement accompanies fully complies with the requirements of Section 13(a) or 15(d) of the Securities Exchange Act of 1934 (15 U.S.C. 78m or 78o(d));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LendingTree, Inc.</w:t>
      </w:r>
    </w:p>
    <w:p>
      <w:pPr>
        <w:spacing w:after="0" w:line="200" w:lineRule="exact"/>
        <w:rPr>
          <w:sz w:val="20"/>
          <w:szCs w:val="20"/>
          <w:color w:val="auto"/>
        </w:rPr>
      </w:pPr>
    </w:p>
    <w:p>
      <w:pPr>
        <w:spacing w:after="0" w:line="314" w:lineRule="exact"/>
        <w:rPr>
          <w:sz w:val="20"/>
          <w:szCs w:val="20"/>
          <w:color w:val="auto"/>
        </w:rPr>
      </w:pPr>
    </w:p>
    <w:p>
      <w:pPr>
        <w:ind w:left="40"/>
        <w:spacing w:after="0"/>
        <w:tabs>
          <w:tab w:leader="none" w:pos="700" w:val="left"/>
          <w:tab w:leader="none" w:pos="7520" w:val="left"/>
        </w:tabs>
        <w:rPr>
          <w:sz w:val="20"/>
          <w:szCs w:val="20"/>
          <w:color w:val="auto"/>
        </w:rPr>
      </w:pPr>
      <w:r>
        <w:rPr>
          <w:rFonts w:ascii="Arial" w:cs="Arial" w:eastAsia="Arial" w:hAnsi="Arial"/>
          <w:sz w:val="18"/>
          <w:szCs w:val="18"/>
          <w:color w:val="auto"/>
        </w:rPr>
        <w:t>Dated:</w:t>
        <w:tab/>
        <w:t>March 1, 2016</w:t>
      </w:r>
      <w:r>
        <w:rPr>
          <w:sz w:val="20"/>
          <w:szCs w:val="20"/>
          <w:color w:val="auto"/>
        </w:rPr>
        <w:tab/>
      </w:r>
      <w:r>
        <w:rPr>
          <w:rFonts w:ascii="Arial" w:cs="Arial" w:eastAsia="Arial" w:hAnsi="Arial"/>
          <w:sz w:val="17"/>
          <w:szCs w:val="17"/>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256"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 Gabriel Dalporto, certify, pursuant to 18 U.S.C. Section 1350, as adopted pursuant to Section 906 of the Sarbanes-Oxley Act of 2002, that to my knowledge:</w:t>
      </w:r>
    </w:p>
    <w:p>
      <w:pPr>
        <w:spacing w:after="0" w:line="116" w:lineRule="exact"/>
        <w:rPr>
          <w:sz w:val="20"/>
          <w:szCs w:val="20"/>
          <w:color w:val="auto"/>
        </w:rPr>
      </w:pPr>
    </w:p>
    <w:p>
      <w:pPr>
        <w:ind w:left="66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Annual Report on Form 10-K for the fiscal year ended December 31, 2015 of LendingTree, Inc. (the "Report") which this statement accompanies fully complies with the requirements of Section 13(a) or 15(d) of the Securities Exchange Act of 1934 (15 U.S.C. 78m or 78o(d));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LendingTree, Inc.</w:t>
      </w:r>
    </w:p>
    <w:p>
      <w:pPr>
        <w:spacing w:after="0" w:line="200" w:lineRule="exact"/>
        <w:rPr>
          <w:sz w:val="20"/>
          <w:szCs w:val="20"/>
          <w:color w:val="auto"/>
        </w:rPr>
      </w:pPr>
    </w:p>
    <w:p>
      <w:pPr>
        <w:spacing w:after="0" w:line="314" w:lineRule="exact"/>
        <w:rPr>
          <w:sz w:val="20"/>
          <w:szCs w:val="20"/>
          <w:color w:val="auto"/>
        </w:rPr>
      </w:pPr>
    </w:p>
    <w:p>
      <w:pPr>
        <w:ind w:left="40"/>
        <w:spacing w:after="0"/>
        <w:tabs>
          <w:tab w:leader="none" w:pos="700" w:val="left"/>
          <w:tab w:leader="none" w:pos="7480" w:val="left"/>
        </w:tabs>
        <w:rPr>
          <w:sz w:val="20"/>
          <w:szCs w:val="20"/>
          <w:color w:val="auto"/>
        </w:rPr>
      </w:pPr>
      <w:r>
        <w:rPr>
          <w:rFonts w:ascii="Arial" w:cs="Arial" w:eastAsia="Arial" w:hAnsi="Arial"/>
          <w:sz w:val="18"/>
          <w:szCs w:val="18"/>
          <w:color w:val="auto"/>
        </w:rPr>
        <w:t>Dated:</w:t>
        <w:tab/>
        <w:t>March 1, 2016</w:t>
      </w:r>
      <w:r>
        <w:rPr>
          <w:sz w:val="20"/>
          <w:szCs w:val="20"/>
          <w:color w:val="auto"/>
        </w:rPr>
        <w:tab/>
      </w:r>
      <w:r>
        <w:rPr>
          <w:rFonts w:ascii="Arial" w:cs="Arial" w:eastAsia="Arial" w:hAnsi="Arial"/>
          <w:sz w:val="17"/>
          <w:szCs w:val="17"/>
          <w:b w:val="1"/>
          <w:bCs w:val="1"/>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Gabriel Dalporto</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o"/>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4"/>
    </w:lvl>
  </w:abstractNum>
  <w:abstractNum w:abstractNumId="16">
    <w:nsid w:val="737B8DDC"/>
    <w:multiLevelType w:val="hybridMultilevel"/>
    <w:lvl w:ilvl="0">
      <w:lvlJc w:val="left"/>
      <w:lvlText w:val="(%1)"/>
      <w:numFmt w:val="lowerLetter"/>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decimal"/>
      <w:start w:val="20"/>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lowerLetter"/>
      <w:start w:val="1"/>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lowerLetter"/>
      <w:start w:val="1"/>
    </w:lvl>
  </w:abstractNum>
  <w:abstractNum w:abstractNumId="27">
    <w:nsid w:val="77465F01"/>
    <w:multiLevelType w:val="hybridMultilevel"/>
    <w:lvl w:ilvl="0">
      <w:lvlJc w:val="left"/>
      <w:lvlText w:val="(%1)"/>
      <w:numFmt w:val="lowerLetter"/>
      <w:start w:val="1"/>
    </w:lvl>
  </w:abstractNum>
  <w:abstractNum w:abstractNumId="28">
    <w:nsid w:val="7724C67E"/>
    <w:multiLevelType w:val="hybridMultilevel"/>
    <w:lvl w:ilvl="0">
      <w:lvlJc w:val="left"/>
      <w:lvlText w:val="(%1)"/>
      <w:numFmt w:val="lowerLetter"/>
      <w:start w:val="1"/>
    </w:lvl>
  </w:abstractNum>
  <w:abstractNum w:abstractNumId="29">
    <w:nsid w:val="5C482A97"/>
    <w:multiLevelType w:val="hybridMultilevel"/>
    <w:lvl w:ilvl="0">
      <w:lvlJc w:val="left"/>
      <w:lvlText w:val="%1."/>
      <w:numFmt w:val="upperLetter"/>
      <w:start w:val="18"/>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3"/>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3"/>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lowerLetter"/>
      <w:start w:val="2"/>
    </w:lvl>
    <w:lvl w:ilvl="1">
      <w:lvlJc w:val="left"/>
      <w:lvlText w:val="(%2)"/>
      <w:numFmt w:val="lowerLetter"/>
      <w:start w:val="6"/>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lowerLetter"/>
      <w:start w:val="1"/>
    </w:lvl>
  </w:abstractNum>
  <w:abstractNum w:abstractNumId="41">
    <w:nsid w:val="725A06FB"/>
    <w:multiLevelType w:val="hybridMultilevel"/>
    <w:lvl w:ilvl="0">
      <w:lvlJc w:val="left"/>
      <w:lvlText w:val="(%1)"/>
      <w:numFmt w:val="lowerLetter"/>
      <w:start w:val="10"/>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2019-12-29T13:58:53Z</dcterms:created>
  <dcterms:modified xsi:type="dcterms:W3CDTF">2019-12-29T13:58:53Z</dcterms:modified>
</cp:coreProperties>
</file>