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006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659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006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9"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-207645</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186055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920" w:hanging="554"/>
        <w:spacing w:after="0"/>
        <w:tabs>
          <w:tab w:leader="none" w:pos="9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73" w:lineRule="exact"/>
        <w:rPr>
          <w:rFonts w:ascii="MS PGothic" w:cs="MS PGothic" w:eastAsia="MS PGothic" w:hAnsi="MS PGothic"/>
          <w:sz w:val="19"/>
          <w:szCs w:val="19"/>
          <w:color w:val="auto"/>
        </w:rPr>
      </w:pPr>
    </w:p>
    <w:p>
      <w:pPr>
        <w:ind w:left="3860"/>
        <w:spacing w:after="0"/>
        <w:rPr>
          <w:rFonts w:ascii="MS PGothic" w:cs="MS PGothic" w:eastAsia="MS PGothic" w:hAnsi="MS PGothic"/>
          <w:sz w:val="19"/>
          <w:szCs w:val="19"/>
          <w:color w:val="auto"/>
        </w:rPr>
      </w:pPr>
      <w:r>
        <w:rPr>
          <w:rFonts w:ascii="Arial" w:cs="Arial" w:eastAsia="Arial" w:hAnsi="Arial"/>
          <w:sz w:val="18"/>
          <w:szCs w:val="18"/>
          <w:b w:val="1"/>
          <w:bCs w:val="1"/>
          <w:color w:val="auto"/>
        </w:rPr>
        <w:t>For the Quarterly Period Ended March 31, 2016</w:t>
      </w:r>
    </w:p>
    <w:p>
      <w:pPr>
        <w:spacing w:after="0" w:line="15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920" w:right="1180" w:hanging="520"/>
        <w:spacing w:after="0" w:line="243" w:lineRule="auto"/>
        <w:tabs>
          <w:tab w:leader="none" w:pos="920" w:val="left"/>
        </w:tabs>
        <w:numPr>
          <w:ilvl w:val="0"/>
          <w:numId w:val="2"/>
        </w:numPr>
        <w:rPr>
          <w:rFonts w:ascii="Arial" w:cs="Arial" w:eastAsia="Arial" w:hAnsi="Arial"/>
          <w:sz w:val="22"/>
          <w:szCs w:val="22"/>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 w:lineRule="exact"/>
        <w:rPr>
          <w:sz w:val="24"/>
          <w:szCs w:val="24"/>
          <w:color w:val="auto"/>
        </w:rPr>
      </w:pPr>
    </w:p>
    <w:p>
      <w:pPr>
        <w:ind w:left="360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102870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334645</wp:posOffset>
            </wp:positionV>
            <wp:extent cx="126936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936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5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26-2414818</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380"/>
        <w:spacing w:after="0"/>
        <w:rPr>
          <w:sz w:val="20"/>
          <w:szCs w:val="20"/>
          <w:color w:val="auto"/>
        </w:rPr>
      </w:pPr>
      <w:r>
        <w:rPr>
          <w:rFonts w:ascii="Arial" w:cs="Arial" w:eastAsia="Arial" w:hAnsi="Arial"/>
          <w:sz w:val="17"/>
          <w:szCs w:val="17"/>
          <w:color w:val="auto"/>
        </w:rPr>
        <w:t>Identification No.)</w:t>
      </w:r>
    </w:p>
    <w:p>
      <w:pPr>
        <w:spacing w:after="0" w:line="137"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(704) 541-5351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91440</wp:posOffset>
            </wp:positionV>
            <wp:extent cx="3232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8" w:lineRule="exact"/>
        <w:rPr>
          <w:sz w:val="24"/>
          <w:szCs w:val="24"/>
          <w:color w:val="auto"/>
        </w:rPr>
      </w:pPr>
    </w:p>
    <w:p>
      <w:pPr>
        <w:jc w:val="both"/>
        <w:ind w:firstLine="21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16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type w:val="continuous"/>
        </w:sectPr>
      </w:pPr>
    </w:p>
    <w:p>
      <w:pPr>
        <w:spacing w:after="0" w:line="116"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0" w:lineRule="exact"/>
        <w:rPr>
          <w:sz w:val="24"/>
          <w:szCs w:val="24"/>
          <w:color w:val="auto"/>
        </w:rPr>
      </w:pPr>
    </w:p>
    <w:p>
      <w:pPr>
        <w:sectPr>
          <w:pgSz w:w="11900" w:h="16838" w:orient="portrait"/>
          <w:cols w:equalWidth="0" w:num="2">
            <w:col w:w="6980" w:space="720"/>
            <w:col w:w="3720"/>
          </w:cols>
          <w:pgMar w:left="240" w:top="233" w:right="239" w:bottom="1440" w:gutter="0" w:footer="0" w:header="0"/>
          <w:type w:val="continuous"/>
        </w:sectPr>
      </w:pPr>
    </w:p>
    <w:p>
      <w:pPr>
        <w:spacing w:after="0" w:line="50"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2" w:lineRule="exact"/>
        <w:rPr>
          <w:sz w:val="24"/>
          <w:szCs w:val="24"/>
          <w:color w:val="auto"/>
        </w:rPr>
      </w:pPr>
    </w:p>
    <w:p>
      <w:pPr>
        <w:sectPr>
          <w:pgSz w:w="11900" w:h="16838" w:orient="portrait"/>
          <w:cols w:equalWidth="0" w:num="2">
            <w:col w:w="6600" w:space="720"/>
            <w:col w:w="4100"/>
          </w:cols>
          <w:pgMar w:left="240" w:top="233" w:right="239" w:bottom="1440" w:gutter="0" w:footer="0" w:header="0"/>
          <w:type w:val="continuous"/>
        </w:sectPr>
      </w:pPr>
    </w:p>
    <w:p>
      <w:pPr>
        <w:ind w:left="1320"/>
        <w:spacing w:after="0"/>
        <w:rPr>
          <w:sz w:val="20"/>
          <w:szCs w:val="20"/>
          <w:color w:val="auto"/>
        </w:rPr>
      </w:pPr>
      <w:r>
        <w:rPr>
          <w:rFonts w:ascii="Arial" w:cs="Arial" w:eastAsia="Arial" w:hAnsi="Arial"/>
          <w:sz w:val="14"/>
          <w:szCs w:val="14"/>
          <w:color w:val="auto"/>
        </w:rPr>
        <w:t>(Do not check if a smaller reporting company)</w:t>
      </w:r>
    </w:p>
    <w:p>
      <w:pPr>
        <w:spacing w:after="0" w:line="256"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May 2, 2016, there were 11,879,348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006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65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006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5"/>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I—FINANCIAL INFORMATION</w:t>
              </w:r>
            </w:hyperlink>
          </w:p>
        </w:tc>
        <w:tc>
          <w:tcPr>
            <w:tcW w:w="31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20">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2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20</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bottom w:val="single" w:sz="8" w:color="0000FF"/>
            </w:tcBorders>
          </w:tcPr>
          <w:p>
            <w:pPr>
              <w:spacing w:after="0"/>
              <w:rPr>
                <w:rFonts w:ascii="Arial" w:cs="Arial" w:eastAsia="Arial" w:hAnsi="Arial"/>
                <w:sz w:val="18"/>
                <w:szCs w:val="18"/>
                <w:b w:val="1"/>
                <w:bCs w:val="1"/>
                <w:color w:val="0000FF"/>
                <w:w w:val="91"/>
              </w:rPr>
            </w:pPr>
            <w:hyperlink w:anchor="page27">
              <w:r>
                <w:rPr>
                  <w:rFonts w:ascii="Arial" w:cs="Arial" w:eastAsia="Arial" w:hAnsi="Arial"/>
                  <w:sz w:val="18"/>
                  <w:szCs w:val="18"/>
                  <w:b w:val="1"/>
                  <w:bCs w:val="1"/>
                  <w:color w:val="0000FF"/>
                  <w:w w:val="91"/>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80" w:type="dxa"/>
            <w:vAlign w:val="bottom"/>
            <w:tcBorders>
              <w:top w:val="single" w:sz="8" w:color="0000FF"/>
              <w:bottom w:val="single" w:sz="8" w:color="0000FF"/>
            </w:tcBorders>
            <w:gridSpan w:val="9"/>
          </w:tcPr>
          <w:p>
            <w:pPr>
              <w:spacing w:after="0"/>
              <w:rPr>
                <w:rFonts w:ascii="Arial" w:cs="Arial" w:eastAsia="Arial" w:hAnsi="Arial"/>
                <w:sz w:val="18"/>
                <w:szCs w:val="18"/>
                <w:b w:val="1"/>
                <w:bCs w:val="1"/>
                <w:i w:val="1"/>
                <w:iCs w:val="1"/>
                <w:color w:val="0000FF"/>
                <w:w w:val="87"/>
              </w:rPr>
            </w:pPr>
            <w:hyperlink w:anchor="page27">
              <w:r>
                <w:rPr>
                  <w:rFonts w:ascii="Arial" w:cs="Arial" w:eastAsia="Arial" w:hAnsi="Arial"/>
                  <w:sz w:val="18"/>
                  <w:szCs w:val="18"/>
                  <w:b w:val="1"/>
                  <w:bCs w:val="1"/>
                  <w:i w:val="1"/>
                  <w:iCs w:val="1"/>
                  <w:color w:val="0000FF"/>
                  <w:w w:val="87"/>
                </w:rPr>
                <w:t>Quantitative and Qualitative Disclosures About Market Risk</w:t>
              </w:r>
            </w:hyperlink>
          </w:p>
        </w:tc>
        <w:tc>
          <w:tcPr>
            <w:tcW w:w="2200" w:type="dxa"/>
            <w:vAlign w:val="bottom"/>
            <w:tcBorders>
              <w:top w:val="single" w:sz="8" w:color="0000FF"/>
            </w:tcBorders>
            <w:gridSpan w:val="3"/>
          </w:tcPr>
          <w:p>
            <w:pPr>
              <w:spacing w:after="0"/>
              <w:rPr>
                <w:sz w:val="21"/>
                <w:szCs w:val="21"/>
                <w:color w:val="auto"/>
              </w:rPr>
            </w:pPr>
          </w:p>
        </w:tc>
        <w:tc>
          <w:tcPr>
            <w:tcW w:w="2180" w:type="dxa"/>
            <w:vAlign w:val="bottom"/>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4.</w:t>
              </w:r>
            </w:hyperlink>
          </w:p>
        </w:tc>
        <w:tc>
          <w:tcPr>
            <w:tcW w:w="9680" w:type="dxa"/>
            <w:vAlign w:val="bottom"/>
            <w:gridSpan w:val="14"/>
          </w:tcPr>
          <w:p>
            <w:pPr>
              <w:ind w:left="820"/>
              <w:spacing w:after="0"/>
              <w:rPr>
                <w:rFonts w:ascii="Arial" w:cs="Arial" w:eastAsia="Arial" w:hAnsi="Arial"/>
                <w:sz w:val="18"/>
                <w:szCs w:val="18"/>
                <w:b w:val="1"/>
                <w:bCs w:val="1"/>
                <w:i w:val="1"/>
                <w:iCs w:val="1"/>
                <w:color w:val="0000FF"/>
              </w:rPr>
            </w:pPr>
            <w:hyperlink w:anchor="page28">
              <w:r>
                <w:rPr>
                  <w:rFonts w:ascii="Arial" w:cs="Arial" w:eastAsia="Arial" w:hAnsi="Arial"/>
                  <w:sz w:val="18"/>
                  <w:szCs w:val="18"/>
                  <w:b w:val="1"/>
                  <w:bCs w:val="1"/>
                  <w:i w:val="1"/>
                  <w:iCs w:val="1"/>
                  <w:color w:val="0000FF"/>
                </w:rPr>
                <w:t>Controls and Procedures</w:t>
              </w:r>
            </w:hyperlink>
          </w:p>
        </w:tc>
        <w:tc>
          <w:tcPr>
            <w:tcW w:w="10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260"/>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PART II—OTHER INFORMATION</w:t>
              </w:r>
            </w:hyperlink>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40" w:type="dxa"/>
            <w:vAlign w:val="bottom"/>
            <w:tcBorders>
              <w:bottom w:val="single" w:sz="8" w:color="0000FF"/>
            </w:tcBorders>
          </w:tcPr>
          <w:p>
            <w:pPr>
              <w:spacing w:after="0"/>
              <w:rPr>
                <w:rFonts w:ascii="Arial" w:cs="Arial" w:eastAsia="Arial" w:hAnsi="Arial"/>
                <w:sz w:val="18"/>
                <w:szCs w:val="18"/>
                <w:b w:val="1"/>
                <w:bCs w:val="1"/>
                <w:color w:val="0000FF"/>
                <w:w w:val="91"/>
              </w:rPr>
            </w:pPr>
            <w:hyperlink w:anchor="page29">
              <w:r>
                <w:rPr>
                  <w:rFonts w:ascii="Arial" w:cs="Arial" w:eastAsia="Arial" w:hAnsi="Arial"/>
                  <w:sz w:val="18"/>
                  <w:szCs w:val="18"/>
                  <w:b w:val="1"/>
                  <w:bCs w:val="1"/>
                  <w:color w:val="0000FF"/>
                  <w:w w:val="91"/>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Borders>
              <w:bottom w:val="single" w:sz="8" w:color="0000FF"/>
            </w:tcBorders>
            <w:gridSpan w:val="3"/>
          </w:tcPr>
          <w:p>
            <w:pPr>
              <w:spacing w:after="0"/>
              <w:rPr>
                <w:rFonts w:ascii="Arial" w:cs="Arial" w:eastAsia="Arial" w:hAnsi="Arial"/>
                <w:sz w:val="18"/>
                <w:szCs w:val="18"/>
                <w:b w:val="1"/>
                <w:bCs w:val="1"/>
                <w:i w:val="1"/>
                <w:iCs w:val="1"/>
                <w:color w:val="0000FF"/>
                <w:w w:val="84"/>
              </w:rPr>
            </w:pPr>
            <w:hyperlink w:anchor="page29">
              <w:r>
                <w:rPr>
                  <w:rFonts w:ascii="Arial" w:cs="Arial" w:eastAsia="Arial" w:hAnsi="Arial"/>
                  <w:sz w:val="18"/>
                  <w:szCs w:val="18"/>
                  <w:b w:val="1"/>
                  <w:bCs w:val="1"/>
                  <w:i w:val="1"/>
                  <w:iCs w:val="1"/>
                  <w:color w:val="0000FF"/>
                  <w:w w:val="84"/>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3"/>
          </w:tcPr>
          <w:p>
            <w:pPr>
              <w:spacing w:after="0"/>
              <w:rPr>
                <w:sz w:val="24"/>
                <w:szCs w:val="24"/>
                <w:color w:val="auto"/>
              </w:rPr>
            </w:pPr>
          </w:p>
        </w:tc>
        <w:tc>
          <w:tcPr>
            <w:tcW w:w="32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w w:val="91"/>
              </w:rPr>
            </w:pPr>
            <w:hyperlink w:anchor="page29">
              <w:r>
                <w:rPr>
                  <w:rFonts w:ascii="Arial" w:cs="Arial" w:eastAsia="Arial" w:hAnsi="Arial"/>
                  <w:sz w:val="18"/>
                  <w:szCs w:val="18"/>
                  <w:b w:val="1"/>
                  <w:bCs w:val="1"/>
                  <w:color w:val="0000FF"/>
                  <w:w w:val="91"/>
                </w:rPr>
                <w:t>Item 1A.</w:t>
              </w:r>
            </w:hyperlink>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29">
              <w:r>
                <w:rPr>
                  <w:rFonts w:ascii="Arial" w:cs="Arial" w:eastAsia="Arial" w:hAnsi="Arial"/>
                  <w:sz w:val="18"/>
                  <w:szCs w:val="18"/>
                  <w:b w:val="1"/>
                  <w:bCs w:val="1"/>
                  <w:i w:val="1"/>
                  <w:iCs w:val="1"/>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29">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29">
              <w:r>
                <w:rPr>
                  <w:rFonts w:ascii="Arial" w:cs="Arial" w:eastAsia="Arial" w:hAnsi="Arial"/>
                  <w:sz w:val="18"/>
                  <w:szCs w:val="18"/>
                  <w:b w:val="1"/>
                  <w:bCs w:val="1"/>
                  <w:i w:val="1"/>
                  <w:iCs w:val="1"/>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tcBorders>
          </w:tcPr>
          <w:p>
            <w:pPr>
              <w:spacing w:after="0"/>
              <w:rPr>
                <w:rFonts w:ascii="Arial" w:cs="Arial" w:eastAsia="Arial" w:hAnsi="Arial"/>
                <w:sz w:val="18"/>
                <w:szCs w:val="18"/>
                <w:b w:val="1"/>
                <w:bCs w:val="1"/>
                <w:color w:val="0000EE"/>
                <w:w w:val="91"/>
              </w:rPr>
            </w:pPr>
            <w:hyperlink w:anchor="page30">
              <w:r>
                <w:rPr>
                  <w:rFonts w:ascii="Arial" w:cs="Arial" w:eastAsia="Arial" w:hAnsi="Arial"/>
                  <w:sz w:val="18"/>
                  <w:szCs w:val="18"/>
                  <w:b w:val="1"/>
                  <w:bCs w:val="1"/>
                  <w:color w:val="0000EE"/>
                  <w:w w:val="91"/>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tcBorders>
              <w:top w:val="single" w:sz="8" w:color="0000FF"/>
            </w:tcBorders>
            <w:gridSpan w:val="8"/>
          </w:tcPr>
          <w:p>
            <w:pPr>
              <w:spacing w:after="0"/>
              <w:rPr>
                <w:rFonts w:ascii="Arial" w:cs="Arial" w:eastAsia="Arial" w:hAnsi="Arial"/>
                <w:sz w:val="18"/>
                <w:szCs w:val="18"/>
                <w:b w:val="1"/>
                <w:bCs w:val="1"/>
                <w:i w:val="1"/>
                <w:iCs w:val="1"/>
                <w:color w:val="0000EE"/>
              </w:rPr>
            </w:pPr>
            <w:hyperlink w:anchor="page30">
              <w:r>
                <w:rPr>
                  <w:rFonts w:ascii="Arial" w:cs="Arial" w:eastAsia="Arial" w:hAnsi="Arial"/>
                  <w:sz w:val="18"/>
                  <w:szCs w:val="18"/>
                  <w:b w:val="1"/>
                  <w:bCs w:val="1"/>
                  <w:i w:val="1"/>
                  <w:iCs w:val="1"/>
                  <w:color w:val="0000EE"/>
                </w:rPr>
                <w:t>Other Information</w:t>
              </w:r>
            </w:hyperlink>
          </w:p>
        </w:tc>
        <w:tc>
          <w:tcPr>
            <w:tcW w:w="4400" w:type="dxa"/>
            <w:vAlign w:val="bottom"/>
            <w:gridSpan w:val="5"/>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EE"/>
            </w:tcBorders>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Borders>
              <w:top w:val="single" w:sz="8" w:color="0000EE"/>
            </w:tcBorders>
            <w:gridSpan w:val="3"/>
          </w:tcPr>
          <w:p>
            <w:pPr>
              <w:spacing w:after="0"/>
              <w:rPr>
                <w:rFonts w:ascii="Arial" w:cs="Arial" w:eastAsia="Arial" w:hAnsi="Arial"/>
                <w:sz w:val="18"/>
                <w:szCs w:val="18"/>
                <w:b w:val="1"/>
                <w:bCs w:val="1"/>
                <w:i w:val="1"/>
                <w:iCs w:val="1"/>
                <w:color w:val="0000FF"/>
              </w:rPr>
            </w:pPr>
            <w:hyperlink w:anchor="page30">
              <w:r>
                <w:rPr>
                  <w:rFonts w:ascii="Arial" w:cs="Arial" w:eastAsia="Arial" w:hAnsi="Arial"/>
                  <w:sz w:val="18"/>
                  <w:szCs w:val="18"/>
                  <w:b w:val="1"/>
                  <w:bCs w:val="1"/>
                  <w:i w:val="1"/>
                  <w:iCs w:val="1"/>
                  <w:color w:val="0000FF"/>
                </w:rPr>
                <w:t>Exhibits</w:t>
              </w:r>
            </w:hyperlink>
          </w:p>
        </w:tc>
        <w:tc>
          <w:tcPr>
            <w:tcW w:w="7480" w:type="dxa"/>
            <w:vAlign w:val="bottom"/>
            <w:gridSpan w:val="10"/>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53"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left="513"/>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15"/>
                <w:szCs w:val="15"/>
                <w:color w:val="auto"/>
              </w:rPr>
            </w:pPr>
          </w:p>
        </w:tc>
      </w:tr>
      <w:tr>
        <w:trPr>
          <w:trHeight w:val="190"/>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147"/>
        </w:trPr>
        <w:tc>
          <w:tcPr>
            <w:tcW w:w="9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gridSpan w:val="3"/>
          </w:tcPr>
          <w:p>
            <w:pPr>
              <w:jc w:val="center"/>
              <w:ind w:right="151"/>
              <w:spacing w:after="0" w:line="148" w:lineRule="exact"/>
              <w:rPr>
                <w:sz w:val="20"/>
                <w:szCs w:val="20"/>
                <w:color w:val="auto"/>
              </w:rPr>
            </w:pPr>
            <w:r>
              <w:rPr>
                <w:rFonts w:ascii="Arial" w:cs="Arial" w:eastAsia="Arial" w:hAnsi="Arial"/>
                <w:sz w:val="13"/>
                <w:szCs w:val="13"/>
                <w:b w:val="1"/>
                <w:bCs w:val="1"/>
                <w:i w:val="1"/>
                <w:iCs w:val="1"/>
                <w:color w:val="auto"/>
                <w:w w:val="82"/>
              </w:rPr>
              <w:t>(in thousands, except per share</w:t>
            </w:r>
          </w:p>
        </w:tc>
      </w:tr>
      <w:tr>
        <w:trPr>
          <w:trHeight w:val="168"/>
        </w:trPr>
        <w:tc>
          <w:tcPr>
            <w:tcW w:w="9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left="473"/>
              <w:spacing w:after="0"/>
              <w:rPr>
                <w:sz w:val="20"/>
                <w:szCs w:val="20"/>
                <w:color w:val="auto"/>
              </w:rPr>
            </w:pPr>
            <w:r>
              <w:rPr>
                <w:rFonts w:ascii="Arial" w:cs="Arial" w:eastAsia="Arial" w:hAnsi="Arial"/>
                <w:sz w:val="13"/>
                <w:szCs w:val="13"/>
                <w:b w:val="1"/>
                <w:bCs w:val="1"/>
                <w:i w:val="1"/>
                <w:iCs w:val="1"/>
                <w:color w:val="auto"/>
                <w:w w:val="81"/>
              </w:rPr>
              <w:t>amounts)</w:t>
            </w:r>
          </w:p>
        </w:tc>
        <w:tc>
          <w:tcPr>
            <w:tcW w:w="780" w:type="dxa"/>
            <w:vAlign w:val="bottom"/>
          </w:tcPr>
          <w:p>
            <w:pPr>
              <w:spacing w:after="0"/>
              <w:rPr>
                <w:sz w:val="14"/>
                <w:szCs w:val="14"/>
                <w:color w:val="auto"/>
              </w:rPr>
            </w:pPr>
          </w:p>
        </w:tc>
      </w:tr>
      <w:tr>
        <w:trPr>
          <w:trHeight w:val="258"/>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94,713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50,935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shown separately below)</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3,473</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6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65,059</w:t>
            </w: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32,837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9,259</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7,228</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3,885</w:t>
            </w: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2,173</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998</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62</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6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169</w:t>
            </w: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82,868</w:t>
            </w: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45,217</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11,845</w:t>
            </w: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5,718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Interest (expense) income</w:t>
            </w:r>
          </w:p>
        </w:tc>
        <w:tc>
          <w:tcPr>
            <w:tcW w:w="26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11,703</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5,720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(4,798)</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6,905</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5,413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(1,203)</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and comprehensive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5,702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5,187</w:t>
            </w:r>
          </w:p>
        </w:tc>
      </w:tr>
      <w:tr>
        <w:trPr>
          <w:trHeight w:val="270"/>
        </w:trPr>
        <w:tc>
          <w:tcPr>
            <w:tcW w:w="90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11,931</w:t>
            </w:r>
          </w:p>
        </w:tc>
        <w:tc>
          <w:tcPr>
            <w:tcW w:w="4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11,304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12,873</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Income per share from continuing operations: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0.54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0.44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from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(0.10)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0.44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0.43</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293"/>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147"/>
        </w:trPr>
        <w:tc>
          <w:tcPr>
            <w:tcW w:w="8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3"/>
          </w:tcPr>
          <w:p>
            <w:pPr>
              <w:jc w:val="right"/>
              <w:ind w:right="131"/>
              <w:spacing w:after="0" w:line="148" w:lineRule="exact"/>
              <w:rPr>
                <w:sz w:val="20"/>
                <w:szCs w:val="20"/>
                <w:color w:val="auto"/>
              </w:rPr>
            </w:pPr>
            <w:r>
              <w:rPr>
                <w:rFonts w:ascii="Arial" w:cs="Arial" w:eastAsia="Arial" w:hAnsi="Arial"/>
                <w:sz w:val="13"/>
                <w:szCs w:val="13"/>
                <w:b w:val="1"/>
                <w:bCs w:val="1"/>
                <w:i w:val="1"/>
                <w:iCs w:val="1"/>
                <w:color w:val="auto"/>
                <w:w w:val="84"/>
              </w:rPr>
              <w:t>(in thousands, except par value and share</w:t>
            </w:r>
          </w:p>
        </w:tc>
      </w:tr>
      <w:tr>
        <w:trPr>
          <w:trHeight w:val="168"/>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3"/>
          </w:tcPr>
          <w:p>
            <w:pPr>
              <w:jc w:val="right"/>
              <w:ind w:right="971"/>
              <w:spacing w:after="0"/>
              <w:rPr>
                <w:sz w:val="20"/>
                <w:szCs w:val="20"/>
                <w:color w:val="auto"/>
              </w:rPr>
            </w:pPr>
            <w:r>
              <w:rPr>
                <w:rFonts w:ascii="Arial" w:cs="Arial" w:eastAsia="Arial" w:hAnsi="Arial"/>
                <w:sz w:val="13"/>
                <w:szCs w:val="13"/>
                <w:b w:val="1"/>
                <w:bCs w:val="1"/>
                <w:i w:val="1"/>
                <w:iCs w:val="1"/>
                <w:color w:val="auto"/>
              </w:rPr>
              <w:t>amounts)</w:t>
            </w:r>
          </w:p>
        </w:tc>
      </w:tr>
      <w:tr>
        <w:trPr>
          <w:trHeight w:val="258"/>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174,226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206,975</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4,084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$861 and $606, respectively)</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36,767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29,873</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3,237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110</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218,378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245,584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$7,681 and $6,940, respectively)</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10,172</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9,415</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3,632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10,967</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10,992</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20,017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20,977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978</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1,039</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4,142</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4,142</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268,286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295,781</w:t>
            </w:r>
          </w:p>
        </w:tc>
      </w:tr>
      <w:tr>
        <w:trPr>
          <w:trHeight w:val="34"/>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8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trade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3,163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40,854</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34,885</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 (Note 12)</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14,896</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13,401</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58,913</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54,027</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758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59,697</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54,639</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$.01 par value; 50,000,000 shares authorized; 13,935,835 and 13,865,620 shares issued, respectively,</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11,882,294 and 12,392,093 shares outstanding,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1,009,033</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1,006,688</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(744,422)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(750,124)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Treasury stock 2,053,541 and 1,473,527 shares, respectively</w:t>
            </w:r>
          </w:p>
        </w:tc>
        <w:tc>
          <w:tcPr>
            <w:tcW w:w="1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(56,161)</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(15,561)</w:t>
            </w:r>
          </w:p>
        </w:tc>
      </w:tr>
      <w:tr>
        <w:trPr>
          <w:trHeight w:val="27"/>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208,589</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241,142</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268,286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295,781</w:t>
            </w:r>
          </w:p>
        </w:tc>
      </w:tr>
      <w:tr>
        <w:trPr>
          <w:trHeight w:val="34"/>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197"/>
              <w:spacing w:after="0" w:line="139" w:lineRule="exact"/>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2"/>
                <w:szCs w:val="12"/>
                <w:color w:val="auto"/>
              </w:rPr>
            </w:pPr>
          </w:p>
        </w:tc>
        <w:tc>
          <w:tcPr>
            <w:tcW w:w="11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020" w:type="dxa"/>
            <w:vAlign w:val="bottom"/>
          </w:tcPr>
          <w:p>
            <w:pPr>
              <w:jc w:val="right"/>
              <w:ind w:right="297"/>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Deficit</w:t>
            </w: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of Shares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57"/>
              <w:spacing w:after="0"/>
              <w:rPr>
                <w:sz w:val="20"/>
                <w:szCs w:val="20"/>
                <w:color w:val="auto"/>
              </w:rPr>
            </w:pPr>
            <w:r>
              <w:rPr>
                <w:rFonts w:ascii="Arial" w:cs="Arial" w:eastAsia="Arial" w:hAnsi="Arial"/>
                <w:sz w:val="14"/>
                <w:szCs w:val="14"/>
                <w:b w:val="1"/>
                <w:bCs w:val="1"/>
                <w:i w:val="1"/>
                <w:iCs w:val="1"/>
                <w:color w:val="auto"/>
                <w:w w:val="89"/>
              </w:rPr>
              <w:t>(in thousands)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241,142</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13,866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1,006,688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(750,124)</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1,474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(15,561)</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9"/>
              </w:rPr>
              <w:t>Net income and comprehensive income</w:t>
            </w:r>
          </w:p>
        </w:tc>
        <w:tc>
          <w:tcPr>
            <w:tcW w:w="22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5,702</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5,702</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2,633</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2,633</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20" w:type="dxa"/>
            <w:vAlign w:val="bottom"/>
          </w:tcPr>
          <w:p>
            <w:pPr>
              <w:spacing w:after="0"/>
              <w:rPr>
                <w:sz w:val="21"/>
                <w:szCs w:val="21"/>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(40,600)</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580</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(40,600)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for stock</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restricted stock awards and</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restricted stock units, net of withholding</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(2,585)</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Tax benefit from stock-based award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activity</w:t>
            </w:r>
          </w:p>
        </w:tc>
        <w:tc>
          <w:tcPr>
            <w:tcW w:w="220" w:type="dxa"/>
            <w:vAlign w:val="bottom"/>
          </w:tcPr>
          <w:p>
            <w:pPr>
              <w:spacing w:after="0"/>
              <w:rPr>
                <w:sz w:val="20"/>
                <w:szCs w:val="20"/>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2,297</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2,297</w:t>
            </w:r>
          </w:p>
        </w:tc>
        <w:tc>
          <w:tcPr>
            <w:tcW w:w="20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March 31, 2016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208,589</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13,936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1,009,033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(744,422)</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2,054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(56,161)</w:t>
            </w:r>
          </w:p>
        </w:tc>
        <w:tc>
          <w:tcPr>
            <w:tcW w:w="0" w:type="dxa"/>
            <w:vAlign w:val="bottom"/>
          </w:tcPr>
          <w:p>
            <w:pPr>
              <w:spacing w:after="0"/>
              <w:rPr>
                <w:sz w:val="1"/>
                <w:szCs w:val="1"/>
                <w:color w:val="auto"/>
              </w:rPr>
            </w:pPr>
          </w:p>
        </w:tc>
      </w:tr>
      <w:tr>
        <w:trPr>
          <w:trHeight w:val="27"/>
        </w:trPr>
        <w:tc>
          <w:tcPr>
            <w:tcW w:w="3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196"/>
        </w:trPr>
        <w:tc>
          <w:tcPr>
            <w:tcW w:w="8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b w:val="1"/>
                <w:bCs w:val="1"/>
                <w:color w:val="auto"/>
              </w:rPr>
              <w:t>Net income and comprehensive income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5,702</w:t>
            </w:r>
          </w:p>
        </w:tc>
        <w:tc>
          <w:tcPr>
            <w:tcW w:w="54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5,187</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1,203</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r>
      <w:tr>
        <w:trPr>
          <w:trHeight w:val="237"/>
        </w:trPr>
        <w:tc>
          <w:tcPr>
            <w:tcW w:w="8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6,905</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5,413</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income from continuing operations to net cash provided by operating</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 attributable to continuing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Loss on disposal of fixed assets</w:t>
            </w: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127</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998</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654</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2,633</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2,336</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Excess tax benefit from stock-based award activity</w:t>
            </w:r>
          </w:p>
        </w:tc>
        <w:tc>
          <w:tcPr>
            <w:tcW w:w="3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(2,297)</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255</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61</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(7,148)</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(6,164)</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2,906</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2,864</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4,762</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provided by operating activities attributable to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8,074</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5,340</w:t>
            </w:r>
          </w:p>
        </w:tc>
      </w:tr>
      <w:tr>
        <w:trPr>
          <w:trHeight w:val="27"/>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 attributable to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(2,154)</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(1,154)</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a business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Decrease in restricted cash</w:t>
            </w: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2,457</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100</w:t>
            </w:r>
          </w:p>
        </w:tc>
      </w:tr>
      <w:tr>
        <w:trPr>
          <w:trHeight w:val="27"/>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303</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(1,091)</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financing activities attributable to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Payments related to net-share settlement of stock-based compensation, net of proceeds from exercise of stock</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(2,585)</w:t>
            </w: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Payment of equity offering costs</w:t>
            </w:r>
          </w:p>
        </w:tc>
        <w:tc>
          <w:tcPr>
            <w:tcW w:w="34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Excess tax benefit from stock-based award activity</w:t>
            </w: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2,297</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117</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(40,499)</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 attributable to continuing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(40,818)</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(1,785)</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cash (used in) provided by continuing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(32,441)</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2,464</w:t>
            </w:r>
          </w:p>
        </w:tc>
      </w:tr>
      <w:tr>
        <w:trPr>
          <w:trHeight w:val="27"/>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 attributable to discontinued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5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7"/>
        </w:trPr>
        <w:tc>
          <w:tcPr>
            <w:tcW w:w="83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cash used in discontinued operations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(308)</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r>
      <w:tr>
        <w:trPr>
          <w:trHeight w:val="27"/>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(32,749)</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2,324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206,975</w:t>
            </w:r>
          </w:p>
        </w:tc>
        <w:tc>
          <w:tcPr>
            <w:tcW w:w="5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86,212</w:t>
            </w:r>
          </w:p>
        </w:tc>
      </w:tr>
      <w:tr>
        <w:trPr>
          <w:trHeight w:val="27"/>
        </w:trPr>
        <w:tc>
          <w:tcPr>
            <w:tcW w:w="8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174,226</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88,536</w:t>
            </w:r>
          </w:p>
        </w:tc>
      </w:tr>
      <w:tr>
        <w:trPr>
          <w:trHeight w:val="27"/>
        </w:trPr>
        <w:tc>
          <w:tcPr>
            <w:tcW w:w="8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LendingTree, Inc. ("LendingTree" or the "Company"), is the parent of LendingTree, LLC and several companies owned by LendingTree, LLC.</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LendingTree operates what it believes to be the leading online marketplace for consumers seeking a broad array of loan types and other credit-based offerings. The Company offers consumers tools and resources, including free credit scores, that help them to comparison-shop for mortgage loans, home equity, reverse mortgage, auto loans, credit cards, personal loans, student loans and small business loans and other related offerings. The Company primarily seeks to match in-market consumers with multiple lenders on its marketplace who can provide them with competing quotes for the loans or credit-based offerings they are seeking. The Company also serves as a valued partner to lenders seeking an efficient, scalable and flexible source of customer acquisition with directly measurable benefits, by matching the consumer loan inquiries it generates with these lenders.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Intercompany transactions and accounts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12 </w:t>
      </w:r>
      <w:r>
        <w:rPr>
          <w:rFonts w:ascii="Arial" w:cs="Arial" w:eastAsia="Arial" w:hAnsi="Arial"/>
          <w:sz w:val="18"/>
          <w:szCs w:val="18"/>
          <w:b w:val="1"/>
          <w:bCs w:val="1"/>
          <w:color w:val="auto"/>
        </w:rPr>
        <w:t>—</w:t>
      </w:r>
      <w:r>
        <w:rPr>
          <w:rFonts w:ascii="Arial" w:cs="Arial" w:eastAsia="Arial" w:hAnsi="Arial"/>
          <w:sz w:val="18"/>
          <w:szCs w:val="18"/>
          <w:color w:val="auto"/>
        </w:rPr>
        <w:t xml:space="preserve"> Discontinued Operations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accompanying unaudited interim consolidated financial statements as of March 31, 2016 and for the three months ended March 31, 2016 and 2015,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months ended March 31, 2016 are not necessarily indicative of the results to be expected for the year ending December 31, 2016, or any other period. The accompanying consolidated balance sheet as of December 31, 2015 was derived from audited financial statements included in the Company's annual report on Form 10-K for the year ended December 31, 2015 (the "2015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2015 Annual Report.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various other allowances, reserves and accruals; and assumptions related to the determination of stock-based compensation.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March 31, 2016,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lenders to maintain security deposits with the Company, which in the event of non-payment, would be applied against any accounts receivable outstanding.</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increases may negatively impact future revenue from the Company's lender marketplace.</w:t>
      </w:r>
    </w:p>
    <w:p>
      <w:pPr>
        <w:spacing w:after="0" w:line="14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Lenders participating on the Company's marketplace can offer their products directly to consumers through brokers, mass marketing campaigns or through other traditional methods of credit distribution. These lenders can also offer their products online, either directly to prospective borrowers, through one or more online competitors, or both. If a significant number of potential consumers are able to obtain loans from participating lenders without utilizing the Company's services, its ability to generate revenue may be limited. Because the Company does not have exclusive relationships with the lenders whose loan offerings are offered on its online marketplace, consumers may obtain offers and loans from these lenders without using its service.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operations solely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 in addition to legal fees incurred in connection with various patent litigation claims the Company pursues against others.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2016, the Financial Accounting Standards Board ("FASB") issued Accounting Standards Update ("ASU") 2016-09 which simplifies various aspects related to how share-based payments are accounted for and presented in the financial statements, including the income tax consequences, classification of awards as either equity or liabilities, forfeitures and classification of excess tax benefits on the statement of cash flows. This ASU is effective for annual and interim reporting periods beginning after December 15, 2016, with early adoption permitted. Upon adoption, any adjustments are to be reflected as of the beginning of the fiscal year of adoption. The Company is evaluating the impact this ASU will have on its consolidated financial statements and whether to early adopt.</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2016, the FASB issued ASU 2016-02 related to leases. This ASU requires the recognition of a right-of-use lease asset and a lease liability by lessees for all leases greater than one year in duration. This ASU is effective for annual and interim reporting periods beginning after December 15, 2018, with early adoption permitted. The guidance must be adopted using a modified retrospective transition. The Company is evaluating the impact this ASU will have on its consolidated financial statements and whether to early adopt.</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May 2014, the FASB issued ASU 2014-09 related to revenue recognition. This ASU was initiated as a joint project between the FASB and the International Accounting Standards Board ("IASB") to clarify the principles for recognizing revenue and to develop a common revenue standard for GAAP and international financial reporting standards ("IFRS"). This guidance will supersede the existing revenue recognition requirements in Accounting Standards Codification ("ASC") Topic 605, Revenue Recognition and was set to be effective for annual reporting periods beginning after December 15, 2016. However, in July 2015, the FASB deferred the effective date by one year, such that the standard will be effective for annual reporting periods beginning after December 15, 2017. Early adoption is permitted as of the original effective date of December 15, 2016. The ASU can be applied (i) retrospectively to each prior period presented or (ii) retrospectively with the cumulative effect of initially adopting the ASU recognized at the date of initial application. In March 2016, the FASB issued ASU 2016-08, which clarifies the principal versus agent guidance under ASU 2014-09. ASU 2016-08 must be adopted concurrently with the adoption of ASU 2014-09. The Company is evaluating the impact these ASU's will have on its consolidated financial statements and whether to early adopt.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396"/>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in escrow for surety bonds </w:t>
            </w:r>
            <w:r>
              <w:rPr>
                <w:rFonts w:ascii="Arial" w:cs="Arial" w:eastAsia="Arial" w:hAnsi="Arial"/>
                <w:sz w:val="25"/>
                <w:szCs w:val="25"/>
                <w:color w:val="auto"/>
                <w:vertAlign w:val="superscript"/>
              </w:rPr>
              <w:t>(a)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2,453</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Cash in escrow from sale of LendingTree Loans </w:t>
            </w:r>
            <w:r>
              <w:rPr>
                <w:rFonts w:ascii="Arial" w:cs="Arial" w:eastAsia="Arial" w:hAnsi="Arial"/>
                <w:sz w:val="25"/>
                <w:szCs w:val="25"/>
                <w:color w:val="auto"/>
                <w:vertAlign w:val="superscript"/>
              </w:rPr>
              <w:t>(b)</w:t>
            </w:r>
          </w:p>
        </w:tc>
        <w:tc>
          <w:tcPr>
            <w:tcW w:w="260" w:type="dxa"/>
            <w:vAlign w:val="bottom"/>
          </w:tcPr>
          <w:p>
            <w:pPr>
              <w:spacing w:after="0"/>
              <w:rPr>
                <w:sz w:val="23"/>
                <w:szCs w:val="23"/>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4,032</w:t>
            </w:r>
          </w:p>
        </w:tc>
        <w:tc>
          <w:tcPr>
            <w:tcW w:w="300" w:type="dxa"/>
            <w:vAlign w:val="bottom"/>
          </w:tcPr>
          <w:p>
            <w:pPr>
              <w:spacing w:after="0"/>
              <w:rPr>
                <w:sz w:val="23"/>
                <w:szCs w:val="23"/>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4,028</w:t>
            </w: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restricted cash and cash equivalents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4,084</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6,541</w:t>
            </w:r>
          </w:p>
        </w:tc>
      </w:tr>
      <w:tr>
        <w:trPr>
          <w:trHeight w:val="34"/>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left="660" w:hanging="328"/>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 laws and regulations generally require businesses which engage in mortgage brokering activity to maintain a mortgage broker or similar license. Mortgage brokering activity is generally defined to include, among other things, receiving valuable consideration for offering assistance to a buyer in obtaining a residential mortgage or soliciting financial and mortgage information from the public and providing that information to an originator of residential mortgage loans. All states require that the Company maintain surety bonds for potential claims. In February 2016, $2.5 million in escrow for the surety bonds was released due to a reduction in collateral requirements.</w:t>
      </w:r>
    </w:p>
    <w:p>
      <w:pPr>
        <w:spacing w:after="0" w:line="11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Home Loan Center, Inc. ("HLC"), a subsidiary of the Company, continues to be liable for certain indemnification obligations, repurchase obligations and premium repayment obligations following the sale of substantially all of the operating assets of its LendingTree Loans business in the second quarter of 2012.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486,720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486,720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(483,088)</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(483,088)</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goodwill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3,632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3,632</w:t>
            </w:r>
          </w:p>
        </w:tc>
      </w:tr>
      <w:tr>
        <w:trPr>
          <w:trHeight w:val="324"/>
        </w:trPr>
        <w:tc>
          <w:tcPr>
            <w:tcW w:w="83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10,142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26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850</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10,967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10,992</w:t>
            </w:r>
          </w:p>
        </w:tc>
      </w:tr>
      <w:tr>
        <w:trPr>
          <w:trHeight w:val="27"/>
        </w:trPr>
        <w:tc>
          <w:tcPr>
            <w:tcW w:w="8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goodwill is associated with its one reportable segment, lending. Intangible assets with indefinite lives relate to the Company's trademarks.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406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1,000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Other</w:t>
            </w:r>
          </w:p>
        </w:tc>
        <w:tc>
          <w:tcPr>
            <w:tcW w:w="3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1,087</w:t>
            </w:r>
          </w:p>
        </w:tc>
        <w:tc>
          <w:tcPr>
            <w:tcW w:w="30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(1,087)</w:t>
            </w:r>
          </w:p>
        </w:tc>
        <w:tc>
          <w:tcPr>
            <w:tcW w:w="4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2016</w:t>
            </w:r>
          </w:p>
        </w:tc>
        <w:tc>
          <w:tcPr>
            <w:tcW w:w="406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2,087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(1,262)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825</w:t>
            </w:r>
          </w:p>
        </w:tc>
        <w:tc>
          <w:tcPr>
            <w:tcW w:w="0" w:type="dxa"/>
            <w:vAlign w:val="bottom"/>
          </w:tcPr>
          <w:p>
            <w:pPr>
              <w:spacing w:after="0"/>
              <w:rPr>
                <w:sz w:val="1"/>
                <w:szCs w:val="1"/>
                <w:color w:val="auto"/>
              </w:rPr>
            </w:pPr>
          </w:p>
        </w:tc>
      </w:tr>
      <w:tr>
        <w:trPr>
          <w:trHeight w:val="459"/>
        </w:trPr>
        <w:tc>
          <w:tcPr>
            <w:tcW w:w="3880" w:type="dxa"/>
            <w:vAlign w:val="bottom"/>
            <w:tcBorders>
              <w:top w:val="single" w:sz="8" w:color="auto"/>
            </w:tcBorders>
          </w:tcPr>
          <w:p>
            <w:pPr>
              <w:spacing w:after="0"/>
              <w:rPr>
                <w:sz w:val="24"/>
                <w:szCs w:val="24"/>
                <w:color w:val="auto"/>
              </w:rPr>
            </w:pPr>
          </w:p>
        </w:tc>
        <w:tc>
          <w:tcPr>
            <w:tcW w:w="320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rPr>
              <w:t>9</w:t>
            </w:r>
          </w:p>
        </w:tc>
        <w:tc>
          <w:tcPr>
            <w:tcW w:w="8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37"/>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0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1,000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1,087</w:t>
            </w:r>
          </w:p>
        </w:tc>
        <w:tc>
          <w:tcPr>
            <w:tcW w:w="30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(1,087)</w:t>
            </w:r>
          </w:p>
        </w:tc>
        <w:tc>
          <w:tcPr>
            <w:tcW w:w="4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2,087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(1,237)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850</w:t>
            </w:r>
          </w:p>
        </w:tc>
        <w:tc>
          <w:tcPr>
            <w:tcW w:w="0" w:type="dxa"/>
            <w:vAlign w:val="bottom"/>
          </w:tcPr>
          <w:p>
            <w:pPr>
              <w:spacing w:after="0"/>
              <w:rPr>
                <w:sz w:val="1"/>
                <w:szCs w:val="1"/>
                <w:color w:val="auto"/>
              </w:rPr>
            </w:pPr>
          </w:p>
        </w:tc>
      </w:tr>
      <w:tr>
        <w:trPr>
          <w:trHeight w:val="27"/>
        </w:trPr>
        <w:tc>
          <w:tcPr>
            <w:tcW w:w="70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March 31, 2016,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Amortization Expense</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Year ending December 31, 2017</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2018</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Year ending December 31, 2019</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2020</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350</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825</w:t>
            </w:r>
          </w:p>
        </w:tc>
      </w:tr>
      <w:tr>
        <w:trPr>
          <w:trHeight w:val="702"/>
        </w:trPr>
        <w:tc>
          <w:tcPr>
            <w:tcW w:w="8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5—ACCRUED EXPENSES AND OTHER CURRENT LIABILITIES</w:t>
            </w: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378"/>
        </w:trPr>
        <w:tc>
          <w:tcPr>
            <w:tcW w:w="8340" w:type="dxa"/>
            <w:vAlign w:val="bottom"/>
          </w:tcPr>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475"/>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736</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260" w:type="dxa"/>
            <w:vAlign w:val="bottom"/>
          </w:tcPr>
          <w:p>
            <w:pPr>
              <w:spacing w:after="0"/>
              <w:rPr>
                <w:sz w:val="21"/>
                <w:szCs w:val="21"/>
                <w:color w:val="auto"/>
              </w:rPr>
            </w:pPr>
          </w:p>
        </w:tc>
        <w:tc>
          <w:tcPr>
            <w:tcW w:w="1340" w:type="dxa"/>
            <w:vAlign w:val="bottom"/>
          </w:tcPr>
          <w:p>
            <w:pPr>
              <w:jc w:val="right"/>
              <w:ind w:right="115"/>
              <w:spacing w:after="0"/>
              <w:rPr>
                <w:sz w:val="20"/>
                <w:szCs w:val="20"/>
                <w:color w:val="auto"/>
              </w:rPr>
            </w:pPr>
            <w:r>
              <w:rPr>
                <w:rFonts w:ascii="Arial" w:cs="Arial" w:eastAsia="Arial" w:hAnsi="Arial"/>
                <w:sz w:val="18"/>
                <w:szCs w:val="18"/>
                <w:color w:val="auto"/>
              </w:rPr>
              <w:t>25,146</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20,841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3,417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260" w:type="dxa"/>
            <w:vAlign w:val="bottom"/>
          </w:tcPr>
          <w:p>
            <w:pPr>
              <w:spacing w:after="0"/>
              <w:rPr>
                <w:sz w:val="21"/>
                <w:szCs w:val="21"/>
                <w:color w:val="auto"/>
              </w:rPr>
            </w:pPr>
          </w:p>
        </w:tc>
        <w:tc>
          <w:tcPr>
            <w:tcW w:w="1340" w:type="dxa"/>
            <w:vAlign w:val="bottom"/>
          </w:tcPr>
          <w:p>
            <w:pPr>
              <w:jc w:val="right"/>
              <w:ind w:right="115"/>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711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 and escrows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4,643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340" w:type="dxa"/>
            <w:vAlign w:val="bottom"/>
          </w:tcPr>
          <w:p>
            <w:pPr>
              <w:jc w:val="right"/>
              <w:ind w:right="115"/>
              <w:spacing w:after="0"/>
              <w:rPr>
                <w:sz w:val="20"/>
                <w:szCs w:val="20"/>
                <w:color w:val="auto"/>
              </w:rPr>
            </w:pPr>
            <w:r>
              <w:rPr>
                <w:rFonts w:ascii="Arial" w:cs="Arial" w:eastAsia="Arial" w:hAnsi="Arial"/>
                <w:sz w:val="18"/>
                <w:szCs w:val="18"/>
                <w:color w:val="auto"/>
              </w:rPr>
              <w:t>5,899</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3,762</w:t>
            </w:r>
          </w:p>
        </w:tc>
      </w:tr>
      <w:tr>
        <w:trPr>
          <w:trHeight w:val="27"/>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40,854</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34,885</w:t>
            </w:r>
          </w:p>
        </w:tc>
      </w:tr>
      <w:tr>
        <w:trPr>
          <w:trHeight w:val="486"/>
        </w:trPr>
        <w:tc>
          <w:tcPr>
            <w:tcW w:w="8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6—SHAREHOLDERS' EQUITY</w:t>
            </w: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378"/>
        </w:trPr>
        <w:tc>
          <w:tcPr>
            <w:tcW w:w="8340" w:type="dxa"/>
            <w:vAlign w:val="bottom"/>
          </w:tcPr>
          <w:p>
            <w:pPr>
              <w:ind w:left="340"/>
              <w:spacing w:after="0"/>
              <w:rPr>
                <w:sz w:val="20"/>
                <w:szCs w:val="20"/>
                <w:color w:val="auto"/>
              </w:rPr>
            </w:pPr>
            <w:r>
              <w:rPr>
                <w:rFonts w:ascii="Arial" w:cs="Arial" w:eastAsia="Arial" w:hAnsi="Arial"/>
                <w:sz w:val="18"/>
                <w:szCs w:val="18"/>
                <w:color w:val="auto"/>
                <w:w w:val="98"/>
              </w:rPr>
              <w:t xml:space="preserve">Basic and diluted income per share was determined based on the following share data </w:t>
            </w:r>
            <w:r>
              <w:rPr>
                <w:rFonts w:ascii="Arial" w:cs="Arial" w:eastAsia="Arial" w:hAnsi="Arial"/>
                <w:sz w:val="18"/>
                <w:szCs w:val="18"/>
                <w:i w:val="1"/>
                <w:iCs w:val="1"/>
                <w:color w:val="auto"/>
                <w:w w:val="98"/>
              </w:rPr>
              <w:t>(in thousands)</w:t>
            </w:r>
            <w:r>
              <w:rPr>
                <w:rFonts w:ascii="Arial" w:cs="Arial" w:eastAsia="Arial" w:hAnsi="Arial"/>
                <w:sz w:val="18"/>
                <w:szCs w:val="18"/>
                <w:color w:val="auto"/>
                <w:w w:val="98"/>
              </w:rPr>
              <w:t>:</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2"/>
        </w:trPr>
        <w:tc>
          <w:tcPr>
            <w:tcW w:w="8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11,931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11,304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260" w:type="dxa"/>
            <w:vAlign w:val="bottom"/>
          </w:tcPr>
          <w:p>
            <w:pPr>
              <w:spacing w:after="0"/>
              <w:rPr>
                <w:sz w:val="21"/>
                <w:szCs w:val="21"/>
                <w:color w:val="auto"/>
              </w:rPr>
            </w:pP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840</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693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12,873</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12,165</w:t>
            </w:r>
          </w:p>
        </w:tc>
      </w:tr>
      <w:tr>
        <w:trPr>
          <w:trHeight w:val="34"/>
        </w:trPr>
        <w:tc>
          <w:tcPr>
            <w:tcW w:w="8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 shares related to potentially dilutive securities were excluded from the calculation of diluted income per share for the three months ended March 31, 2016 and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each of January 2010, May 2014, January 2016 and February 2016, the board of directors authorized and the Company announced the repurchase of up to $10.0 million, $10.0 million, $50.0 million and $40.0 million, respectively, of LendingTree's common stock. During the three months ended March 31, 2016 and 2015, the Company purchased 580,014 and 5,250 shares,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respectively, of its common stock pursuant to this stock repurchase program. At March 31, 2016, approximately $56.7 million of the previous authorizations to repurchase common stock remain available for the Company to purchase its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7—STOCK-BASED COMPENSATION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516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96"/>
              </w:rPr>
              <w:t>2016</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726</w:t>
            </w:r>
          </w:p>
        </w:tc>
        <w:tc>
          <w:tcPr>
            <w:tcW w:w="34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1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1,310</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556</w:t>
            </w:r>
          </w:p>
        </w:tc>
        <w:tc>
          <w:tcPr>
            <w:tcW w:w="34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15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2,633</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2,336</w:t>
            </w:r>
          </w:p>
        </w:tc>
        <w:tc>
          <w:tcPr>
            <w:tcW w:w="0" w:type="dxa"/>
            <w:vAlign w:val="bottom"/>
          </w:tcPr>
          <w:p>
            <w:pPr>
              <w:spacing w:after="0"/>
              <w:rPr>
                <w:sz w:val="1"/>
                <w:szCs w:val="1"/>
                <w:color w:val="auto"/>
              </w:rPr>
            </w:pPr>
          </w:p>
        </w:tc>
      </w:tr>
      <w:tr>
        <w:trPr>
          <w:trHeight w:val="432"/>
        </w:trPr>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Stock Options</w:t>
            </w:r>
          </w:p>
        </w:tc>
        <w:tc>
          <w:tcPr>
            <w:tcW w:w="15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stock options is as follows:</w:t>
            </w: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180" w:type="dxa"/>
            <w:vAlign w:val="bottom"/>
            <w:vMerge w:val="restart"/>
          </w:tcPr>
          <w:p>
            <w:pPr>
              <w:jc w:val="center"/>
              <w:ind w:right="21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Options</w:t>
            </w:r>
          </w:p>
        </w:tc>
        <w:tc>
          <w:tcPr>
            <w:tcW w:w="320" w:type="dxa"/>
            <w:vAlign w:val="bottom"/>
          </w:tcPr>
          <w:p>
            <w:pPr>
              <w:spacing w:after="0"/>
              <w:rPr>
                <w:sz w:val="12"/>
                <w:szCs w:val="12"/>
                <w:color w:val="auto"/>
              </w:rPr>
            </w:pPr>
          </w:p>
        </w:tc>
        <w:tc>
          <w:tcPr>
            <w:tcW w:w="15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11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3"/>
              </w:rPr>
              <w:t>Term</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4"/>
                <w:szCs w:val="14"/>
                <w:b w:val="1"/>
                <w:bCs w:val="1"/>
                <w:i w:val="1"/>
                <w:iCs w:val="1"/>
                <w:color w:val="auto"/>
                <w:w w:val="89"/>
              </w:rPr>
              <w:t>(per option)</w:t>
            </w:r>
          </w:p>
        </w:tc>
        <w:tc>
          <w:tcPr>
            <w:tcW w:w="1300" w:type="dxa"/>
            <w:vAlign w:val="bottom"/>
          </w:tcPr>
          <w:p>
            <w:pPr>
              <w:jc w:val="center"/>
              <w:ind w:right="220"/>
              <w:spacing w:after="0"/>
              <w:rPr>
                <w:sz w:val="20"/>
                <w:szCs w:val="20"/>
                <w:color w:val="auto"/>
              </w:rPr>
            </w:pPr>
            <w:r>
              <w:rPr>
                <w:rFonts w:ascii="Arial" w:cs="Arial" w:eastAsia="Arial" w:hAnsi="Arial"/>
                <w:sz w:val="14"/>
                <w:szCs w:val="14"/>
                <w:b w:val="1"/>
                <w:bCs w:val="1"/>
                <w:i w:val="1"/>
                <w:iCs w:val="1"/>
                <w:color w:val="auto"/>
                <w:w w:val="89"/>
              </w:rPr>
              <w:t>(in years)</w:t>
            </w:r>
          </w:p>
        </w:tc>
        <w:tc>
          <w:tcPr>
            <w:tcW w:w="340" w:type="dxa"/>
            <w:vAlign w:val="bottom"/>
          </w:tcPr>
          <w:p>
            <w:pPr>
              <w:spacing w:after="0"/>
              <w:rPr>
                <w:sz w:val="16"/>
                <w:szCs w:val="16"/>
                <w:color w:val="auto"/>
              </w:rPr>
            </w:pPr>
          </w:p>
        </w:tc>
        <w:tc>
          <w:tcPr>
            <w:tcW w:w="1180" w:type="dxa"/>
            <w:vAlign w:val="bottom"/>
          </w:tcPr>
          <w:p>
            <w:pPr>
              <w:jc w:val="center"/>
              <w:ind w:right="197"/>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2016</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1,918,182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18.85</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53,745</w:t>
            </w:r>
          </w:p>
        </w:tc>
        <w:tc>
          <w:tcPr>
            <w:tcW w:w="320" w:type="dxa"/>
            <w:vAlign w:val="bottom"/>
          </w:tcPr>
          <w:p>
            <w:pPr>
              <w:spacing w:after="0"/>
              <w:rPr>
                <w:sz w:val="23"/>
                <w:szCs w:val="23"/>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70.77</w:t>
            </w: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(1,244)</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33.59</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(2,653)</w:t>
            </w:r>
          </w:p>
        </w:tc>
        <w:tc>
          <w:tcPr>
            <w:tcW w:w="320" w:type="dxa"/>
            <w:vAlign w:val="bottom"/>
          </w:tcPr>
          <w:p>
            <w:pPr>
              <w:spacing w:after="0"/>
              <w:rPr>
                <w:sz w:val="21"/>
                <w:szCs w:val="21"/>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73.42</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March 31, 2016</w:t>
            </w: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1,968,030</w:t>
            </w: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5.79</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152,870</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March 31, 2016</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947,851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8.98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84,167</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$97.78 on the last trading day of the quarter ended March 31, 2016 and the exercise price, multiplied by the number of shares covered by in-the-money options) that would have been received by the option holders had all option holders exercised their options on March 31, 2016. The intrinsic value changes based on the market value of the Company's common stock.</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three months ended March 31, 2016, the Company granted stock options to certain employees with a weighted average grant date fair value per share of $35.08 and a vesting period of three years from the grant date.</w:t>
      </w:r>
    </w:p>
    <w:p>
      <w:pPr>
        <w:spacing w:after="0" w:line="116"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7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 years</w:t>
            </w:r>
          </w:p>
        </w:tc>
      </w:tr>
      <w:tr>
        <w:trPr>
          <w:trHeight w:val="270"/>
        </w:trPr>
        <w:tc>
          <w:tcPr>
            <w:tcW w:w="33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7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3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7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 - 52%</w:t>
            </w:r>
          </w:p>
        </w:tc>
      </w:tr>
      <w:tr>
        <w:trPr>
          <w:trHeight w:val="270"/>
        </w:trPr>
        <w:tc>
          <w:tcPr>
            <w:tcW w:w="330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730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1.37% - 1.90%</w:t>
            </w:r>
          </w:p>
        </w:tc>
      </w:tr>
      <w:tr>
        <w:trPr>
          <w:trHeight w:val="453"/>
        </w:trPr>
        <w:tc>
          <w:tcPr>
            <w:tcW w:w="3300" w:type="dxa"/>
            <w:vAlign w:val="bottom"/>
          </w:tcPr>
          <w:p>
            <w:pPr>
              <w:spacing w:after="0"/>
              <w:rPr>
                <w:sz w:val="24"/>
                <w:szCs w:val="24"/>
                <w:color w:val="auto"/>
              </w:rPr>
            </w:pPr>
          </w:p>
        </w:tc>
        <w:tc>
          <w:tcPr>
            <w:tcW w:w="7300" w:type="dxa"/>
            <w:vAlign w:val="bottom"/>
          </w:tcPr>
          <w:p>
            <w:pPr>
              <w:jc w:val="right"/>
              <w:ind w:right="553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stock options granted in 2016,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Restricted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outstanding nonvested restricted stock units ("RSUs") and restricted stock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Number of Units</w:t>
            </w:r>
          </w:p>
        </w:tc>
        <w:tc>
          <w:tcPr>
            <w:tcW w:w="240" w:type="dxa"/>
            <w:vAlign w:val="bottom"/>
          </w:tcPr>
          <w:p>
            <w:pPr>
              <w:spacing w:after="0"/>
              <w:rPr>
                <w:sz w:val="13"/>
                <w:szCs w:val="13"/>
                <w:color w:val="auto"/>
              </w:rPr>
            </w:pPr>
          </w:p>
        </w:tc>
        <w:tc>
          <w:tcPr>
            <w:tcW w:w="1640" w:type="dxa"/>
            <w:vAlign w:val="bottom"/>
            <w:gridSpan w:val="2"/>
          </w:tcPr>
          <w:p>
            <w:pPr>
              <w:jc w:val="center"/>
              <w:ind w:right="11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left="286"/>
              <w:spacing w:after="0"/>
              <w:rPr>
                <w:sz w:val="20"/>
                <w:szCs w:val="20"/>
                <w:color w:val="auto"/>
              </w:rPr>
            </w:pPr>
            <w:r>
              <w:rPr>
                <w:rFonts w:ascii="Arial" w:cs="Arial" w:eastAsia="Arial" w:hAnsi="Arial"/>
                <w:sz w:val="14"/>
                <w:szCs w:val="14"/>
                <w:b w:val="1"/>
                <w:bCs w:val="1"/>
                <w:i w:val="1"/>
                <w:iCs w:val="1"/>
                <w:color w:val="auto"/>
                <w:w w:val="95"/>
              </w:rPr>
              <w:t>(per unit)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2016</w:t>
            </w: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237,377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43.13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52,110</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70.54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(110,477)</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27.81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(5,692)</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57.05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March 31, 2016</w:t>
            </w:r>
          </w:p>
        </w:tc>
        <w:tc>
          <w:tcPr>
            <w:tcW w:w="7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173,318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60.69</w:t>
            </w:r>
          </w:p>
        </w:tc>
        <w:tc>
          <w:tcPr>
            <w:tcW w:w="0" w:type="dxa"/>
            <w:vAlign w:val="bottom"/>
          </w:tcPr>
          <w:p>
            <w:pPr>
              <w:spacing w:after="0"/>
              <w:rPr>
                <w:sz w:val="1"/>
                <w:szCs w:val="1"/>
                <w:color w:val="auto"/>
              </w:rPr>
            </w:pPr>
          </w:p>
        </w:tc>
      </w:tr>
      <w:tr>
        <w:trPr>
          <w:trHeight w:val="548"/>
        </w:trPr>
        <w:tc>
          <w:tcPr>
            <w:tcW w:w="7660" w:type="dxa"/>
            <w:vAlign w:val="bottom"/>
            <w:tcBorders>
              <w:top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240" w:type="dxa"/>
            <w:vAlign w:val="bottom"/>
            <w:tcBorders>
              <w:top w:val="single" w:sz="8" w:color="auto"/>
              <w:bottom w:val="single" w:sz="8" w:color="auto"/>
            </w:tcBorders>
            <w:gridSpan w:val="3"/>
          </w:tcPr>
          <w:p>
            <w:pPr>
              <w:jc w:val="right"/>
              <w:ind w:right="746"/>
              <w:spacing w:after="0"/>
              <w:rPr>
                <w:sz w:val="20"/>
                <w:szCs w:val="20"/>
                <w:color w:val="auto"/>
              </w:rPr>
            </w:pPr>
            <w:r>
              <w:rPr>
                <w:rFonts w:ascii="Arial" w:cs="Arial" w:eastAsia="Arial" w:hAnsi="Arial"/>
                <w:sz w:val="14"/>
                <w:szCs w:val="14"/>
                <w:b w:val="1"/>
                <w:bCs w:val="1"/>
                <w:color w:val="auto"/>
              </w:rPr>
              <w:t>Restricted Stock</w:t>
            </w:r>
          </w:p>
        </w:tc>
        <w:tc>
          <w:tcPr>
            <w:tcW w:w="5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3"/>
                <w:szCs w:val="13"/>
                <w:color w:val="auto"/>
              </w:rPr>
            </w:pPr>
          </w:p>
        </w:tc>
        <w:tc>
          <w:tcPr>
            <w:tcW w:w="1640" w:type="dxa"/>
            <w:vAlign w:val="bottom"/>
            <w:gridSpan w:val="2"/>
          </w:tcPr>
          <w:p>
            <w:pPr>
              <w:jc w:val="center"/>
              <w:ind w:right="11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left="286"/>
              <w:spacing w:after="0"/>
              <w:rPr>
                <w:sz w:val="20"/>
                <w:szCs w:val="20"/>
                <w:color w:val="auto"/>
              </w:rPr>
            </w:pPr>
            <w:r>
              <w:rPr>
                <w:rFonts w:ascii="Arial" w:cs="Arial" w:eastAsia="Arial" w:hAnsi="Arial"/>
                <w:sz w:val="14"/>
                <w:szCs w:val="14"/>
                <w:b w:val="1"/>
                <w:bCs w:val="1"/>
                <w:i w:val="1"/>
                <w:iCs w:val="1"/>
                <w:color w:val="auto"/>
                <w:w w:val="91"/>
              </w:rPr>
              <w:t>(per share)</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2016</w:t>
            </w: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68,762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23.60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(20,834)</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17.49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March 31, 2016</w:t>
            </w:r>
          </w:p>
        </w:tc>
        <w:tc>
          <w:tcPr>
            <w:tcW w:w="7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47,928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26.25</w:t>
            </w:r>
          </w:p>
        </w:tc>
        <w:tc>
          <w:tcPr>
            <w:tcW w:w="0" w:type="dxa"/>
            <w:vAlign w:val="bottom"/>
          </w:tcPr>
          <w:p>
            <w:pPr>
              <w:spacing w:after="0"/>
              <w:rPr>
                <w:sz w:val="1"/>
                <w:szCs w:val="1"/>
                <w:color w:val="auto"/>
              </w:rPr>
            </w:pPr>
          </w:p>
        </w:tc>
      </w:tr>
      <w:tr>
        <w:trPr>
          <w:trHeight w:val="486"/>
        </w:trPr>
        <w:tc>
          <w:tcPr>
            <w:tcW w:w="76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8—INCOME TAXES</w:t>
            </w: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3"/>
          </w:tcPr>
          <w:p>
            <w:pPr>
              <w:jc w:val="right"/>
              <w:ind w:right="22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46"/>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4"/>
          </w:tcPr>
          <w:p>
            <w:pPr>
              <w:jc w:val="right"/>
              <w:ind w:right="370"/>
              <w:spacing w:after="0"/>
              <w:rPr>
                <w:sz w:val="20"/>
                <w:szCs w:val="20"/>
                <w:color w:val="auto"/>
              </w:rPr>
            </w:pPr>
            <w:r>
              <w:rPr>
                <w:rFonts w:ascii="Arial" w:cs="Arial" w:eastAsia="Arial" w:hAnsi="Arial"/>
                <w:sz w:val="14"/>
                <w:szCs w:val="14"/>
                <w:b w:val="1"/>
                <w:bCs w:val="1"/>
                <w:i w:val="1"/>
                <w:iCs w:val="1"/>
                <w:color w:val="auto"/>
                <w:w w:val="97"/>
              </w:rPr>
              <w:t>(in thousands, except percentages)</w:t>
            </w:r>
          </w:p>
        </w:tc>
        <w:tc>
          <w:tcPr>
            <w:tcW w:w="0" w:type="dxa"/>
            <w:vAlign w:val="bottom"/>
          </w:tcPr>
          <w:p>
            <w:pPr>
              <w:spacing w:after="0"/>
              <w:rPr>
                <w:sz w:val="1"/>
                <w:szCs w:val="1"/>
                <w:color w:val="auto"/>
              </w:rPr>
            </w:pPr>
          </w:p>
        </w:tc>
      </w:tr>
      <w:tr>
        <w:trPr>
          <w:trHeight w:val="66"/>
        </w:trPr>
        <w:tc>
          <w:tcPr>
            <w:tcW w:w="7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gridSpan w:val="2"/>
          </w:tcPr>
          <w:p>
            <w:pPr>
              <w:spacing w:after="0"/>
              <w:rPr>
                <w:sz w:val="5"/>
                <w:szCs w:val="5"/>
                <w:color w:val="auto"/>
              </w:rPr>
            </w:pPr>
          </w:p>
        </w:tc>
        <w:tc>
          <w:tcPr>
            <w:tcW w:w="1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100" w:type="dxa"/>
            <w:vAlign w:val="bottom"/>
            <w:tcBorders>
              <w:bottom w:val="single" w:sz="8" w:color="CCEEFF"/>
            </w:tcBorders>
            <w:shd w:val="clear" w:color="auto" w:fill="CCEEFF"/>
          </w:tcPr>
          <w:p>
            <w:pPr>
              <w:jc w:val="right"/>
              <w:ind w:right="70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(307)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gridSpan w:val="3"/>
          </w:tcPr>
          <w:p>
            <w:pPr>
              <w:jc w:val="right"/>
              <w:ind w:right="986"/>
              <w:spacing w:after="0"/>
              <w:rPr>
                <w:sz w:val="20"/>
                <w:szCs w:val="20"/>
                <w:color w:val="auto"/>
              </w:rPr>
            </w:pPr>
            <w:r>
              <w:rPr>
                <w:rFonts w:ascii="Arial" w:cs="Arial" w:eastAsia="Arial" w:hAnsi="Arial"/>
                <w:sz w:val="18"/>
                <w:szCs w:val="18"/>
                <w:i w:val="1"/>
                <w:iCs w:val="1"/>
                <w:color w:val="auto"/>
              </w:rPr>
              <w:t>41.0%</w:t>
            </w:r>
          </w:p>
        </w:tc>
        <w:tc>
          <w:tcPr>
            <w:tcW w:w="540" w:type="dxa"/>
            <w:vAlign w:val="bottom"/>
          </w:tcPr>
          <w:p>
            <w:pPr>
              <w:jc w:val="right"/>
              <w:spacing w:after="0"/>
              <w:rPr>
                <w:sz w:val="20"/>
                <w:szCs w:val="20"/>
                <w:color w:val="auto"/>
              </w:rPr>
            </w:pPr>
            <w:r>
              <w:rPr>
                <w:rFonts w:ascii="Arial" w:cs="Arial" w:eastAsia="Arial" w:hAnsi="Arial"/>
                <w:sz w:val="18"/>
                <w:szCs w:val="18"/>
                <w:i w:val="1"/>
                <w:iCs w:val="1"/>
                <w:color w:val="auto"/>
              </w:rPr>
              <w:t>5.4%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999999"/>
            </w:tcBorders>
          </w:tcPr>
          <w:p>
            <w:pPr>
              <w:spacing w:after="0"/>
              <w:rPr>
                <w:sz w:val="2"/>
                <w:szCs w:val="2"/>
                <w:color w:val="auto"/>
              </w:rPr>
            </w:pPr>
          </w:p>
        </w:tc>
        <w:tc>
          <w:tcPr>
            <w:tcW w:w="760" w:type="dxa"/>
            <w:vAlign w:val="bottom"/>
            <w:tcBorders>
              <w:bottom w:val="single" w:sz="8" w:color="999999"/>
            </w:tcBorders>
          </w:tcPr>
          <w:p>
            <w:pPr>
              <w:spacing w:after="0"/>
              <w:rPr>
                <w:sz w:val="2"/>
                <w:szCs w:val="2"/>
                <w:color w:val="auto"/>
              </w:rPr>
            </w:pPr>
          </w:p>
        </w:tc>
        <w:tc>
          <w:tcPr>
            <w:tcW w:w="22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240" w:type="dxa"/>
            <w:vAlign w:val="bottom"/>
            <w:tcBorders>
              <w:bottom w:val="single" w:sz="8" w:color="999999"/>
            </w:tcBorders>
          </w:tcPr>
          <w:p>
            <w:pPr>
              <w:spacing w:after="0"/>
              <w:rPr>
                <w:sz w:val="2"/>
                <w:szCs w:val="2"/>
                <w:color w:val="auto"/>
              </w:rPr>
            </w:pPr>
          </w:p>
        </w:tc>
        <w:tc>
          <w:tcPr>
            <w:tcW w:w="1100" w:type="dxa"/>
            <w:vAlign w:val="bottom"/>
            <w:tcBorders>
              <w:bottom w:val="single" w:sz="8" w:color="999999"/>
            </w:tcBorders>
          </w:tcPr>
          <w:p>
            <w:pPr>
              <w:spacing w:after="0"/>
              <w:rPr>
                <w:sz w:val="2"/>
                <w:szCs w:val="2"/>
                <w:color w:val="auto"/>
              </w:rPr>
            </w:pPr>
          </w:p>
        </w:tc>
        <w:tc>
          <w:tcPr>
            <w:tcW w:w="54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2016, the effective tax rate varied from the federal statutory rate of 35% primarily due to state taxes.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months ended March 31, 2015, the effective tax rate varied from the federal statutory rate of 35% primarily due to the existence of a valuation allowance that was previously provided to offset the Company's net deferred tax asset, state taxes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and the federal Alternative Minimum Tax. During the fourth quarter of 2015, the Company released the majority of the valuation allowance.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9—REVOLVING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22, 2015, the Company's wholly-owned subsidiary, LendingTree, LLC, entered into a $125.0 million five-year senior secured revolving credit facility which matures on October 22, 2020 (the “Revolving Credit Facility”). The proceeds of the Revolving Credit Facility can be used to finance the working capital needs, capital expenditures and general corporate purposes, including to finance permitted acquisitions. As of March 31, 2016, the Company does not have any borrowings outstanding under the Revolving Credit Facility.</w:t>
      </w:r>
    </w:p>
    <w:p>
      <w:pPr>
        <w:spacing w:after="0" w:line="13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Up to $10.0 million of the Revolving Credit Facility will be available for short-term loans, referred to as swingline loans. Additionally, up to $10.0 million of the Revolving Credit Facility will be available for the issuance of letters of credit. Under certain conditions, the Company will be permitted to add one or more term loans and/or increase revolving commitments under the Revolving Credit Facility up to an aggregate amount of $50.0 million.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borrowings under the Revolving Credit Facility bear interest at annual rates that, at the Company’s option, will be either:</w:t>
      </w:r>
    </w:p>
    <w:p>
      <w:pPr>
        <w:spacing w:after="0" w:line="171" w:lineRule="exact"/>
        <w:rPr>
          <w:sz w:val="20"/>
          <w:szCs w:val="20"/>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SunTrust Bank, (b) the federal funds effective rate plus 0.5% and (c) the LIBO rate (defined below) on a daily basis applicable for an interest period of one month plus 1.0% and (ii) an applicable percentage of 1.0% to 2.0% based on the funded debt to consolidated EBITDA ratio; or</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2.0% to 3.0% based on the funded debt to consolidated EBITDA ratio.</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Revolving Credit Facility contains certain restrictive financial covenants, which include a funded debt to consolidated EBITDA ratio and a consolidated EBITDA to interest expense ratio. In addition, the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March 31, 2016.</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Revolving Credit Facility requires LendingTree, LLC to pledge as collateral, subject to certain customary exclusions, 100% of its assets, including 100% of its equity in all of its subsidiaries. The obligations under this facility are unconditionally guaranteed on a senior basis by LendingTree, Inc. and specific subsidiaries of LendingTree, LLC, which guaranties are secured by a pledge as collateral, subject to certain customary exclusions, of 100% of each of such guarantor's assets, including 100% of its equity in all of its subsidiaries.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required to pay an unused commitment fee quarterly in arrears on the difference between committed amounts and amounts actually borrowed under the Revolving Credit Facility equal to an applicable percentage of 0.25% to 0.5% per annum based on a funded debt to consolidated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2.0% to 3.0% based on the funded debt to consolidated EBITDA ratio. The letter of credit fronting fee is .125% per annum on the face amount of each letter of credit.</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incurred debt issuance costs of $1.2 million for the Revolving Credit Facility, which is included in prepaid and other current assets and other non-current assets in the Company's consolidated balance sheet and is being amortized to interest expense over the life of the Revolving Credit Facility of five years.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10,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March 31, 2016 and December 31, 2015, the Company had a litigation settlement accrual of $0.7 million and $0.6 million, respectively, in continuing operations and $4.2 million and $3.6 million, respectively, in discontinued operations. The litigation settlement accrual relates to litigation matters that were either settled or a firm offer for settlement was extended, thereby establishing an accrual amount that is both probable and reasonably estimable.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Zillow</w:t>
      </w:r>
    </w:p>
    <w:p>
      <w:pPr>
        <w:spacing w:after="0" w:line="17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LendingTree v. Zillow, Inc., et al. Civil Action No. 3:10-cv-439</w:t>
      </w:r>
      <w:r>
        <w:rPr>
          <w:rFonts w:ascii="Arial" w:cs="Arial" w:eastAsia="Arial" w:hAnsi="Arial"/>
          <w:sz w:val="16"/>
          <w:szCs w:val="16"/>
          <w:color w:val="auto"/>
        </w:rPr>
        <w:t>. On September 8, 2010, the Company filed an action for patent infringement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Western District of North Carolina against Zillow, Inc., NexTag, Inc., Quinstreet, Inc., Quinstreet Media, Inc. and Adchemy, Inc. The complaint was amended to include Leadpoint, Inc. d/b/a Securerights on September 24, 2010. The complaint alleged that each of the defendants infringed one or both of the Company's patents-U.S. Patent No. 6,385,594, entitled "Method and Computer Network for Co-Ordinating a Loan over the Internet," and U.S. Patent No. 6,611,816, entitled "Method and Computer Network for Co-Ordinating a Loan over the Internet." The defendants in this action asserted various defenses and counterclaims against the Company, including the assertion by certain of the defendants of counterclaims alleging illegal monopolization via the Company's maintenance of the asserted patents. Defendant NexTag asserted defenses of laches and equitable estoppel. In July 2011, the Company reached a settlement agreement with Leadpoint, Inc., pursuant to which all claims against Leadpoint, Inc. and all counterclaims against the Company by Leadpoint, Inc. were dismissed. In November 2012, the Company reached a settlement agreement with Quinstreet, Inc. and Quinstreet Media, Inc. (collectively, the "Quinstreet Parties"), pursuant to which all claims against the Quinstreet Parties and all counterclaims against the Company by the Quinstreet Parties were dismissed. After an unsuccessful attempt to reach settlement through mediation with the remaining parties, this matter went to trial beginning in February 2014, and on March 12, 2014, the jury returned a verdict. The jury found that the defendants Zillow, Inc., Adchemy, Inc. and NexTag, Inc. did not infringe the two patents referenced above and determined that those patents are invalid due to an inventorship defect, and the court found that NexTag was entitled to defense of laches and equitable estoppel. The jury found in the Company's favor on the defendants' counterclaims alleging inequitable conduct and antitrust violations. Judgment was entered on March 31, 2014. After the court entered judgment, on May 27, 2014, the Company reached a settlement agreement with defendant Adchemy, Inc., including an agreement to dismiss and withdraw all claims, counterclaims, and motions between the Company and Adchemy, Inc. As a result, a joint and voluntary dismissal was filed June 12, 2014 with respect to claims between the Company and Adchemy. The parties filed various post-trial motions; in particular, defendants collectively sought up to $9.7 million in fees and costs. On October 9, 2014, the court denied the Company's post-trial motion for judgment as a matter of law and denied Zillow's post-trial motions for sanctions and attorneys' fees. The court also denied in part and granted in part NexTag's post-trial motion for attorneys' fees, awarding NexTag a portion of its attorney's fees and costs totaling $2.3 million, plus interest. The trial and post-trial motion process is now complete.</w:t>
      </w:r>
    </w:p>
    <w:p>
      <w:pPr>
        <w:spacing w:after="0" w:line="12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November 2014, the Company filed a notice of appeal to the U.S. Court of Appeals for the Federal Circuit with respect to the jury verdict concerning Zillow, Inc. and NexTag, Inc. and the award of attorneys' fees. In March 2015, the U.S. Court of Appeals for the Federal Circuit granted the Company's motion to stay appellate briefing pending an </w:t>
      </w:r>
      <w:r>
        <w:rPr>
          <w:rFonts w:ascii="Arial" w:cs="Arial" w:eastAsia="Arial" w:hAnsi="Arial"/>
          <w:sz w:val="17"/>
          <w:szCs w:val="17"/>
          <w:i w:val="1"/>
          <w:iCs w:val="1"/>
          <w:color w:val="auto"/>
        </w:rPr>
        <w:t>en banc</w:t>
      </w:r>
      <w:r>
        <w:rPr>
          <w:rFonts w:ascii="Arial" w:cs="Arial" w:eastAsia="Arial" w:hAnsi="Arial"/>
          <w:sz w:val="17"/>
          <w:szCs w:val="17"/>
          <w:color w:val="auto"/>
        </w:rPr>
        <w:t xml:space="preserve"> review by such court of the laches defense in an unrelated patent infringement matter and ruled in favor of Zillow, Inc. on an immaterial amount of costs related to the trial process. In June 2015, the Company reached a settlement agreement for $1.1 million with defendant NexTag pursuant to which the Company dismissed its appeal of the jury verdict and the award of attorney's fees concerning NexTag, and NexTag dismissed its cross-appeal and claims relating to the jury verdict and the award of attorneys' fees. In July 2015, the stay was lifted on the Company's appeal with respect to the jury verdict concerning Zillow, Inc. As of February 2016, the appeal was fully briefed.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Next Advisor, Inc.</w:t>
      </w:r>
    </w:p>
    <w:p>
      <w:pPr>
        <w:spacing w:after="0" w:line="171"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i w:val="1"/>
          <w:iCs w:val="1"/>
          <w:color w:val="auto"/>
        </w:rPr>
        <w:t>Next Advisor, Inc. v. LendingTree, Inc. and LendingTree, LLC, No. 15-cvs-20775 (N.C. Super. Ct.)</w:t>
      </w:r>
      <w:r>
        <w:rPr>
          <w:rFonts w:ascii="Arial" w:cs="Arial" w:eastAsia="Arial" w:hAnsi="Arial"/>
          <w:sz w:val="18"/>
          <w:szCs w:val="18"/>
          <w:color w:val="auto"/>
        </w:rPr>
        <w:t>. On November 6, 2015, the plaintiff filed this action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LendingTree, Inc. and LendingTree, LLC (together "LendingTree"). The plaintiff generally alleges that LendingTree breached a non-disclosure agreement and misappropriated trade secrets in the context of a potential business acquisition of the plaintiff by LendingTree. Based upon these allegations, the plaintiff asserts claims for breach of contract, misappropriation of trade secrets and violation of North Carolina Unfair and Deceptive Trade Practices Act. The plaintiff seeks damages, attorneys' fees and injunctive relief.</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16, 2015, LendingTree filed its answer to the plaintiff's complaint, denying the material allegations and asserting numerous defenses thereto. Discovery is ongoing in this matter. LendingTree believes that the plaintiff's allegations lack merit and intends to vigorously defend this action. A reserve of $0.1 million for this matter is included in the accompanying consolidated balance sheet as of March 31, 2016.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11, 2011, the Massachusetts Division of Banks (the "Division") delivered a Report of Examination/Inspection to LendingTree, LLC,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LLC would enter into the Consent Agreement and Order, they would agree not to pursue any analogous allegations that they otherwise might assert. None of the Joining Regulators have asserted any such allegations.</w:t>
      </w:r>
    </w:p>
    <w:p>
      <w:pPr>
        <w:spacing w:after="0" w:line="85"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The proposed Consent Agreement and Order calls for a fine to be allocated among the Division and the Joining Regulators and for LendingTree, LLC to adopt various new procedures and practices. The Company has commenced negotiations toward an acceptable Consent Agreement and Order. It does not believe its mortgage marketplace business violated any federal or state mortgage lending laws; nor does it believe that any past operations of the mortgage business have resulted in a material violation of any such laws. Should the Division or any Joining Regulator bring any actions relating to the matters alleged in the February 2011 Report of Examination/Inspection, the Company intends to defend against such actions vigorously. The range of possible loss is estimated to be between $0.5 million and $6.5 million, and a reserve of $0.5 million has been established for this matter in the accompanying consolidated balance sheet as of March 31, 2016.</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Dijkstra</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Lijkel Dijkstra v. Harry Carenbauer, Home Loan Center, Inc. et al., No. 5:11-cv-152-JPB (U.S. Dist. Ct., N.D.WV). </w:t>
      </w:r>
      <w:r>
        <w:rPr>
          <w:rFonts w:ascii="Arial" w:cs="Arial" w:eastAsia="Arial" w:hAnsi="Arial"/>
          <w:sz w:val="17"/>
          <w:szCs w:val="17"/>
          <w:color w:val="auto"/>
        </w:rPr>
        <w:t>In November 2008, the plaintiffs</w:t>
      </w:r>
      <w:r>
        <w:rPr>
          <w:rFonts w:ascii="Arial" w:cs="Arial" w:eastAsia="Arial" w:hAnsi="Arial"/>
          <w:sz w:val="17"/>
          <w:szCs w:val="17"/>
          <w:i w:val="1"/>
          <w:iCs w:val="1"/>
          <w:color w:val="auto"/>
        </w:rPr>
        <w:t xml:space="preserve"> </w:t>
      </w:r>
      <w:r>
        <w:rPr>
          <w:rFonts w:ascii="Arial" w:cs="Arial" w:eastAsia="Arial" w:hAnsi="Arial"/>
          <w:sz w:val="17"/>
          <w:szCs w:val="17"/>
          <w:color w:val="auto"/>
        </w:rPr>
        <w:t>filed a putative class action in Circuit Court of Ohio County, West Virginia against Harry Carenbauer, HLC,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The plaintiffs assert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included consumers with mortgage loans in effect any time after November 8, 2007 who obtained such loans through HLC, and whose loans were closed by persons not admitted to the practice of law in West Virginia or by persons not under the direct supervision of a lawyer admitted to the practice of law in West Virginia. In February 2014, the court granted and denied certain of each party's motions for summary judgment. With respect to the Class Claims, the court granted plaintiff's motions for summary judgment with respect to declaratory judgment, unjust enrichment and violation of the CCPA. The court granted HLC's motion for summary judgment with respect to contempt. In addition, the court denied HLC's motion to decertify the class. With respect to the claims applicable to the named plaintiff only (the "Individual Claims"), HLC's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motions for summary judgment were granted with respect to conversion, breach of fiduciary duty, intentional misrepresentation, negligent misrepresentation and outrage. HLC and the plaintiff settled the remaining Individual Claims in June 2014.</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July 2014, the court awarded damages to plaintiffs in the amount of $2.8 million (the "Class Damages Award"). HLC filed a notice of appeal in August 2014 and in September 2014, plaintiffs filed a motion to dismiss the appeal. In December 2014, the U.S. Court of Appeals for the Fourth Circuit determined that the district court's order was not yet final, and, accordingly, HLC's appeal was dismissed. In July 2015, the district court ordered that the Class Damages Award be allocated such that two-thirds of the Class Damages Award would be paid to the class members and one-third of the Class Damages would be paid to the plaintiffs' attorneys. In addition, the court ordered that HLC reimburse the class for attorneys' fees by making an incremental payment of $389,500 attorneys' fee award be paid by HLC to the plaintiffs' attorneys. The judge also awarded prejudgment interest to Plaintiffs. On July 30, 2015, the district court judge entered a final judgment order in this matter. On August 27, 2015, HLC filed its notice of appeal to the U.S. Court of Appeals for the Fourth Circuit with respect to the final judgment, the order granting attorneys' fees, and the orders on class damages, the pretrial conference, motions and class certification. In January 2016, the parties reached a verbal settlement agreement with respect to such matters, subject to agreement of non-monetary terms of settlement, execution of a mutually agreeable written settlement agreement, approval of such settlement by the district court judge and fulfillment of certain class notice and administration requirements. A reserve of $3.2 million has been established for this matter in the accompanying consolidated balance sheet as of March 31, 2016, of which some or all may be covered by insurance.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Residential Funding Company, LLC v Home Loan Center, Inc., No. 13-cv-3451 (U.S. Dist. Ct., Minn.). </w:t>
      </w:r>
      <w:r>
        <w:rPr>
          <w:rFonts w:ascii="Arial" w:cs="Arial" w:eastAsia="Arial" w:hAnsi="Arial"/>
          <w:sz w:val="18"/>
          <w:szCs w:val="18"/>
          <w:color w:val="auto"/>
        </w:rPr>
        <w:t>On or about December 16, 2013, Home Loan</w:t>
      </w:r>
      <w:r>
        <w:rPr>
          <w:rFonts w:ascii="Arial" w:cs="Arial" w:eastAsia="Arial" w:hAnsi="Arial"/>
          <w:sz w:val="18"/>
          <w:szCs w:val="18"/>
          <w:i w:val="1"/>
          <w:iCs w:val="1"/>
          <w:color w:val="auto"/>
        </w:rPr>
        <w:t xml:space="preserve"> </w:t>
      </w:r>
      <w:r>
        <w:rPr>
          <w:rFonts w:ascii="Arial" w:cs="Arial" w:eastAsia="Arial" w:hAnsi="Arial"/>
          <w:sz w:val="18"/>
          <w:szCs w:val="18"/>
          <w:color w:val="auto"/>
        </w:rPr>
        <w:t>Center, Inc. was served in the above captioned matter. Generally, Residential Funding Company, LLC ("RFC") seeks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Home Loan Center, in federal and state courts in Minnesota and New York. In each case, Plaintiff claims that the defendant is liable for a portion of the global settlement in RFC’s bankruptcy.</w:t>
      </w:r>
    </w:p>
    <w:p>
      <w:pPr>
        <w:spacing w:after="0" w:line="4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Plaintiff asserts two claims against HLC: (1) breach of contract based on HLC’s alleged breach of representations and warranties concerning the quality and characteristics of the mortgage loans it sold to RFC (Count One); and (2) contractual indemnification for alleged liabilities, losses, and damages incurred by RFC arising out of purported defects in loans that RFC purchased from HSBC and sold to third parties (Count Two). Plaintiff alleges that the “types of defects” contained in the loans it purchased from HLC included “income misrepresentation, employment misrepresentation, appraisal misrepresentations or inaccuracies, undisclosed debt, and missing or inaccurate documents.”</w:t>
      </w:r>
    </w:p>
    <w:p>
      <w:pPr>
        <w:spacing w:after="0" w:line="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HLC filed a Motion to Dismiss under Rule 12(b)(6) of the Federal Rules of Civil Procedure or, in the alternative, a Motion for More Definite Statement under Rule 12(e). On June 25, 2015 the judge denied HLC's motion.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July 9, 2015, HLC filed its answer to RFC’s complaint, denying the material allegations of the complaint and asserting numerous defenses thereto.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Discovery is ongoing in this matter. HLC intends to vigorously defend this action.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Lehman Brothers Holdings Inc. v. 1st Advantage Mortgage, LLC et al., Case No. 08-13555 (SCC) (Bankr. S.D.N.Y.). </w:t>
      </w:r>
      <w:r>
        <w:rPr>
          <w:rFonts w:ascii="Arial" w:cs="Arial" w:eastAsia="Arial" w:hAnsi="Arial"/>
          <w:sz w:val="18"/>
          <w:szCs w:val="18"/>
          <w:color w:val="auto"/>
        </w:rPr>
        <w:t>In February 2016, Lehman Brothers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(“LBHI”) filed an Adversary Complaint against Home Loan Center and approximately 149 other defendants (the "Complaint"). The Complaint generally seeks (1) a declaratory judgment that the settlements entered into by LBHI with Fannie Mae and Freddie Mac as part of LBHI's bankruptcy proceedings gave rise to LBHI's contractual indemnification claims against defendants alleged in the Complaint; (2) indemnification from HLC and the other defendants for losses allegedly incurred by LBHI in respect of defective mortgage loans sold by defendants to LBHI or its affiliates; and (3) interest, attorneys' fees and costs incurred by LBHI in the litigation. HLC intends to defend this action vigorously. HLC had previously received a demand letter (the "Letter") from LBHI in December 2014 with respect to 64 loans (the “Loans”) that LBHI alleges were sold by HLC to Lehman Brothers Bank, FSB (“LBB”) between 2004 and 2008 pursuant to a loan purchase agreement (the “LPA”) between HLC and LBB. The Letter generally sought indemnification from HLC in accordance with the LPA for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claims that LBHI alleged it allowed in its bankruptcy with respect to the Loans. A reserve of $1.0 million for this matter is included in the accompanying consolidated balance sheet as of March 31,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one reportable segment representing the Company's Lending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Mortgage and non-mortgage product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r>
      <w:tr>
        <w:trPr>
          <w:trHeight w:val="244"/>
        </w:trPr>
        <w:tc>
          <w:tcPr>
            <w:tcW w:w="89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55,016</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36,997</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39,697</w:t>
            </w:r>
          </w:p>
        </w:tc>
        <w:tc>
          <w:tcPr>
            <w:tcW w:w="4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13,938</w:t>
            </w:r>
          </w:p>
        </w:tc>
      </w:tr>
      <w:tr>
        <w:trPr>
          <w:trHeight w:val="27"/>
        </w:trPr>
        <w:tc>
          <w:tcPr>
            <w:tcW w:w="8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94,713</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50,935</w:t>
            </w:r>
          </w:p>
        </w:tc>
      </w:tr>
      <w:tr>
        <w:trPr>
          <w:trHeight w:val="27"/>
        </w:trPr>
        <w:tc>
          <w:tcPr>
            <w:tcW w:w="89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revenue and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r>
      <w:tr>
        <w:trPr>
          <w:trHeight w:val="258"/>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w:t>
            </w:r>
          </w:p>
        </w:tc>
      </w:tr>
      <w:tr>
        <w:trPr>
          <w:trHeight w:val="318"/>
        </w:trPr>
        <w:tc>
          <w:tcPr>
            <w:tcW w:w="88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(1,850)</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647</w:t>
            </w:r>
          </w:p>
        </w:tc>
        <w:tc>
          <w:tcPr>
            <w:tcW w:w="4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8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(1,203)</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6, 2012, the Company sold substantially all of the operating assets of its LendingTree Loans business for $55.9 million in cash to a wholly-owned subsidiary of Discover Financial Services ("Discover"). Discover generally did not assume liabilities of the LendingTree Loans business that arose before the closing date, except for certain liabilities directly related to assets Discover acquired. Of the purchase price paid, as of March 31, 2016, $4.0 million is being held in escrow in accordance with the agreement with Discover for certain loan loss obligations that remain with the Company following the sale. The escrowed amount is recorded as restricted cash as of March 31, 2016.</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Discover participated as a marketplace lender from closing of the transaction through July 2015.</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closing of the sale of substantially all of the operating assets of the LendingTree Loans business on June 6, 2012, LendingTree Loans ceased to originate consumer loans. The remaining operations are being wound down. These wind-down activities have included, among other things, selling the balance of loans held for sale to investors, paying off and then terminating the warehouse lines of credit and settling derivative obligations, all of which have been completed. Liability for losses on previously sold loans will remain with LendingTree Loans and are discussed below.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HLC, a subsidiary of the Company, continues to be liable for these indemnification obligations, repurchase obligations and premium repayment obligations following the sale of substantially all of the operating assets of its LendingTree Loans business in the second quarter of 2012. As of March 31, 2016, approximately $4.0 million is being held in escrow pending resolution of certain of these contingent liabilities.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the sale of substantially all of the operating assets of LendingTree Loans in June 2012, it originated approximately 234,000 loans with an original issue balance of $38.9 billion.</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2015, LendingTree Loans completed a settlement agreement for $0.6 million with one of the investors to which it had sold loans. This investor accounted for approximately 10% of the total number of loans sold and 12% of the original issue balance. This settlement related to all existing and future losses on loans sold to this investor.</w:t>
      </w:r>
    </w:p>
    <w:p>
      <w:pPr>
        <w:spacing w:after="0" w:line="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During the fourth quarter of 2014, LendingTree Loans completed a settlement agreement for $5.4 million with the largest investor to which it had sold loans. This investor accounted for approximately 40% of both the total number of loans sold and the original issue balance. This settlement related to all existing and future losses on loans sold to this investor.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second quarter of 2014, LendingTree Loans completed settlements with two buyers of previously purchased loans.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been negotiating with certain of the remaining secondary market purchasers to settle any existing and future contingent liabilities, but it may not be able to complete such negotiations on acceptable terms, or at all.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made to the investors that purchased such loans.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uses a settlement discount framework for evaluating the adequacy of the reserve for loan losses. This model estimates lifetime losses on the population of remaining loans originated and sold by LendingTree Loans using actual defaults for loans with similar characteristics and projected future defaults. It also considers the likelihood of claims expected due to alleged breaches of representations and warranties made by LendingTree Loans and the percentage of those claims investors estimate LendingTree Loans may agree to repurchase. A settlement discount factor is then applied to the result of the foregoing to reflect publicly-announced bulk settlements for similar loan types and vintages, as well as LendingTree Loans' non-operating status, in order to estimate a range of potential obligation.</w:t>
      </w:r>
    </w:p>
    <w:p>
      <w:pPr>
        <w:spacing w:after="0" w:line="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estimated range of remaining loan losses using this settlement discount framework was determined to be $5.8 million to $10.4 million at March 31, 2016. The reserve balance recorded as of March 31, 2016 was $8.1 million. Management has considered both objective and subjective factors in the estimation process, but given current general industry trends in mortgage loans as well as housing prices and market expectations, actual losses related to LendingTree Loans' obligations could vary significantly from the obligation recorded as of the balance sheet date or the range estimated above.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LendingTree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activity related to loss reserves on previously sold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3"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r>
      <w:tr>
        <w:trPr>
          <w:trHeight w:val="258"/>
        </w:trPr>
        <w:tc>
          <w:tcPr>
            <w:tcW w:w="4280" w:type="dxa"/>
            <w:vAlign w:val="bottom"/>
            <w:tcBorders>
              <w:bottom w:val="single" w:sz="8" w:color="CCEEFF"/>
            </w:tcBorders>
          </w:tcPr>
          <w:p>
            <w:pPr>
              <w:spacing w:after="0"/>
              <w:rPr>
                <w:sz w:val="22"/>
                <w:szCs w:val="22"/>
                <w:color w:val="auto"/>
              </w:rPr>
            </w:pPr>
          </w:p>
        </w:tc>
        <w:tc>
          <w:tcPr>
            <w:tcW w:w="45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loss reserve, beginning of period</w:t>
            </w:r>
          </w:p>
        </w:tc>
        <w:tc>
          <w:tcPr>
            <w:tcW w:w="4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8,127</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8,750</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Provisions</w:t>
            </w:r>
          </w:p>
        </w:tc>
        <w:tc>
          <w:tcPr>
            <w:tcW w:w="4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 to reserves</w:t>
            </w:r>
          </w:p>
        </w:tc>
        <w:tc>
          <w:tcPr>
            <w:tcW w:w="45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Loan loss reserve, end of period</w:t>
            </w:r>
          </w:p>
        </w:tc>
        <w:tc>
          <w:tcPr>
            <w:tcW w:w="48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8,127</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8,750</w:t>
            </w:r>
          </w:p>
        </w:tc>
      </w:tr>
      <w:tr>
        <w:trPr>
          <w:trHeight w:val="34"/>
        </w:trPr>
        <w:tc>
          <w:tcPr>
            <w:tcW w:w="42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459"/>
        </w:trPr>
        <w:tc>
          <w:tcPr>
            <w:tcW w:w="4280" w:type="dxa"/>
            <w:vAlign w:val="bottom"/>
          </w:tcPr>
          <w:p>
            <w:pPr>
              <w:spacing w:after="0"/>
              <w:rPr>
                <w:sz w:val="24"/>
                <w:szCs w:val="24"/>
                <w:color w:val="auto"/>
              </w:rPr>
            </w:pPr>
          </w:p>
        </w:tc>
        <w:tc>
          <w:tcPr>
            <w:tcW w:w="4520" w:type="dxa"/>
            <w:vAlign w:val="bottom"/>
          </w:tcPr>
          <w:p>
            <w:pPr>
              <w:jc w:val="right"/>
              <w:ind w:right="291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 as of March 31, 2016 and December 31, 2015.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2015 Annual Report.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LendingTree operates what we believe to be the leading online loan marketplace for consumers seeking loans and other credit-based offerings. Our online marketplace provides consumers with access to product offerings from our Network Lenders, including mortgage loans, home equity, reverse mortgage, auto loans, credit cards, personal loans, student loans and small business loans and other related offerings. In addition, we offer tools and resources, including free credit scores, that facilitate comparison shopping for these loan and other credit-based offerings. We seek to match consumers with multiple lenders, who can provide them with competing quotes for the product they are seeking. We also serve as a valued partner to lenders seeking an efficient, scalable and flexible source of customer acquisition with directly measurable benefits, by matching the consumer inquiries we generate with these lenders.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loan comparison-shopping experience by providing free credit scores and credit score analysis. This platform enables us to observe consumers' credit profiles and then identify and alert them to loan and other credit-based opportunities on our marketplace that may be more favorable than the loans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operating our core mortgage business, we are focused on growing our non-mortgage lending businesses and developing new product offerings and enhancements to improve the experiences that consumers and lenders have as they interact with us. By expanding our portfolio of loan and credit-based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46"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 our lending business is subject to cyclical and seasonal trends. Home sales (and purchase mortgages) typically rise during the spring and summer months and decline during the fall and winter months, while refinancing and home equity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activity is principally driven by mortgage interest rates as well as real estate values. However, these trends in our business are not absolute and there have been exceptions to them. For example, in recent periods additional factors affecting the mortgage and real estate markets have impacted customary seasonal trends.</w:t>
      </w:r>
    </w:p>
    <w:p>
      <w:pPr>
        <w:spacing w:after="0" w:line="12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anticipate revenue in our newer products to be cyclical as well; however, we have limited historical data to predict the nature and magnitude of this cyclicality. Other factors affecting our business include macro factors such as credit availability in the market, the strength of the economy and employment.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Typically, a decline in mortgage interest rates will lead to reduced lender demand, as there are more consumers in the marketplace seeking financing and, accordingly, lenders receive more organic lead volume. Conversely, an increase in mortgage interest rates will typically lead to an increase in lender demand, as there are fewer consumers in the marketplace and, accordingly, the supply of organic mortgage lead volume decreases.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88265</wp:posOffset>
            </wp:positionV>
            <wp:extent cx="4802505" cy="2238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0250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According to Freddie Mac, mortgage interest rates have continued to stay low, decreasing to a monthly average of 3.66% in February 2016, its lowest since May 2013. On a quarterly basis, mortgage interest rates in the first quarter of 2016 averaged 3.74%, as compared to 3.90% in the fourth quarter of 2015 and 3.72% in the first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55880</wp:posOffset>
            </wp:positionV>
            <wp:extent cx="4391025" cy="2238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9102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Typically, as mortgage interest rates drop, there are more consumers in the marketplace seeking refinancings and, accordingly, the mix of mortgage origination dollars moves towards refinance mortgages. However, according to Mortgage Bankers Association ("MBA"), the correlation between the movement in rates and refinance loan balances has become tighter, with fewer refinance opportunities remaining at the current mortgage rates. Therefore, total refinance origination dollars remained consistent at 47% of total mortgage origination dollars in the first quarter of 2016 over the first quarter of 2015.</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Looking forward, MBA is projecting mortgage interest rates to climb in 2016, to an average 4.0% on 30-year fixed rate mortgages. According to MBA projections, as interest rates climb, the mix of mortgage origination dollars will move towards purchase mortgages with the refinance share representing just 38% for 2016, as compared to 46% for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According to the National Association of Realtors ("NAR"), sales of existing homes in 2015 increased approximately 7% over 2014, equating to the housing market's best year in nearly a decade. In the first quarter of 2016, existing home sale increased approximately 2% from the fourth quarter of 2015. In 2016, the NAR expects moderate growth in existing home sales compared to 2015, due to slower economic expansion and rising mortgage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2016 and 2015</w:t>
      </w:r>
    </w:p>
    <w:p>
      <w:pPr>
        <w:spacing w:after="0" w:line="176"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37465</wp:posOffset>
            </wp:positionV>
            <wp:extent cx="2418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6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860" w:type="dxa"/>
            <w:vAlign w:val="bottom"/>
          </w:tcPr>
          <w:p>
            <w:pPr>
              <w:jc w:val="right"/>
              <w:ind w:right="46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w w:val="97"/>
              </w:rPr>
              <w:t>Change</w:t>
            </w:r>
          </w:p>
        </w:tc>
        <w:tc>
          <w:tcPr>
            <w:tcW w:w="10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7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3"/>
                <w:szCs w:val="13"/>
                <w:b w:val="1"/>
                <w:bCs w:val="1"/>
                <w:i w:val="1"/>
                <w:iCs w:val="1"/>
                <w:color w:val="auto"/>
              </w:rPr>
              <w:t>(Dollars in thousands)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7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Mortgage products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18,019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24"/>
        </w:trPr>
        <w:tc>
          <w:tcPr>
            <w:tcW w:w="7620" w:type="dxa"/>
            <w:vAlign w:val="bottom"/>
          </w:tcPr>
          <w:p>
            <w:pPr>
              <w:ind w:left="180"/>
              <w:spacing w:after="0"/>
              <w:rPr>
                <w:sz w:val="20"/>
                <w:szCs w:val="20"/>
                <w:color w:val="auto"/>
              </w:rPr>
            </w:pPr>
            <w:r>
              <w:rPr>
                <w:rFonts w:ascii="Arial" w:cs="Arial" w:eastAsia="Arial" w:hAnsi="Arial"/>
                <w:sz w:val="16"/>
                <w:szCs w:val="16"/>
                <w:color w:val="auto"/>
              </w:rPr>
              <w:t>Non-mortgage products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39,697</w:t>
            </w: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13,938</w:t>
            </w:r>
          </w:p>
        </w:tc>
        <w:tc>
          <w:tcPr>
            <w:tcW w:w="180" w:type="dxa"/>
            <w:vAlign w:val="bottom"/>
          </w:tcPr>
          <w:p>
            <w:pPr>
              <w:spacing w:after="0"/>
              <w:rPr>
                <w:sz w:val="19"/>
                <w:szCs w:val="19"/>
                <w:color w:val="auto"/>
              </w:rPr>
            </w:pPr>
          </w:p>
        </w:tc>
        <w:tc>
          <w:tcPr>
            <w:tcW w:w="860" w:type="dxa"/>
            <w:vAlign w:val="bottom"/>
          </w:tcPr>
          <w:p>
            <w:pPr>
              <w:jc w:val="right"/>
              <w:ind w:right="160"/>
              <w:spacing w:after="0"/>
              <w:rPr>
                <w:sz w:val="20"/>
                <w:szCs w:val="20"/>
                <w:color w:val="auto"/>
              </w:rPr>
            </w:pPr>
            <w:r>
              <w:rPr>
                <w:rFonts w:ascii="Arial" w:cs="Arial" w:eastAsia="Arial" w:hAnsi="Arial"/>
                <w:sz w:val="16"/>
                <w:szCs w:val="16"/>
                <w:color w:val="auto"/>
              </w:rPr>
              <w:t>25,759</w:t>
            </w:r>
          </w:p>
        </w:tc>
        <w:tc>
          <w:tcPr>
            <w:tcW w:w="1000" w:type="dxa"/>
            <w:vAlign w:val="bottom"/>
          </w:tcPr>
          <w:p>
            <w:pPr>
              <w:jc w:val="right"/>
              <w:spacing w:after="0"/>
              <w:rPr>
                <w:sz w:val="20"/>
                <w:szCs w:val="20"/>
                <w:color w:val="auto"/>
              </w:rPr>
            </w:pPr>
            <w:r>
              <w:rPr>
                <w:rFonts w:ascii="Arial" w:cs="Arial" w:eastAsia="Arial" w:hAnsi="Arial"/>
                <w:sz w:val="16"/>
                <w:szCs w:val="16"/>
                <w:color w:val="auto"/>
              </w:rPr>
              <w:t>185 %</w:t>
            </w:r>
          </w:p>
        </w:tc>
        <w:tc>
          <w:tcPr>
            <w:tcW w:w="0" w:type="dxa"/>
            <w:vAlign w:val="bottom"/>
          </w:tcPr>
          <w:p>
            <w:pPr>
              <w:spacing w:after="0"/>
              <w:rPr>
                <w:sz w:val="1"/>
                <w:szCs w:val="1"/>
                <w:color w:val="auto"/>
              </w:rPr>
            </w:pPr>
          </w:p>
        </w:tc>
      </w:tr>
      <w:tr>
        <w:trPr>
          <w:trHeight w:val="33"/>
        </w:trPr>
        <w:tc>
          <w:tcPr>
            <w:tcW w:w="7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94,713</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50,935</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43,778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86 %</w:t>
            </w:r>
          </w:p>
        </w:tc>
        <w:tc>
          <w:tcPr>
            <w:tcW w:w="0" w:type="dxa"/>
            <w:vAlign w:val="bottom"/>
          </w:tcPr>
          <w:p>
            <w:pPr>
              <w:spacing w:after="0"/>
              <w:rPr>
                <w:sz w:val="1"/>
                <w:szCs w:val="1"/>
                <w:color w:val="auto"/>
              </w:rPr>
            </w:pP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 of revenue (exclusive of depreciation shown separately below)</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3,473</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1,975</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1,498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24"/>
        </w:trPr>
        <w:tc>
          <w:tcPr>
            <w:tcW w:w="7620" w:type="dxa"/>
            <w:vAlign w:val="bottom"/>
          </w:tcPr>
          <w:p>
            <w:pPr>
              <w:ind w:left="180"/>
              <w:spacing w:after="0"/>
              <w:rPr>
                <w:sz w:val="20"/>
                <w:szCs w:val="20"/>
                <w:color w:val="auto"/>
              </w:rPr>
            </w:pPr>
            <w:r>
              <w:rPr>
                <w:rFonts w:ascii="Arial" w:cs="Arial" w:eastAsia="Arial" w:hAnsi="Arial"/>
                <w:sz w:val="16"/>
                <w:szCs w:val="16"/>
                <w:color w:val="auto"/>
              </w:rPr>
              <w:t>Selling and marketing expense</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65,059</w:t>
            </w: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32,837</w:t>
            </w:r>
          </w:p>
        </w:tc>
        <w:tc>
          <w:tcPr>
            <w:tcW w:w="180" w:type="dxa"/>
            <w:vAlign w:val="bottom"/>
          </w:tcPr>
          <w:p>
            <w:pPr>
              <w:spacing w:after="0"/>
              <w:rPr>
                <w:sz w:val="19"/>
                <w:szCs w:val="19"/>
                <w:color w:val="auto"/>
              </w:rPr>
            </w:pPr>
          </w:p>
        </w:tc>
        <w:tc>
          <w:tcPr>
            <w:tcW w:w="860" w:type="dxa"/>
            <w:vAlign w:val="bottom"/>
          </w:tcPr>
          <w:p>
            <w:pPr>
              <w:jc w:val="right"/>
              <w:ind w:right="160"/>
              <w:spacing w:after="0"/>
              <w:rPr>
                <w:sz w:val="20"/>
                <w:szCs w:val="20"/>
                <w:color w:val="auto"/>
              </w:rPr>
            </w:pPr>
            <w:r>
              <w:rPr>
                <w:rFonts w:ascii="Arial" w:cs="Arial" w:eastAsia="Arial" w:hAnsi="Arial"/>
                <w:sz w:val="16"/>
                <w:szCs w:val="16"/>
                <w:color w:val="auto"/>
              </w:rPr>
              <w:t>32,222</w:t>
            </w:r>
          </w:p>
        </w:tc>
        <w:tc>
          <w:tcPr>
            <w:tcW w:w="1000" w:type="dxa"/>
            <w:vAlign w:val="bottom"/>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 expense</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9,259</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7,228</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2,031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24"/>
        </w:trPr>
        <w:tc>
          <w:tcPr>
            <w:tcW w:w="762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3,885</w:t>
            </w: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2,173</w:t>
            </w:r>
          </w:p>
        </w:tc>
        <w:tc>
          <w:tcPr>
            <w:tcW w:w="180" w:type="dxa"/>
            <w:vAlign w:val="bottom"/>
          </w:tcPr>
          <w:p>
            <w:pPr>
              <w:spacing w:after="0"/>
              <w:rPr>
                <w:sz w:val="19"/>
                <w:szCs w:val="19"/>
                <w:color w:val="auto"/>
              </w:rPr>
            </w:pPr>
          </w:p>
        </w:tc>
        <w:tc>
          <w:tcPr>
            <w:tcW w:w="860" w:type="dxa"/>
            <w:vAlign w:val="bottom"/>
          </w:tcPr>
          <w:p>
            <w:pPr>
              <w:jc w:val="right"/>
              <w:ind w:right="160"/>
              <w:spacing w:after="0"/>
              <w:rPr>
                <w:sz w:val="20"/>
                <w:szCs w:val="20"/>
                <w:color w:val="auto"/>
              </w:rPr>
            </w:pPr>
            <w:r>
              <w:rPr>
                <w:rFonts w:ascii="Arial" w:cs="Arial" w:eastAsia="Arial" w:hAnsi="Arial"/>
                <w:sz w:val="16"/>
                <w:szCs w:val="16"/>
                <w:color w:val="auto"/>
              </w:rPr>
              <w:t>1,712</w:t>
            </w:r>
          </w:p>
        </w:tc>
        <w:tc>
          <w:tcPr>
            <w:tcW w:w="1000" w:type="dxa"/>
            <w:vAlign w:val="bottom"/>
          </w:tcPr>
          <w:p>
            <w:pPr>
              <w:jc w:val="right"/>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654</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344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24"/>
        </w:trPr>
        <w:tc>
          <w:tcPr>
            <w:tcW w:w="7620" w:type="dxa"/>
            <w:vAlign w:val="bottom"/>
          </w:tcPr>
          <w:p>
            <w:pPr>
              <w:ind w:left="180"/>
              <w:spacing w:after="0"/>
              <w:rPr>
                <w:sz w:val="20"/>
                <w:szCs w:val="20"/>
                <w:color w:val="auto"/>
              </w:rPr>
            </w:pPr>
            <w:r>
              <w:rPr>
                <w:rFonts w:ascii="Arial" w:cs="Arial" w:eastAsia="Arial" w:hAnsi="Arial"/>
                <w:sz w:val="16"/>
                <w:szCs w:val="16"/>
                <w:color w:val="auto"/>
              </w:rPr>
              <w:t>Amortization of intangibles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9"/>
                <w:szCs w:val="19"/>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(37)</w:t>
            </w:r>
          </w:p>
        </w:tc>
        <w:tc>
          <w:tcPr>
            <w:tcW w:w="100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and severance</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4"/>
        </w:trPr>
        <w:tc>
          <w:tcPr>
            <w:tcW w:w="7620" w:type="dxa"/>
            <w:vAlign w:val="bottom"/>
          </w:tcPr>
          <w:p>
            <w:pPr>
              <w:ind w:left="180"/>
              <w:spacing w:after="0"/>
              <w:rPr>
                <w:sz w:val="20"/>
                <w:szCs w:val="20"/>
                <w:color w:val="auto"/>
              </w:rPr>
            </w:pPr>
            <w:r>
              <w:rPr>
                <w:rFonts w:ascii="Arial" w:cs="Arial" w:eastAsia="Arial" w:hAnsi="Arial"/>
                <w:sz w:val="16"/>
                <w:szCs w:val="16"/>
                <w:color w:val="auto"/>
              </w:rPr>
              <w:t>Litigation settlements and contingencies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169</w:t>
            </w: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282</w:t>
            </w:r>
          </w:p>
        </w:tc>
        <w:tc>
          <w:tcPr>
            <w:tcW w:w="180" w:type="dxa"/>
            <w:vAlign w:val="bottom"/>
          </w:tcPr>
          <w:p>
            <w:pPr>
              <w:spacing w:after="0"/>
              <w:rPr>
                <w:sz w:val="19"/>
                <w:szCs w:val="19"/>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(113)</w:t>
            </w: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7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82,868</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45,217</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37,651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83 %</w:t>
            </w:r>
          </w:p>
        </w:tc>
        <w:tc>
          <w:tcPr>
            <w:tcW w:w="0" w:type="dxa"/>
            <w:vAlign w:val="bottom"/>
          </w:tcPr>
          <w:p>
            <w:pPr>
              <w:spacing w:after="0"/>
              <w:rPr>
                <w:sz w:val="1"/>
                <w:szCs w:val="1"/>
                <w:color w:val="auto"/>
              </w:rPr>
            </w:pPr>
          </w:p>
        </w:tc>
      </w:tr>
      <w:tr>
        <w:trPr>
          <w:trHeight w:val="217"/>
        </w:trPr>
        <w:tc>
          <w:tcPr>
            <w:tcW w:w="76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11,845</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5,718</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6,127</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107 %</w:t>
            </w:r>
          </w:p>
        </w:tc>
        <w:tc>
          <w:tcPr>
            <w:tcW w:w="0" w:type="dxa"/>
            <w:vAlign w:val="bottom"/>
          </w:tcPr>
          <w:p>
            <w:pPr>
              <w:spacing w:after="0"/>
              <w:rPr>
                <w:sz w:val="1"/>
                <w:szCs w:val="1"/>
                <w:color w:val="auto"/>
              </w:rPr>
            </w:pP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20" w:type="dxa"/>
            <w:vAlign w:val="bottom"/>
          </w:tcPr>
          <w:p>
            <w:pPr>
              <w:ind w:left="180"/>
              <w:spacing w:after="0"/>
              <w:rPr>
                <w:sz w:val="20"/>
                <w:szCs w:val="20"/>
                <w:color w:val="auto"/>
              </w:rPr>
            </w:pPr>
            <w:r>
              <w:rPr>
                <w:rFonts w:ascii="Arial" w:cs="Arial" w:eastAsia="Arial" w:hAnsi="Arial"/>
                <w:sz w:val="16"/>
                <w:szCs w:val="16"/>
                <w:color w:val="auto"/>
              </w:rPr>
              <w:t>Interest (expense) income</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(142)</w:t>
            </w:r>
          </w:p>
        </w:tc>
        <w:tc>
          <w:tcPr>
            <w:tcW w:w="220" w:type="dxa"/>
            <w:vAlign w:val="bottom"/>
          </w:tcPr>
          <w:p>
            <w:pPr>
              <w:spacing w:after="0"/>
              <w:rPr>
                <w:sz w:val="19"/>
                <w:szCs w:val="19"/>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9"/>
                <w:szCs w:val="19"/>
                <w:color w:val="auto"/>
              </w:rPr>
            </w:pPr>
          </w:p>
        </w:tc>
        <w:tc>
          <w:tcPr>
            <w:tcW w:w="860" w:type="dxa"/>
            <w:vAlign w:val="bottom"/>
          </w:tcPr>
          <w:p>
            <w:pPr>
              <w:jc w:val="right"/>
              <w:ind w:right="100"/>
              <w:spacing w:after="0"/>
              <w:rPr>
                <w:sz w:val="20"/>
                <w:szCs w:val="20"/>
                <w:color w:val="auto"/>
              </w:rPr>
            </w:pPr>
            <w:r>
              <w:rPr>
                <w:rFonts w:ascii="Arial" w:cs="Arial" w:eastAsia="Arial" w:hAnsi="Arial"/>
                <w:sz w:val="16"/>
                <w:szCs w:val="16"/>
                <w:color w:val="auto"/>
              </w:rPr>
              <w:t>(144)</w:t>
            </w:r>
          </w:p>
        </w:tc>
        <w:tc>
          <w:tcPr>
            <w:tcW w:w="1000" w:type="dxa"/>
            <w:vAlign w:val="bottom"/>
          </w:tcPr>
          <w:p>
            <w:pPr>
              <w:jc w:val="right"/>
              <w:spacing w:after="0"/>
              <w:rPr>
                <w:sz w:val="20"/>
                <w:szCs w:val="20"/>
                <w:color w:val="auto"/>
              </w:rPr>
            </w:pPr>
            <w:r>
              <w:rPr>
                <w:rFonts w:ascii="Arial" w:cs="Arial" w:eastAsia="Arial" w:hAnsi="Arial"/>
                <w:sz w:val="16"/>
                <w:szCs w:val="16"/>
                <w:color w:val="auto"/>
              </w:rPr>
              <w:t>(7,200)%</w:t>
            </w:r>
          </w:p>
        </w:tc>
        <w:tc>
          <w:tcPr>
            <w:tcW w:w="0" w:type="dxa"/>
            <w:vAlign w:val="bottom"/>
          </w:tcPr>
          <w:p>
            <w:pPr>
              <w:spacing w:after="0"/>
              <w:rPr>
                <w:sz w:val="1"/>
                <w:szCs w:val="1"/>
                <w:color w:val="auto"/>
              </w:rPr>
            </w:pPr>
          </w:p>
        </w:tc>
      </w:tr>
      <w:tr>
        <w:trPr>
          <w:trHeight w:val="33"/>
        </w:trPr>
        <w:tc>
          <w:tcPr>
            <w:tcW w:w="7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11,703</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5,720</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5,983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105 %</w:t>
            </w:r>
          </w:p>
        </w:tc>
        <w:tc>
          <w:tcPr>
            <w:tcW w:w="0" w:type="dxa"/>
            <w:vAlign w:val="bottom"/>
          </w:tcPr>
          <w:p>
            <w:pPr>
              <w:spacing w:after="0"/>
              <w:rPr>
                <w:sz w:val="1"/>
                <w:szCs w:val="1"/>
                <w:color w:val="auto"/>
              </w:rPr>
            </w:pP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(4,798)</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(307)</w:t>
            </w:r>
          </w:p>
        </w:tc>
        <w:tc>
          <w:tcPr>
            <w:tcW w:w="180" w:type="dxa"/>
            <w:vAlign w:val="bottom"/>
          </w:tcPr>
          <w:p>
            <w:pPr>
              <w:spacing w:after="0"/>
              <w:rPr>
                <w:sz w:val="19"/>
                <w:szCs w:val="19"/>
                <w:color w:val="auto"/>
              </w:rPr>
            </w:pPr>
          </w:p>
        </w:tc>
        <w:tc>
          <w:tcPr>
            <w:tcW w:w="860" w:type="dxa"/>
            <w:vAlign w:val="bottom"/>
          </w:tcPr>
          <w:p>
            <w:pPr>
              <w:jc w:val="right"/>
              <w:ind w:right="160"/>
              <w:spacing w:after="0"/>
              <w:rPr>
                <w:sz w:val="20"/>
                <w:szCs w:val="20"/>
                <w:color w:val="auto"/>
              </w:rPr>
            </w:pPr>
            <w:r>
              <w:rPr>
                <w:rFonts w:ascii="Arial" w:cs="Arial" w:eastAsia="Arial" w:hAnsi="Arial"/>
                <w:sz w:val="16"/>
                <w:szCs w:val="16"/>
                <w:color w:val="auto"/>
              </w:rPr>
              <w:t>4,491</w:t>
            </w:r>
          </w:p>
        </w:tc>
        <w:tc>
          <w:tcPr>
            <w:tcW w:w="1000" w:type="dxa"/>
            <w:vAlign w:val="bottom"/>
          </w:tcPr>
          <w:p>
            <w:pPr>
              <w:jc w:val="right"/>
              <w:spacing w:after="0"/>
              <w:rPr>
                <w:sz w:val="20"/>
                <w:szCs w:val="20"/>
                <w:color w:val="auto"/>
              </w:rPr>
            </w:pPr>
            <w:r>
              <w:rPr>
                <w:rFonts w:ascii="Arial" w:cs="Arial" w:eastAsia="Arial" w:hAnsi="Arial"/>
                <w:sz w:val="16"/>
                <w:szCs w:val="16"/>
                <w:color w:val="auto"/>
              </w:rPr>
              <w:t>1,463 %</w:t>
            </w:r>
          </w:p>
        </w:tc>
        <w:tc>
          <w:tcPr>
            <w:tcW w:w="0" w:type="dxa"/>
            <w:vAlign w:val="bottom"/>
          </w:tcPr>
          <w:p>
            <w:pPr>
              <w:spacing w:after="0"/>
              <w:rPr>
                <w:sz w:val="1"/>
                <w:szCs w:val="1"/>
                <w:color w:val="auto"/>
              </w:rPr>
            </w:pPr>
          </w:p>
        </w:tc>
      </w:tr>
      <w:tr>
        <w:trPr>
          <w:trHeight w:val="33"/>
        </w:trPr>
        <w:tc>
          <w:tcPr>
            <w:tcW w:w="7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from continuing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6,905</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5,413</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1,492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28 %</w:t>
            </w:r>
          </w:p>
        </w:tc>
        <w:tc>
          <w:tcPr>
            <w:tcW w:w="0" w:type="dxa"/>
            <w:vAlign w:val="bottom"/>
          </w:tcPr>
          <w:p>
            <w:pPr>
              <w:spacing w:after="0"/>
              <w:rPr>
                <w:sz w:val="1"/>
                <w:szCs w:val="1"/>
                <w:color w:val="auto"/>
              </w:rPr>
            </w:pPr>
          </w:p>
        </w:tc>
      </w:tr>
      <w:tr>
        <w:trPr>
          <w:trHeight w:val="224"/>
        </w:trPr>
        <w:tc>
          <w:tcPr>
            <w:tcW w:w="7620" w:type="dxa"/>
            <w:vAlign w:val="bottom"/>
          </w:tcPr>
          <w:p>
            <w:pPr>
              <w:ind w:left="40"/>
              <w:spacing w:after="0"/>
              <w:rPr>
                <w:sz w:val="20"/>
                <w:szCs w:val="20"/>
                <w:color w:val="auto"/>
              </w:rPr>
            </w:pPr>
            <w:r>
              <w:rPr>
                <w:rFonts w:ascii="Arial" w:cs="Arial" w:eastAsia="Arial" w:hAnsi="Arial"/>
                <w:sz w:val="16"/>
                <w:szCs w:val="16"/>
                <w:b w:val="1"/>
                <w:bCs w:val="1"/>
                <w:color w:val="auto"/>
              </w:rPr>
              <w:t>Loss from discontinued operations, net of tax</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(1,203)</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(226)</w:t>
            </w:r>
          </w:p>
        </w:tc>
        <w:tc>
          <w:tcPr>
            <w:tcW w:w="180" w:type="dxa"/>
            <w:vAlign w:val="bottom"/>
          </w:tcPr>
          <w:p>
            <w:pPr>
              <w:spacing w:after="0"/>
              <w:rPr>
                <w:sz w:val="19"/>
                <w:szCs w:val="19"/>
                <w:color w:val="auto"/>
              </w:rPr>
            </w:pPr>
          </w:p>
        </w:tc>
        <w:tc>
          <w:tcPr>
            <w:tcW w:w="860" w:type="dxa"/>
            <w:vAlign w:val="bottom"/>
          </w:tcPr>
          <w:p>
            <w:pPr>
              <w:jc w:val="right"/>
              <w:ind w:right="160"/>
              <w:spacing w:after="0"/>
              <w:rPr>
                <w:sz w:val="20"/>
                <w:szCs w:val="20"/>
                <w:color w:val="auto"/>
              </w:rPr>
            </w:pPr>
            <w:r>
              <w:rPr>
                <w:rFonts w:ascii="Arial" w:cs="Arial" w:eastAsia="Arial" w:hAnsi="Arial"/>
                <w:sz w:val="16"/>
                <w:szCs w:val="16"/>
                <w:color w:val="auto"/>
              </w:rPr>
              <w:t>977</w:t>
            </w:r>
          </w:p>
        </w:tc>
        <w:tc>
          <w:tcPr>
            <w:tcW w:w="1000" w:type="dxa"/>
            <w:vAlign w:val="bottom"/>
          </w:tcPr>
          <w:p>
            <w:pPr>
              <w:jc w:val="right"/>
              <w:spacing w:after="0"/>
              <w:rPr>
                <w:sz w:val="20"/>
                <w:szCs w:val="20"/>
                <w:color w:val="auto"/>
              </w:rPr>
            </w:pPr>
            <w:r>
              <w:rPr>
                <w:rFonts w:ascii="Arial" w:cs="Arial" w:eastAsia="Arial" w:hAnsi="Arial"/>
                <w:sz w:val="16"/>
                <w:szCs w:val="16"/>
                <w:color w:val="auto"/>
              </w:rPr>
              <w:t>432 %</w:t>
            </w:r>
          </w:p>
        </w:tc>
        <w:tc>
          <w:tcPr>
            <w:tcW w:w="0" w:type="dxa"/>
            <w:vAlign w:val="bottom"/>
          </w:tcPr>
          <w:p>
            <w:pPr>
              <w:spacing w:after="0"/>
              <w:rPr>
                <w:sz w:val="1"/>
                <w:szCs w:val="1"/>
                <w:color w:val="auto"/>
              </w:rPr>
            </w:pPr>
          </w:p>
        </w:tc>
      </w:tr>
      <w:tr>
        <w:trPr>
          <w:trHeight w:val="33"/>
        </w:trPr>
        <w:tc>
          <w:tcPr>
            <w:tcW w:w="7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and comprehensive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5,187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515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10 %</w:t>
            </w:r>
          </w:p>
        </w:tc>
        <w:tc>
          <w:tcPr>
            <w:tcW w:w="0" w:type="dxa"/>
            <w:vAlign w:val="bottom"/>
          </w:tcPr>
          <w:p>
            <w:pPr>
              <w:spacing w:after="0"/>
              <w:rPr>
                <w:sz w:val="1"/>
                <w:szCs w:val="1"/>
                <w:color w:val="auto"/>
              </w:rPr>
            </w:pPr>
          </w:p>
        </w:tc>
      </w:tr>
      <w:tr>
        <w:trPr>
          <w:trHeight w:val="27"/>
        </w:trPr>
        <w:tc>
          <w:tcPr>
            <w:tcW w:w="7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increased in the first quarter of 2016 compared to the first quarter of 2015 due to increases in our non-mortgage products of $25.8 million and in our mortgage products of $18.0 million.</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non-mortgage products include the following non-mortgage lending products: personal loans, home equity, reverse mortgage, credit cards, auto loans, student loans and small business loans. Our non-mortgage products also include home improvement referrals and other credit products such as credit repair and debt settlement. The increase in revenue from our non-mortgage products in the first quarter of 2016 is primarily due to increases in revenue from our personal loans product, our credit cards product and our home equity product. Revenue from our personal loans product increased in the first quarter of 2016 compared to the first quarter of 2015 due to growing awareness in the market of the product, an increase in lenders on our exchange, increases in revenue earned per matched consumer and increased marketing efforts. Revenue from our credit cards product increased in the first quarter of 2016 compared to the first quarter of 2015 due to increases in payouts from issuers in addition to increased marketing efforts. Revenue from each of our non-mortgage lending products increased in the first quarter of 2016 compared to the first quarter of 2015.</w:t>
      </w:r>
    </w:p>
    <w:p>
      <w:pPr>
        <w:spacing w:after="0" w:line="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growth in our personal loans business in the first quarter of 2016 continued over 10 quarters of quarter-over-quarter growth in such product as lenders and consumers increased utilization of online personal loan origination models. This growth occurred notwithstanding well-publicized challenges experienced by certain of our online personal loan lenders, in particular increased pricing demanded by investors of personal loans, which in some cases led to reductions in marketing spend. We generally expect our product lines to move in tandem with the collective demand of all of our lenders in the product rather than any individual ones, and we expect to see more lenders with different capital models enter the personal loan marketplace and join our network. We believe the market for all of our non-mortgage products, including personal loans, remains under-penetrated and we believe long-term growth prospects are strong for all non-mortgage products. A significant industry-wide contraction in the availability of capital for non-mortgage lending products would likely adversely affect our non-mortgage product revenues. We expect more moderate year-over-year growth in non-mortgage revenue for the remainder of 2016 compared to the year-over-year growth for the comparable quarters of 2015, reflecting anticipated normalized growth in personal loans and increased growth in other products including credit cards and home equity.</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increase in revenue from our mortgage products in the first quarter of 2016 compared to the first quarter of 2015 is due to an increase in revenue from both our refinance and purchase products. Revenue from our refinance product increased in the first quarter of 2016 compared to the first quarter of 2015 due to increased demand of both new and existing lenders on our marketplace. The number of consumers matched for our mortgage products increase by 45% in the first quarter of 2016 compared to the first quarter of 2015, while our average revenue earned from mortgage lenders per matched consumer increased by 3% in the first quarter of 2016 compared to the first quarter of 2015.</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Cost of revenue consists primarily of costs associated with compensation and other employee-related costs (including stock-based compensation) relating to internally-operated call centers, third-party customer call center fees, credit scoring fees, credit card fees, website network hosting and server fees.</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increased in the first quarter of 2016 from the first quarter of 2015, primarily due to increases of $0.5 million in compensation and benefits as a result of increases in headcount, $0.3 million in credit card fees, $0.2 million in lead technology fees, $0.2 million in credit scoring fees and $0.2 million in third-party call center fees.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remained flat at 4% for the first quarter of 2015 and the first quarter of 2016.</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for consumer inquiries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increases in selling and marketing expense in the first quarter of 2016 compared to the first quarter of 2015 were primarily due to increases in advertising and promotional expense of $30.9 million as discussed below. In addition, selling and marketing expense increased in the first quarter of 2016 compared to the first quarter of 2015 due to an increase in compensation and benefits of $1.3 million, as a result of increases in headcount.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w w:val="95"/>
              </w:rPr>
              <w:t>Three Months Ended 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92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1040" w:type="dxa"/>
            <w:vAlign w:val="bottom"/>
          </w:tcPr>
          <w:p>
            <w:pPr>
              <w:jc w:val="right"/>
              <w:ind w:right="596"/>
              <w:spacing w:after="0" w:line="153"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6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3"/>
          </w:tcPr>
          <w:p>
            <w:pPr>
              <w:jc w:val="right"/>
              <w:ind w:right="476"/>
              <w:spacing w:after="0"/>
              <w:rPr>
                <w:sz w:val="20"/>
                <w:szCs w:val="20"/>
                <w:color w:val="auto"/>
              </w:rPr>
            </w:pPr>
            <w:r>
              <w:rPr>
                <w:rFonts w:ascii="Arial" w:cs="Arial" w:eastAsia="Arial" w:hAnsi="Arial"/>
                <w:sz w:val="14"/>
                <w:szCs w:val="14"/>
                <w:b w:val="1"/>
                <w:bCs w:val="1"/>
                <w:i w:val="1"/>
                <w:iCs w:val="1"/>
                <w:color w:val="auto"/>
              </w:rPr>
              <w:t>(Dollars in thousands)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Online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50,528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24,374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26,154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6900" w:type="dxa"/>
            <w:vAlign w:val="bottom"/>
          </w:tcPr>
          <w:p>
            <w:pPr>
              <w:ind w:left="180"/>
              <w:spacing w:after="0"/>
              <w:rPr>
                <w:sz w:val="20"/>
                <w:szCs w:val="20"/>
                <w:color w:val="auto"/>
              </w:rPr>
            </w:pPr>
            <w:r>
              <w:rPr>
                <w:rFonts w:ascii="Arial" w:cs="Arial" w:eastAsia="Arial" w:hAnsi="Arial"/>
                <w:sz w:val="18"/>
                <w:szCs w:val="18"/>
                <w:color w:val="auto"/>
              </w:rPr>
              <w:t>Broadcast</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8,716</w:t>
            </w:r>
          </w:p>
        </w:tc>
        <w:tc>
          <w:tcPr>
            <w:tcW w:w="220" w:type="dxa"/>
            <w:vAlign w:val="bottom"/>
          </w:tcPr>
          <w:p>
            <w:pPr>
              <w:spacing w:after="0"/>
              <w:rPr>
                <w:sz w:val="21"/>
                <w:szCs w:val="21"/>
                <w:color w:val="auto"/>
              </w:rPr>
            </w:pPr>
          </w:p>
        </w:tc>
        <w:tc>
          <w:tcPr>
            <w:tcW w:w="920" w:type="dxa"/>
            <w:vAlign w:val="bottom"/>
          </w:tcPr>
          <w:p>
            <w:pPr>
              <w:jc w:val="right"/>
              <w:ind w:right="58"/>
              <w:spacing w:after="0"/>
              <w:rPr>
                <w:sz w:val="20"/>
                <w:szCs w:val="20"/>
                <w:color w:val="auto"/>
              </w:rPr>
            </w:pPr>
            <w:r>
              <w:rPr>
                <w:rFonts w:ascii="Arial" w:cs="Arial" w:eastAsia="Arial" w:hAnsi="Arial"/>
                <w:sz w:val="18"/>
                <w:szCs w:val="18"/>
                <w:color w:val="auto"/>
              </w:rPr>
              <w:t>4,734</w:t>
            </w:r>
          </w:p>
        </w:tc>
        <w:tc>
          <w:tcPr>
            <w:tcW w:w="280" w:type="dxa"/>
            <w:vAlign w:val="bottom"/>
          </w:tcPr>
          <w:p>
            <w:pPr>
              <w:spacing w:after="0"/>
              <w:rPr>
                <w:sz w:val="21"/>
                <w:szCs w:val="21"/>
                <w:color w:val="auto"/>
              </w:rPr>
            </w:pPr>
          </w:p>
        </w:tc>
        <w:tc>
          <w:tcPr>
            <w:tcW w:w="1040" w:type="dxa"/>
            <w:vAlign w:val="bottom"/>
          </w:tcPr>
          <w:p>
            <w:pPr>
              <w:jc w:val="right"/>
              <w:ind w:right="236"/>
              <w:spacing w:after="0"/>
              <w:rPr>
                <w:sz w:val="20"/>
                <w:szCs w:val="20"/>
                <w:color w:val="auto"/>
              </w:rPr>
            </w:pPr>
            <w:r>
              <w:rPr>
                <w:rFonts w:ascii="Arial" w:cs="Arial" w:eastAsia="Arial" w:hAnsi="Arial"/>
                <w:sz w:val="18"/>
                <w:szCs w:val="18"/>
                <w:color w:val="auto"/>
              </w:rPr>
              <w:t>3,982</w:t>
            </w: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1,337</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619</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718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 expense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60,581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29,727</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30,854</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34"/>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increased our advertising expenditures in the first quarter of 2016 compared to the first quarter of 2015 in order to generate additional consumer inquiries to meet the increased demand of lenders on our marketplace.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anticipated revenue opportunities.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3" w:lineRule="exact"/>
        <w:rPr>
          <w:sz w:val="20"/>
          <w:szCs w:val="20"/>
          <w:color w:val="auto"/>
        </w:rPr>
      </w:pPr>
    </w:p>
    <w:p>
      <w:pPr>
        <w:jc w:val="both"/>
        <w:ind w:firstLine="376"/>
        <w:spacing w:after="0" w:line="264" w:lineRule="auto"/>
        <w:rPr>
          <w:sz w:val="20"/>
          <w:szCs w:val="20"/>
          <w:color w:val="auto"/>
        </w:rPr>
      </w:pPr>
      <w:r>
        <w:rPr>
          <w:rFonts w:ascii="Arial" w:cs="Arial" w:eastAsia="Arial" w:hAnsi="Arial"/>
          <w:sz w:val="18"/>
          <w:szCs w:val="18"/>
          <w:color w:val="auto"/>
        </w:rPr>
        <w:t>General and administrative expense increased in the first quarter of 2016 from the first quarter of 2015, primarily due to increases in compensation and benefits of $0.3 million as a result of increases in headcount, increases in professional fees of $0.5 million, increases in computer software maintenance of $0.2 million, increases in facility fees of $0.2 million, and increases in franchise taxes of $0.4 million.</w:t>
      </w:r>
    </w:p>
    <w:p>
      <w:pPr>
        <w:spacing w:after="0" w:line="73" w:lineRule="exact"/>
        <w:rPr>
          <w:sz w:val="20"/>
          <w:szCs w:val="20"/>
          <w:color w:val="auto"/>
        </w:rPr>
      </w:pPr>
    </w:p>
    <w:p>
      <w:pPr>
        <w:jc w:val="both"/>
        <w:ind w:firstLine="384"/>
        <w:spacing w:after="0" w:line="277" w:lineRule="auto"/>
        <w:rPr>
          <w:sz w:val="20"/>
          <w:szCs w:val="20"/>
          <w:color w:val="auto"/>
        </w:rPr>
      </w:pPr>
      <w:r>
        <w:rPr>
          <w:rFonts w:ascii="Arial" w:cs="Arial" w:eastAsia="Arial" w:hAnsi="Arial"/>
          <w:sz w:val="18"/>
          <w:szCs w:val="18"/>
          <w:color w:val="auto"/>
        </w:rPr>
        <w:t>General and administrative expense as a percentage of revenue decreased to 10% in the first quarter of 2016 compared to 14% in the first quarter of 2015.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that are not capitalized, for personnel engaged in the design, development, testing and enhancement of technology.</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Product development expense increased in the first quarter of 2016 compared to the first quarter of 2015, as we continued to invest in internal development of new and enhanced features, functionality and business opportunities that we believe will enable us to better and more fully serve consumers and lenders. Product development expenses are comprised primarily of compensation and other employee-related costs. We increased headcount in the first quarter of 2016 compared to the first quarter of 2015 in order to support planned product launches.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first quarter of 2016, the effective tax rate varied from the federal statutory rate of 35% primarily due to state taxes.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first quarter of 2015, the effective tax rate varied from the federal statutory rate of 35% primarily due to the existence of a valuation allowance that was previously provided to offset our net deferred tax asset, state taxes and the Federal Alternative Minimum Tax. During the fourth quarter of 2015, we released the majority of the valuation allowance.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our valuation allowance assessment for the first quarter of 2016.</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Losses from discontinued operations are attributable to losses associated with the LendingTree Loans business, the sale of which was completed on June 6, 2012. Losses from discontinued operations were primarily due to litigation settlements and contingencies and legal fees associated with ongoing legal proceedings.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to further exclude (1) non-cash compensation expense, (2) non-cash impairment charges, (3) gain/loss on disposal of assets,</w:t>
      </w:r>
    </w:p>
    <w:p>
      <w:pPr>
        <w:jc w:val="both"/>
        <w:ind w:firstLine="8"/>
        <w:spacing w:after="0" w:line="252" w:lineRule="auto"/>
        <w:tabs>
          <w:tab w:leader="none" w:pos="298"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restructuring and severance expenses, (5) litigation settlements and contingencies and legal fees for certain patent litigation, (6) adjustments for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reconciliation of Adjusted EBITDA to net income from continuing operations.</w:t>
      </w:r>
    </w:p>
    <w:p>
      <w:pPr>
        <w:spacing w:after="0" w:line="172"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9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p>
      <w:pPr>
        <w:ind w:left="9440"/>
        <w:spacing w:after="0"/>
        <w:tabs>
          <w:tab w:leader="none" w:pos="1068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37465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3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15,797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8,936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Adjustments to reconcile to net income from continuing operations:</w:t>
            </w:r>
          </w:p>
        </w:tc>
        <w:tc>
          <w:tcPr>
            <w:tcW w:w="2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(998)</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7"/>
        </w:trPr>
        <w:tc>
          <w:tcPr>
            <w:tcW w:w="6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(2,633)</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Acquisition expense</w:t>
            </w:r>
          </w:p>
        </w:tc>
        <w:tc>
          <w:tcPr>
            <w:tcW w:w="23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6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Interest (expense) income</w:t>
            </w:r>
          </w:p>
        </w:tc>
        <w:tc>
          <w:tcPr>
            <w:tcW w:w="2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4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6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(4,798)</w:t>
            </w: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3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6,905</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5,413</w:t>
            </w:r>
          </w:p>
        </w:tc>
      </w:tr>
      <w:tr>
        <w:trPr>
          <w:trHeight w:val="34"/>
        </w:trPr>
        <w:tc>
          <w:tcPr>
            <w:tcW w:w="69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2016, we had $174.2 million of cash and cash equivalents and $4.1 million of restricted cash and cash equivalents, compared to $207.0 million of cash and cash equivalents and $6.5 million of restricted cash and cash equivalents as of December 31, 2015.</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November 2015, the Company completed an equity offering of 852,500 shares of its common stock. The Company received net proceeds of $91.5 million, after deducting approximately $5.9 million in underwriting discounts and $0.7 million in offering expenses. The Company expects to use the net proceeds of the offering for general corporate purposes, including but not limited to, working capital and potential acquisitions.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revolving credit facility described below is an additional potential source of liquidity.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22, 2015, we established a $125.0 million five-year Senior Secured Revolving Credit Facility which matures on October 22, 2020 (the “Revolving Credit Facility”). The proceeds of the Revolving Credit Facility can be used to finance working capital needs, capital expenditures and general corporate purposes, including to finance permitted acquisitions. As of May 5, 2016, we do not have any borrowings outstanding under the Revolving Credit Facility.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additional information on the Revolving Credit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9—Revolving Credit Facility,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center"/>
              <w:ind w:right="234"/>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264"/>
        </w:trPr>
        <w:tc>
          <w:tcPr>
            <w:tcW w:w="46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196"/>
        </w:trPr>
        <w:tc>
          <w:tcPr>
            <w:tcW w:w="46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center"/>
              <w:ind w:left="599"/>
              <w:spacing w:after="0"/>
              <w:rPr>
                <w:sz w:val="20"/>
                <w:szCs w:val="20"/>
                <w:color w:val="auto"/>
              </w:rPr>
            </w:pPr>
            <w:r>
              <w:rPr>
                <w:rFonts w:ascii="Arial" w:cs="Arial" w:eastAsia="Arial" w:hAnsi="Arial"/>
                <w:sz w:val="14"/>
                <w:szCs w:val="14"/>
                <w:b w:val="1"/>
                <w:bCs w:val="1"/>
                <w:i w:val="1"/>
                <w:iCs w:val="1"/>
                <w:color w:val="auto"/>
                <w:w w:val="89"/>
              </w:rPr>
              <w:t>(in thousands)</w:t>
            </w:r>
          </w:p>
        </w:tc>
        <w:tc>
          <w:tcPr>
            <w:tcW w:w="1000" w:type="dxa"/>
            <w:vAlign w:val="bottom"/>
          </w:tcPr>
          <w:p>
            <w:pPr>
              <w:spacing w:after="0"/>
              <w:rPr>
                <w:sz w:val="17"/>
                <w:szCs w:val="17"/>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8,074</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5,340</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9"/>
              <w:spacing w:after="0"/>
              <w:rPr>
                <w:sz w:val="20"/>
                <w:szCs w:val="20"/>
                <w:color w:val="auto"/>
              </w:rPr>
            </w:pPr>
            <w:r>
              <w:rPr>
                <w:rFonts w:ascii="Arial" w:cs="Arial" w:eastAsia="Arial" w:hAnsi="Arial"/>
                <w:sz w:val="18"/>
                <w:szCs w:val="18"/>
                <w:color w:val="auto"/>
              </w:rPr>
              <w:t>303</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(1,091)</w:t>
            </w:r>
          </w:p>
        </w:tc>
      </w:tr>
      <w:tr>
        <w:trPr>
          <w:trHeight w:val="27"/>
        </w:trPr>
        <w:tc>
          <w:tcPr>
            <w:tcW w:w="46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(40,818)</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r>
      <w:tr>
        <w:trPr>
          <w:trHeight w:val="453"/>
        </w:trPr>
        <w:tc>
          <w:tcPr>
            <w:tcW w:w="4640" w:type="dxa"/>
            <w:vAlign w:val="bottom"/>
            <w:tcBorders>
              <w:top w:val="single" w:sz="8" w:color="999999"/>
            </w:tcBorders>
          </w:tcPr>
          <w:p>
            <w:pPr>
              <w:spacing w:after="0"/>
              <w:rPr>
                <w:sz w:val="24"/>
                <w:szCs w:val="24"/>
                <w:color w:val="auto"/>
              </w:rPr>
            </w:pPr>
          </w:p>
        </w:tc>
        <w:tc>
          <w:tcPr>
            <w:tcW w:w="3680" w:type="dxa"/>
            <w:vAlign w:val="bottom"/>
            <w:tcBorders>
              <w:top w:val="single" w:sz="8" w:color="999999"/>
            </w:tcBorders>
          </w:tcPr>
          <w:p>
            <w:pPr>
              <w:jc w:val="right"/>
              <w:ind w:right="2430"/>
              <w:spacing w:after="0"/>
              <w:rPr>
                <w:sz w:val="20"/>
                <w:szCs w:val="20"/>
                <w:color w:val="auto"/>
              </w:rPr>
            </w:pPr>
            <w:r>
              <w:rPr>
                <w:rFonts w:ascii="Arial" w:cs="Arial" w:eastAsia="Arial" w:hAnsi="Arial"/>
                <w:sz w:val="18"/>
                <w:szCs w:val="18"/>
                <w:color w:val="auto"/>
              </w:rPr>
              <w:t>26</w:t>
            </w:r>
          </w:p>
        </w:tc>
        <w:tc>
          <w:tcPr>
            <w:tcW w:w="340" w:type="dxa"/>
            <w:vAlign w:val="bottom"/>
            <w:tcBorders>
              <w:top w:val="single" w:sz="8" w:color="999999"/>
            </w:tcBorders>
          </w:tcPr>
          <w:p>
            <w:pPr>
              <w:spacing w:after="0"/>
              <w:rPr>
                <w:sz w:val="24"/>
                <w:szCs w:val="24"/>
                <w:color w:val="auto"/>
              </w:rPr>
            </w:pPr>
          </w:p>
        </w:tc>
        <w:tc>
          <w:tcPr>
            <w:tcW w:w="1200" w:type="dxa"/>
            <w:vAlign w:val="bottom"/>
            <w:tcBorders>
              <w:top w:val="single" w:sz="8" w:color="999999"/>
            </w:tcBorders>
          </w:tcPr>
          <w:p>
            <w:pPr>
              <w:spacing w:after="0"/>
              <w:rPr>
                <w:sz w:val="24"/>
                <w:szCs w:val="24"/>
                <w:color w:val="auto"/>
              </w:rPr>
            </w:pPr>
          </w:p>
        </w:tc>
        <w:tc>
          <w:tcPr>
            <w:tcW w:w="540" w:type="dxa"/>
            <w:vAlign w:val="bottom"/>
            <w:tcBorders>
              <w:top w:val="single" w:sz="8" w:color="999999"/>
            </w:tcBorders>
          </w:tcPr>
          <w:p>
            <w:pPr>
              <w:spacing w:after="0"/>
              <w:rPr>
                <w:sz w:val="24"/>
                <w:szCs w:val="24"/>
                <w:color w:val="auto"/>
              </w:rPr>
            </w:pPr>
          </w:p>
        </w:tc>
        <w:tc>
          <w:tcPr>
            <w:tcW w:w="1000" w:type="dxa"/>
            <w:vAlign w:val="bottom"/>
            <w:tcBorders>
              <w:top w:val="single" w:sz="8" w:color="999999"/>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largest source of cash provided by our operating activities is revenues generated by our mortgage and non-mortgage products. Our primary uses of cash from our operating activities include advertising and promotional payments and fees paid for consumer inquiries. In addition, our uses of cash from operating activities include compensation and other employee-related costs, other general corporate expenditures, litigation settlements and contingencies and income taxes.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attributable to continuing operations increased in the first quarter of 2016 from the first quarter of 2015 primarily due to an increase in revenue, partially offset by an increase in cost of revenue and selling and marketing. Additionally, negative working capital decreased in the first quarter of 2016 compared to the first quarter of 2015 primarily driven by changes in accounts receivable and prepaid and other current assets and income taxes payable.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investing activities attributable to continuing operations in the first three months of 2016 of $0.3 million consisted primarily of a $2.5 million decrease in restricted cash due to the release of funds in escrow for the surety bonds due to a reduction in collateral requirements, partially offset by capital expenditures of $2.2 million primarily related to internally developed software.</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attributable to continuing operations in the first three months of 2015 of $1.1 million consisted primarily of capital expenditures of $1.2 million; offset by a $0.1 million decrease in restricted cash.</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attributable to continuing operations in the first three months of 2016 of $40.8 million consisted primarily of the repurchase of our stock of $40.5 million, $2.6 million in withholding taxes paid by us upon surrender of shares to satisfy obligations on equity awards; offset by $2.3 million in excess tax benefits from stock-based award activity.</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attributable to continuing operations in the first three months of 2015 of $1.8 million consisted primarily of $1.6 million in employee withholding taxes paid by us upon employees' surrender of shares to satisfy withholding obligations on equity awards and $0.2 million for the repurchase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 off-balance sheet arrangements other than our operating lease obligations and funding commitments pursuant to our surety bonds.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see Note 2- 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Other than our Revolving Credit Facility, which currently has no borrowings outstanding, we do not have any financial instruments that are exposed to significant market risk. We maintain our cash and cash equivalents in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Revolving Credit Facility, if any.</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March 31, 2016,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quarter of 2016, we implemented a new enterprise resource planning ("ERP") system. The new ERP system was designed and implemented, in part, to enhance the overall system of internal controls over financial reporting through further automation and integration of business processes and was not implemented in response to any identified deficiency in our internal controls over financial reporting. This implementation was significant in scale and complexity and significantly affected certain accounting functions. Both during and after the implementation, we maintained our internal control design by changing detailed key controls to achieve all key financial reporting assertions.</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than the ERP implementation, there were no changes in our internal controls over financial reporting (as defined in Rules 13a-15(f) and 15d-15(f) under the Exchange Act) during the quarterly period ended March 31, 2016 that have materially affected, or are reasonably likely to materially affect, our internal controls over financial reporting.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2015 Annual Report and updated that information in Note 10—Contingencies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2015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each of January 2010, May 2014, January 2016 and February 2016, the board of directors authorized and we announced a stock repurchase program which allowed for the repurchase of up to $10.0 million, $10.0 million, $50.0 million and $40.0 million, respectively, of our common stock. At March 31, 2016, approximately $56.7 million remains authorized for share repurchase under this program.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March 31, 2016, 580,014 shares of common stock were repurchased under the stock repurchase program.</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the LendingTree Fourth Amended and Restated 2008 Stock and Award Incentive Plan allows employees to forfeit shares of our common stock to satisfy federal and state withholding obligations upon the exercise of stock options, the settlement of restricted stock unit awards and the vesting of restricted stock awards granted to those individuals under this plan. During the quarter ended March 31, 2016, 41,506 shares were purchased related to these obligations under the LendingTree Fourth Amended and Restated 2008 Stock and Award Incentive Plan. The withholding of those shares does not affect the dollar amount or number of shares that may be purchased under the stock repurchase program described above.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March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90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w:t>
            </w: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Paid per Share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1/1/16 - 1/31/16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492,800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69.53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492,800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22,996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2/1/16 - 2/29/16</w:t>
            </w: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121,728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68.49</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80,570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21"/>
              <w:spacing w:after="0"/>
              <w:rPr>
                <w:sz w:val="20"/>
                <w:szCs w:val="20"/>
                <w:color w:val="auto"/>
              </w:rPr>
            </w:pPr>
            <w:r>
              <w:rPr>
                <w:rFonts w:ascii="Arial" w:cs="Arial" w:eastAsia="Arial" w:hAnsi="Arial"/>
                <w:sz w:val="18"/>
                <w:szCs w:val="18"/>
                <w:color w:val="auto"/>
              </w:rPr>
              <w:t>57,273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3/1/16 - 3/31/16</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90.31</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6,644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56,673</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621,520</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69.56</w:t>
            </w: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580,014</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56,673</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January 2016, February 2016 and March 2016, 0 shares, 41,158 shares and 348 shares, respectively (totaling 41,506 shares), were purchased to satisfy federal and state withholding obligations of our employees upon the settlement of restricted stock unit awards, all in accordance with our Fourth Amended and Restated 2008 Stock and Award Incentive Plan, as described above.</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Exhibit</w:t>
            </w:r>
          </w:p>
        </w:tc>
        <w:tc>
          <w:tcPr>
            <w:tcW w:w="656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Description</w:t>
            </w:r>
          </w:p>
        </w:tc>
        <w:tc>
          <w:tcPr>
            <w:tcW w:w="380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Location</w:t>
            </w:r>
          </w:p>
        </w:tc>
      </w:tr>
      <w:tr>
        <w:trPr>
          <w:trHeight w:val="121"/>
        </w:trPr>
        <w:tc>
          <w:tcPr>
            <w:tcW w:w="106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3800" w:type="dxa"/>
            <w:vAlign w:val="bottom"/>
          </w:tcPr>
          <w:p>
            <w:pPr>
              <w:spacing w:after="0"/>
              <w:rPr>
                <w:sz w:val="10"/>
                <w:szCs w:val="10"/>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Amended and Restated Certificate of Incorporation of LendingTree, Inc.</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Exhibit 3.1 to the Registrant's Current Report on</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Form 8-K filed August 25, 2008</w:t>
            </w: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6560" w:type="dxa"/>
            <w:vAlign w:val="bottom"/>
          </w:tcPr>
          <w:p>
            <w:pPr>
              <w:ind w:left="140"/>
              <w:spacing w:after="0"/>
              <w:rPr>
                <w:sz w:val="20"/>
                <w:szCs w:val="20"/>
                <w:color w:val="auto"/>
              </w:rPr>
            </w:pPr>
            <w:r>
              <w:rPr>
                <w:rFonts w:ascii="Arial" w:cs="Arial" w:eastAsia="Arial" w:hAnsi="Arial"/>
                <w:sz w:val="18"/>
                <w:szCs w:val="18"/>
                <w:color w:val="auto"/>
              </w:rPr>
              <w:t>Third Amended and Restated By-laws of LendingTree, Inc.</w:t>
            </w:r>
          </w:p>
        </w:tc>
        <w:tc>
          <w:tcPr>
            <w:tcW w:w="3800" w:type="dxa"/>
            <w:vAlign w:val="bottom"/>
          </w:tcPr>
          <w:p>
            <w:pPr>
              <w:ind w:left="80"/>
              <w:spacing w:after="0"/>
              <w:rPr>
                <w:sz w:val="20"/>
                <w:szCs w:val="20"/>
                <w:color w:val="auto"/>
              </w:rPr>
            </w:pPr>
            <w:r>
              <w:rPr>
                <w:rFonts w:ascii="Arial" w:cs="Arial" w:eastAsia="Arial" w:hAnsi="Arial"/>
                <w:sz w:val="18"/>
                <w:szCs w:val="18"/>
                <w:color w:val="auto"/>
                <w:w w:val="96"/>
              </w:rPr>
              <w:t>Exhibit 3.2 to the Registrant's Current Report on</w:t>
            </w:r>
          </w:p>
        </w:tc>
      </w:tr>
      <w:tr>
        <w:trPr>
          <w:trHeight w:val="230"/>
        </w:trPr>
        <w:tc>
          <w:tcPr>
            <w:tcW w:w="106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800" w:type="dxa"/>
            <w:vAlign w:val="bottom"/>
          </w:tcPr>
          <w:p>
            <w:pPr>
              <w:ind w:left="80"/>
              <w:spacing w:after="0"/>
              <w:rPr>
                <w:sz w:val="20"/>
                <w:szCs w:val="20"/>
                <w:color w:val="auto"/>
              </w:rPr>
            </w:pPr>
            <w:r>
              <w:rPr>
                <w:rFonts w:ascii="Arial" w:cs="Arial" w:eastAsia="Arial" w:hAnsi="Arial"/>
                <w:sz w:val="18"/>
                <w:szCs w:val="18"/>
                <w:color w:val="auto"/>
              </w:rPr>
              <w:t>Form 8-K filed December 31, 2014</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Employment Agreement between LendingTree, Inc. and Neil Salvage, dated August 2,</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2013*</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10.2</w:t>
            </w:r>
          </w:p>
        </w:tc>
        <w:tc>
          <w:tcPr>
            <w:tcW w:w="6560" w:type="dxa"/>
            <w:vAlign w:val="bottom"/>
          </w:tcPr>
          <w:p>
            <w:pPr>
              <w:ind w:left="140"/>
              <w:spacing w:after="0"/>
              <w:rPr>
                <w:sz w:val="20"/>
                <w:szCs w:val="20"/>
                <w:color w:val="auto"/>
              </w:rPr>
            </w:pPr>
            <w:r>
              <w:rPr>
                <w:rFonts w:ascii="Arial" w:cs="Arial" w:eastAsia="Arial" w:hAnsi="Arial"/>
                <w:sz w:val="18"/>
                <w:szCs w:val="18"/>
                <w:color w:val="auto"/>
                <w:w w:val="98"/>
              </w:rPr>
              <w:t>Letter Agreement between LendingTree, Inc. and Neil Salvage, dated January 15,</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2015*</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Certification of the Chief Executive Officer pursuant to Rule 13a-14(a) or Rule 15d-</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shd w:val="clear" w:color="auto" w:fill="CCEEFF"/>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14(a) of the Securities Exchange Act of 1934 as adopted pursuant to Section 302 of the</w:t>
            </w:r>
          </w:p>
        </w:tc>
        <w:tc>
          <w:tcPr>
            <w:tcW w:w="3800" w:type="dxa"/>
            <w:vAlign w:val="bottom"/>
            <w:shd w:val="clear" w:color="auto" w:fill="CCEEFF"/>
          </w:tcPr>
          <w:p>
            <w:pPr>
              <w:spacing w:after="0"/>
              <w:rPr>
                <w:sz w:val="18"/>
                <w:szCs w:val="18"/>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31.2</w:t>
            </w:r>
          </w:p>
        </w:tc>
        <w:tc>
          <w:tcPr>
            <w:tcW w:w="6560" w:type="dxa"/>
            <w:vAlign w:val="bottom"/>
          </w:tcPr>
          <w:p>
            <w:pPr>
              <w:ind w:left="140"/>
              <w:spacing w:after="0"/>
              <w:rPr>
                <w:sz w:val="20"/>
                <w:szCs w:val="20"/>
                <w:color w:val="auto"/>
              </w:rPr>
            </w:pPr>
            <w:r>
              <w:rPr>
                <w:rFonts w:ascii="Arial" w:cs="Arial" w:eastAsia="Arial" w:hAnsi="Arial"/>
                <w:sz w:val="18"/>
                <w:szCs w:val="18"/>
                <w:color w:val="auto"/>
                <w:w w:val="98"/>
              </w:rPr>
              <w:t>Certification of the Chief Financial Officer pursuant to Rule 13a-14(a) or Rule 15d-</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106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w w:val="91"/>
              </w:rPr>
              <w:t>14(a) of the Securities Exchange Act of 1934 as adopted pursuant to Section 302 of the</w:t>
            </w:r>
          </w:p>
        </w:tc>
        <w:tc>
          <w:tcPr>
            <w:tcW w:w="380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29"/>
        </w:trPr>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32.1</w:t>
            </w: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Certification of the Chief Executive Officer pursuant to 18 U.S.C. Section 1350 as</w:t>
            </w: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Borders>
              <w:bottom w:val="single" w:sz="8" w:color="CCEEFF"/>
            </w:tcBorders>
            <w:shd w:val="clear" w:color="auto" w:fill="CCEEFF"/>
          </w:tcPr>
          <w:p>
            <w:pPr>
              <w:spacing w:after="0"/>
              <w:rPr>
                <w:sz w:val="20"/>
                <w:szCs w:val="20"/>
                <w:color w:val="auto"/>
              </w:rPr>
            </w:pPr>
          </w:p>
        </w:tc>
      </w:tr>
      <w:tr>
        <w:trPr>
          <w:trHeight w:val="229"/>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32.2</w:t>
            </w:r>
          </w:p>
        </w:tc>
        <w:tc>
          <w:tcPr>
            <w:tcW w:w="6560" w:type="dxa"/>
            <w:vAlign w:val="bottom"/>
          </w:tcPr>
          <w:p>
            <w:pPr>
              <w:ind w:left="140"/>
              <w:spacing w:after="0"/>
              <w:rPr>
                <w:sz w:val="20"/>
                <w:szCs w:val="20"/>
                <w:color w:val="auto"/>
              </w:rPr>
            </w:pPr>
            <w:r>
              <w:rPr>
                <w:rFonts w:ascii="Arial" w:cs="Arial" w:eastAsia="Arial" w:hAnsi="Arial"/>
                <w:sz w:val="18"/>
                <w:szCs w:val="18"/>
                <w:color w:val="auto"/>
              </w:rPr>
              <w:t>Certification of the Chief Financial Officer pursuant to 18 U.S.C. Section 1350 as</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30"/>
        </w:trPr>
        <w:tc>
          <w:tcPr>
            <w:tcW w:w="1060" w:type="dxa"/>
            <w:vAlign w:val="bottom"/>
          </w:tcPr>
          <w:p>
            <w:pPr>
              <w:spacing w:after="0"/>
              <w:rPr>
                <w:sz w:val="20"/>
                <w:szCs w:val="20"/>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800" w:type="dxa"/>
            <w:vAlign w:val="bottom"/>
          </w:tcPr>
          <w:p>
            <w:pPr>
              <w:spacing w:after="0"/>
              <w:rPr>
                <w:sz w:val="20"/>
                <w:szCs w:val="20"/>
                <w:color w:val="auto"/>
              </w:rPr>
            </w:pP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101.INS</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Instance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101.SCH</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101.CAL</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101.DEF</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101.LAB</w:t>
            </w:r>
          </w:p>
        </w:tc>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43"/>
        </w:trPr>
        <w:tc>
          <w:tcPr>
            <w:tcW w:w="1060" w:type="dxa"/>
            <w:vAlign w:val="bottom"/>
          </w:tcPr>
          <w:p>
            <w:pPr>
              <w:jc w:val="right"/>
              <w:ind w:right="51"/>
              <w:spacing w:after="0"/>
              <w:rPr>
                <w:sz w:val="20"/>
                <w:szCs w:val="20"/>
                <w:color w:val="auto"/>
              </w:rPr>
            </w:pPr>
            <w:r>
              <w:rPr>
                <w:rFonts w:ascii="Arial" w:cs="Arial" w:eastAsia="Arial" w:hAnsi="Arial"/>
                <w:sz w:val="18"/>
                <w:szCs w:val="18"/>
                <w:color w:val="auto"/>
              </w:rPr>
              <w:t>101.PRE</w:t>
            </w:r>
          </w:p>
        </w:tc>
        <w:tc>
          <w:tcPr>
            <w:tcW w:w="656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3800" w:type="dxa"/>
            <w:vAlign w:val="bottom"/>
          </w:tcPr>
          <w:p>
            <w:pPr>
              <w:ind w:left="320"/>
              <w:spacing w:after="0"/>
              <w:rPr>
                <w:sz w:val="20"/>
                <w:szCs w:val="20"/>
                <w:color w:val="auto"/>
              </w:rPr>
            </w:pPr>
            <w:r>
              <w:rPr>
                <w:rFonts w:ascii="Arial" w:cs="Arial" w:eastAsia="Arial" w:hAnsi="Arial"/>
                <w:sz w:val="18"/>
                <w:szCs w:val="18"/>
                <w:color w:val="auto"/>
              </w:rPr>
              <w: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4" w:lineRule="auto"/>
        <w:tabs>
          <w:tab w:leader="none" w:pos="25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64" w:lineRule="auto"/>
        <w:tabs>
          <w:tab w:leader="none" w:pos="1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8246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REVISED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2,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Neil J. Salvage,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1040 Spyglass Ln.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Waxhaw, NC 28173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Neil,</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It is with great pleasure that I confirm our offer and your acceptance of the position of General Manager, Home Services with Tree.com, Inc. (“Company”), located in Charlotte, North Carolina. We are excited to have you join us!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You will report directly to Doug Lebda, CEO, and you will be based in the Company’s Corporate office in Charlotte. You will begin work on Monday, July 15, 2013 at 9:00AM.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Highlights of your offer of employment are outlined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Base Pay: </w:t>
      </w:r>
      <w:r>
        <w:rPr>
          <w:rFonts w:ascii="Arial" w:cs="Arial" w:eastAsia="Arial" w:hAnsi="Arial"/>
          <w:sz w:val="18"/>
          <w:szCs w:val="18"/>
          <w:color w:val="auto"/>
        </w:rPr>
        <w:t>You will be paid on an exempt basis at a bi-weekly rate of $15,000 ($390,000 annualized).</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Bonus Pay: </w:t>
      </w:r>
      <w:r>
        <w:rPr>
          <w:rFonts w:ascii="Arial" w:cs="Arial" w:eastAsia="Arial" w:hAnsi="Arial"/>
          <w:sz w:val="16"/>
          <w:szCs w:val="16"/>
          <w:color w:val="auto"/>
        </w:rPr>
        <w:t>You will be eligible to receive an annual incentive bonus with a target of 60% of your Base Salary. Payouts can be greater than or less than target</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a function of individual and company performance as well as management discretion and may not be awarded in each year. You will receive guaranteed bonus payments at target for Q3 2013 and Q4 2013, each in the amount of $117,000. Payment of all bonus amounts described herein, including any guaranteed amounts, is conditioned upon your continued employment with the Company or the date that bonus payments are made to Company employees. Please note that all applicable deductions will be made from bonus checks, such as 401k contributions (if any), Federal and State taxes, etc.</w:t>
      </w:r>
    </w:p>
    <w:p>
      <w:pPr>
        <w:spacing w:after="0" w:line="154"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 xml:space="preserve">Additional Bonus: </w:t>
      </w:r>
      <w:r>
        <w:rPr>
          <w:rFonts w:ascii="Arial" w:cs="Arial" w:eastAsia="Arial" w:hAnsi="Arial"/>
          <w:sz w:val="18"/>
          <w:szCs w:val="18"/>
          <w:color w:val="auto"/>
        </w:rPr>
        <w:t>You will be eligible for an additional bonus in the amount of $18,500 at target, at the time/in the event the Home Services vertical</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run rate break even for calendar year 2013.</w:t>
      </w:r>
    </w:p>
    <w:p>
      <w:pPr>
        <w:spacing w:after="0" w:line="175"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b w:val="1"/>
          <w:bCs w:val="1"/>
          <w:color w:val="auto"/>
        </w:rPr>
        <w:t xml:space="preserve">Sign-on Bonus: </w:t>
      </w:r>
      <w:r>
        <w:rPr>
          <w:rFonts w:ascii="Arial" w:cs="Arial" w:eastAsia="Arial" w:hAnsi="Arial"/>
          <w:sz w:val="18"/>
          <w:szCs w:val="18"/>
          <w:color w:val="auto"/>
        </w:rPr>
        <w:t>You will receive a sign-on bonus in the amount of $10,000, payable with your first pay check. In the event you voluntarily leave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less than one (1) year from your date of hire, you agree to reimburse the Company for the full amount of this sign-on bonus. You will be asked to sign a promissory note to this effect upon commencement of employment. Please note that all applicable deductions will be taken from the bonus check (Federal and State taxes, etc.).</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Equity: </w:t>
      </w:r>
      <w:r>
        <w:rPr>
          <w:rFonts w:ascii="Arial" w:cs="Arial" w:eastAsia="Arial" w:hAnsi="Arial"/>
          <w:sz w:val="17"/>
          <w:szCs w:val="17"/>
          <w:color w:val="auto"/>
        </w:rPr>
        <w:t>Subject to the approval of the Compensation Committee of the Board of Directors of Tree.com, Inc., you will be eligible to receive an award</w:t>
      </w:r>
    </w:p>
    <w:p>
      <w:pPr>
        <w:spacing w:after="0" w:line="39"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of 46,314 Restricted Stock Units (RSUs) under the Third Amended and Restated Tree.com, Inc. 2008 Stock and Annual Incentive Plan (the “Plan”). 18,222 of these shares will vest during February 2014, and the remainder will vest in two equal parts during February 2015 and February 2016 per the terms of the Plan.</w:t>
      </w:r>
    </w:p>
    <w:p>
      <w:pPr>
        <w:spacing w:after="0" w:line="1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February 2014, you will receive an equity grant of RSUs equal to $100,000 divided by the closing price on February 19, 2014 to follow the Company’s regular vesting schedule, upon Compensation Committee approval.</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approved, you will receive an award notice providing the details of your grants (including the Terms and Conditions), and an account will be established for you at Smith Barney, the Plan administrator. On the Smith Barney website, you can find detailed information on your award, as well as the Terms and Conditions and the Plan. Your grant will be governed by the award notice, the Terms and Conditions and the Plan. Please review all of this documentation carefully for a more complete description of your grant, and note that you will be required to acknowledge and accept the Terms and Conditions. Your failure to do so may result in the nullification of your award.</w:t>
      </w:r>
    </w:p>
    <w:p>
      <w:pPr>
        <w:spacing w:after="0" w:line="18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Home Services Equity Program: </w:t>
      </w:r>
      <w:r>
        <w:rPr>
          <w:rFonts w:ascii="Arial" w:cs="Arial" w:eastAsia="Arial" w:hAnsi="Arial"/>
          <w:sz w:val="18"/>
          <w:szCs w:val="18"/>
          <w:color w:val="auto"/>
        </w:rPr>
        <w:t>You will receive restricted shares of Class B Common Stock in Tree Home Services, Inc. These shares would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Standard Terms and Conditions for Tree Home Services, Inc. Restricted Stock Award which describe various terms and conditions applicable to the Class B Common Stock, including, but not limited to:</w:t>
      </w:r>
    </w:p>
    <w:p>
      <w:pPr>
        <w:sectPr>
          <w:pgSz w:w="11900" w:h="16838" w:orient="portrait"/>
          <w:cols w:equalWidth="0" w:num="1">
            <w:col w:w="11420"/>
          </w:cols>
          <w:pgMar w:left="240" w:top="580" w:right="239" w:bottom="1440" w:gutter="0" w:footer="0" w:header="0"/>
        </w:sectPr>
      </w:pPr>
    </w:p>
    <w:bookmarkStart w:id="32" w:name="page33"/>
    <w:bookmarkEnd w:id="32"/>
    <w:p>
      <w:pPr>
        <w:spacing w:after="0" w:line="264" w:lineRule="auto"/>
        <w:rPr>
          <w:sz w:val="20"/>
          <w:szCs w:val="20"/>
          <w:color w:val="auto"/>
        </w:rPr>
      </w:pPr>
      <w:r>
        <w:rPr>
          <w:rFonts w:ascii="Arial" w:cs="Arial" w:eastAsia="Arial" w:hAnsi="Arial"/>
          <w:sz w:val="18"/>
          <w:szCs w:val="18"/>
          <w:color w:val="auto"/>
        </w:rPr>
        <w:t>continuous service requirements; early vesting events; transfer restrictions; and repurchase and sale rights upon vesting. Determination of the “fair value” of the shares for resale/sale purposes is also addressed therein. Shortly after your hire, we will work with the CEO to further define this program and the targeted stake in the Home Services business it would provide you.</w:t>
      </w:r>
    </w:p>
    <w:p>
      <w:pPr>
        <w:spacing w:after="0" w:line="191"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color w:val="auto"/>
        </w:rPr>
        <w:t xml:space="preserve">Additional Employment Terms: </w:t>
      </w:r>
      <w:r>
        <w:rPr>
          <w:rFonts w:ascii="Arial" w:cs="Arial" w:eastAsia="Arial" w:hAnsi="Arial"/>
          <w:sz w:val="17"/>
          <w:szCs w:val="17"/>
          <w:color w:val="auto"/>
        </w:rPr>
        <w:t>If your employment is terminated for a reason other than cause* in the 18 months following your date of hire,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will pay you severance of twelve months’ base pay (once you sign the appropriate legal release). This severance will be paid on regularly scheduled pay dates. Should you obtain other employment of are otherwise compensated for services during the period you are receiving severance pay, the Company’s obligation to make future severance payment to you will be offset against compensation you earn from a third party. You agree to inform the Company promptly of your employment status and any compensation earned during the severance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Also, in the event of your termination for a reason other than cause, your next available tranche of equity will vest upon termination.</w:t>
      </w:r>
    </w:p>
    <w:p>
      <w:pPr>
        <w:spacing w:after="0" w:line="225"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 xml:space="preserve">*Cause will include fraud, dishonesty, theft, embezzlement, misconduct by you that is injurious to the Company or any of its affiliates, conviction of, or entry of a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crime that constitutes a felony or other crime involving moral turpitude, competition with the Company or any of its affiliates, unauthorized use of any trade secrets of the Company or any of its affiliates or Confidential Information (as defined below), a violation of any policy, code or standard of ethics generally applicable to employees of the Company, your material breach of fiduciary duties owed to the Company, your excessive and unexcused absenteeism unrelated to a disability, or, following written notice and a reasonable opportunity to cure, gross neglect by you of the duties assigned to you. In such event (i) no further Base Salary will be paid to you after the date of termination and no annual bonus will be paid to you after the date of termination, (ii) you will forfeit any earned but unpaid annual bonus relating to a previously completed Performance Year, and (iii) you will not be eligible to receive any annual bonus relating to the Performance Year in which your employment terminates.</w:t>
      </w:r>
    </w:p>
    <w:p>
      <w:pPr>
        <w:spacing w:after="0" w:line="193" w:lineRule="exact"/>
        <w:rPr>
          <w:sz w:val="20"/>
          <w:szCs w:val="20"/>
          <w:color w:val="auto"/>
        </w:rPr>
      </w:pPr>
    </w:p>
    <w:p>
      <w:pPr>
        <w:ind w:right="420"/>
        <w:spacing w:after="0" w:line="285" w:lineRule="auto"/>
        <w:rPr>
          <w:sz w:val="20"/>
          <w:szCs w:val="20"/>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You will be eligible to participate in the Company's benefits plans, including medical, dental, vision, group life insurance, disability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effective the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day of your employment.</w:t>
      </w:r>
    </w:p>
    <w:p>
      <w:pPr>
        <w:spacing w:after="0" w:line="57"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b w:val="1"/>
          <w:bCs w:val="1"/>
          <w:color w:val="auto"/>
        </w:rPr>
        <w:t>Paid Time Off</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After you have completed 60 days of employment as a regular full-time employee, you are eligible to take reasonable amounts of time off</w:t>
      </w:r>
      <w:r>
        <w:rPr>
          <w:rFonts w:ascii="Arial" w:cs="Arial" w:eastAsia="Arial" w:hAnsi="Arial"/>
          <w:sz w:val="18"/>
          <w:szCs w:val="18"/>
          <w:b w:val="1"/>
          <w:bCs w:val="1"/>
          <w:color w:val="auto"/>
        </w:rPr>
        <w:t xml:space="preserve"> </w:t>
      </w:r>
      <w:r>
        <w:rPr>
          <w:rFonts w:ascii="Arial" w:cs="Arial" w:eastAsia="Arial" w:hAnsi="Arial"/>
          <w:sz w:val="18"/>
          <w:szCs w:val="18"/>
          <w:color w:val="auto"/>
        </w:rPr>
        <w:t>with pay with your manager’s approval. Your manager will approve or not approve time off based on performance, business necessity and any other factors important to the successful operation of your department.</w:t>
      </w:r>
    </w:p>
    <w:p>
      <w:pPr>
        <w:spacing w:after="0" w:line="16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You will be eligible to participate in the Company's Retirement Savings Plan (a 401(k) plan) on your date of hire. You may contribute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one percent (1%) and fifty percent (50%) of pay on a pre-tax basis and between one percent (1%) and ten percent (10%) on an after-tax basis. As a convenience, approximately 90 days after your date of hire, you will be automatically enrolled in the Plan with a pre-tax deferral rate of three percent (3%) of your eligible earnings, contributed via payroll deductions. You may opt out at any time, even before the first deduction is taken, by contacting the Company’s Benefits Department.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reserves the right to modify its compensation and benefits programs at any time.</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is an at-will employer, and it reserves the right to change the terms and conditions of employment, including but not limited to termination, demotion, promotion, transfer, compensation, benefits, duties and location of work. Neither this offer letter nor any other written or verbal communications are intended to create a contract of employment or a promise of long-term employment. All employment with the Company is at 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offer of employment is contingent upon:</w:t>
      </w:r>
    </w:p>
    <w:p>
      <w:pPr>
        <w:spacing w:after="0" w:line="23" w:lineRule="exact"/>
        <w:rPr>
          <w:sz w:val="20"/>
          <w:szCs w:val="20"/>
          <w:color w:val="auto"/>
        </w:rPr>
      </w:pPr>
    </w:p>
    <w:p>
      <w:pPr>
        <w:ind w:left="660" w:right="1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Full compliance with the Immigration Reform and Control Act of 1986 (I9) which requires new employees to provide documentation/identification to establish both identity and work authorization </w:t>
      </w:r>
      <w:r>
        <w:rPr>
          <w:rFonts w:ascii="Arial" w:cs="Arial" w:eastAsia="Arial" w:hAnsi="Arial"/>
          <w:sz w:val="18"/>
          <w:szCs w:val="18"/>
          <w:b w:val="1"/>
          <w:bCs w:val="1"/>
          <w:color w:val="auto"/>
        </w:rPr>
        <w:t>within 3 days of their hire</w:t>
      </w:r>
      <w:r>
        <w:rPr>
          <w:rFonts w:ascii="Arial" w:cs="Arial" w:eastAsia="Arial" w:hAnsi="Arial"/>
          <w:sz w:val="18"/>
          <w:szCs w:val="18"/>
          <w:color w:val="auto"/>
        </w:rPr>
        <w:t>.</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completion of criminal background check, credit check, references, employment/ education verifications.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Your agreement that you will not, while employed by the Company and for one (1) year thereafter:</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Work for (as an employee, consultant or independent contractor) or own* greater than five percent (5%) of shares in a publicly traded company or entity that competes with the Company. For the purposes of this restriction, “work” shall mean provide services similar to the services that you perform for the Company.</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*Ownership of less than five percent (5%) of shares in a publicly traded company does not violate this provision.</w:t>
      </w:r>
    </w:p>
    <w:p>
      <w:pPr>
        <w:sectPr>
          <w:pgSz w:w="11900" w:h="16838" w:orient="portrait"/>
          <w:cols w:equalWidth="0" w:num="1">
            <w:col w:w="11400"/>
          </w:cols>
          <w:pgMar w:left="240" w:top="584" w:right="259" w:bottom="1440" w:gutter="0" w:footer="0" w:header="0"/>
        </w:sectPr>
      </w:pPr>
    </w:p>
    <w:bookmarkStart w:id="33" w:name="page34"/>
    <w:bookmarkEnd w:id="33"/>
    <w:p>
      <w:pPr>
        <w:ind w:left="980" w:right="10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Solicit customers with whom you have direct business dealing with as part of your work for the Company to be customers of services that are competitive with the services of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Attempt to persuade other Company employees whom you supervise or have direct contact with to leave the Company.</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above restrictions are intended to protect important legitimate business interests of the Company and are not meant to prevent you from obtaining future work or earning a living. You understand that if you do not adhere to these restrictions, the Company will have the right to seek enforcement and remedy.</w:t>
      </w:r>
    </w:p>
    <w:p>
      <w:pPr>
        <w:spacing w:after="0" w:line="124"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Please acknowledge your acceptance of this offer of employment pursuant to the terms set forth above by signing below and faxing a copy to Talent Acquisition at 704-353-7261. Return the original, signed letter to Talent Acquisition on or before your first day of employment.</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excited to have you as a member of our team, and we know you will find your new role challenging, exciting and rewarding. Congratulations - and welcome to the team!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Claudette Hampton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Claudette Hampton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SVP, Human Resources &amp;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Agreed and accepted:</w:t>
            </w:r>
          </w:p>
        </w:tc>
        <w:tc>
          <w:tcPr>
            <w:tcW w:w="1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824"/>
        </w:trPr>
        <w:tc>
          <w:tcPr>
            <w:tcW w:w="2140" w:type="dxa"/>
            <w:vAlign w:val="bottom"/>
            <w:gridSpan w:val="2"/>
          </w:tcPr>
          <w:p>
            <w:pPr>
              <w:spacing w:after="0"/>
              <w:rPr>
                <w:sz w:val="20"/>
                <w:szCs w:val="20"/>
                <w:color w:val="auto"/>
              </w:rPr>
            </w:pPr>
            <w:r>
              <w:rPr>
                <w:rFonts w:ascii="Arial" w:cs="Arial" w:eastAsia="Arial" w:hAnsi="Arial"/>
                <w:sz w:val="18"/>
                <w:szCs w:val="18"/>
                <w:color w:val="auto"/>
              </w:rPr>
              <w:t>/s/ Neil J. Salvage, Jr.</w:t>
            </w:r>
          </w:p>
        </w:tc>
        <w:tc>
          <w:tcPr>
            <w:tcW w:w="2480" w:type="dxa"/>
            <w:vAlign w:val="bottom"/>
            <w:gridSpan w:val="2"/>
          </w:tcPr>
          <w:p>
            <w:pPr>
              <w:spacing w:after="0"/>
              <w:rPr>
                <w:sz w:val="20"/>
                <w:szCs w:val="20"/>
                <w:color w:val="auto"/>
              </w:rPr>
            </w:pPr>
            <w:r>
              <w:rPr>
                <w:rFonts w:ascii="Arial" w:cs="Arial" w:eastAsia="Arial" w:hAnsi="Arial"/>
                <w:sz w:val="18"/>
                <w:szCs w:val="18"/>
                <w:color w:val="auto"/>
              </w:rPr>
              <w:t>August 2, 2013</w:t>
            </w:r>
          </w:p>
        </w:tc>
      </w:tr>
      <w:tr>
        <w:trPr>
          <w:trHeight w:val="237"/>
        </w:trPr>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Neil J. Salvage, Jr.</w:t>
            </w:r>
          </w:p>
        </w:tc>
        <w:tc>
          <w:tcPr>
            <w:tcW w:w="5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360" w:type="dxa"/>
            <w:vAlign w:val="bottom"/>
          </w:tcPr>
          <w:p>
            <w:pPr>
              <w:ind w:left="1020"/>
              <w:spacing w:after="0"/>
              <w:rPr>
                <w:sz w:val="20"/>
                <w:szCs w:val="20"/>
                <w:color w:val="auto"/>
              </w:rPr>
            </w:pPr>
            <w:r>
              <w:rPr>
                <w:rFonts w:ascii="Arial" w:cs="Arial" w:eastAsia="Arial" w:hAnsi="Arial"/>
                <w:sz w:val="18"/>
                <w:szCs w:val="18"/>
                <w:color w:val="auto"/>
                <w:w w:val="84"/>
              </w:rPr>
              <w:t>Date</w:t>
            </w:r>
          </w:p>
        </w:tc>
      </w:tr>
    </w:tbl>
    <w:p>
      <w:pPr>
        <w:sectPr>
          <w:pgSz w:w="11900" w:h="16838" w:orient="portrait"/>
          <w:cols w:equalWidth="0" w:num="1">
            <w:col w:w="11280"/>
          </w:cols>
          <w:pgMar w:left="240" w:top="800"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January 15,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Neil J. Salvage,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1040 Spyglass Ln.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Waxhaw, NC 28173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Neil,</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your employment is terminated for a reason other than cause*, the Company will pay you severance of six (6) months’ base pay (upon execution of a release agreement in a form reasonably acceptable to the Company). This severance will be paid on regularly scheduled pay dates. Should you obtain other employment of are otherwise compensated for services during the period you are receiving severance pay, the Company’s obligation to make future severance payment to you will be offset against compensation you earn from a third party. You agree to inform the Company promptly of your employment status and any compensation earned during the severance period.</w:t>
      </w:r>
    </w:p>
    <w:p>
      <w:pPr>
        <w:spacing w:after="0" w:line="188" w:lineRule="exact"/>
        <w:rPr>
          <w:sz w:val="20"/>
          <w:szCs w:val="20"/>
          <w:color w:val="auto"/>
        </w:rPr>
      </w:pPr>
    </w:p>
    <w:p>
      <w:pPr>
        <w:ind w:left="660" w:right="60"/>
        <w:spacing w:after="0" w:line="270" w:lineRule="auto"/>
        <w:rPr>
          <w:sz w:val="20"/>
          <w:szCs w:val="20"/>
          <w:color w:val="auto"/>
        </w:rPr>
      </w:pPr>
      <w:r>
        <w:rPr>
          <w:rFonts w:ascii="Arial" w:cs="Arial" w:eastAsia="Arial" w:hAnsi="Arial"/>
          <w:sz w:val="17"/>
          <w:szCs w:val="17"/>
          <w:color w:val="auto"/>
        </w:rPr>
        <w:t xml:space="preserve">*Cause will include fraud, dishonesty, theft, embezzlement, misconduct by you that is injurious to the Company or any of its affiliates, conviction of, or entry of a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crime that constitutes a felony or other crime involving moral turpitude, competition with the Company or any of its affiliates, unauthorized use of any trade secrets of the Company or any of its affiliates or Confidential Information (as defined below), a violation of any policy, code or standard of ethics generally applicable to employees of the Company, your material breach of fiduciary duties owed to the Company, your excessive and unexcused absenteeism unrelated to a disability, or, following written notice and a reasonable opportunity to cure, gross neglect by you of the duties assigned to you. In such event (i) no further Base Salary will be paid to you after the date of termination and no annual bonus will be paid to you after the date of termination, (ii) you will forfeit any earned but unpaid annual bonus relating to a previously completed Performance Year, and (iii) you will not be eligible to receive any annual bonus relating to the Performance Year in which your employment terminates.</w:t>
      </w:r>
    </w:p>
    <w:p>
      <w:pPr>
        <w:spacing w:after="0" w:line="18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remainder of your employment terms as set forth in your offer letter dated August 2, 2013 and the terms contained in the Company’s policies and practices shall remain in force.</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You must execute (and not revoke) such waiver and release document within forty-five (45) days following the effective date of termination of your employment by the Company other than for Cause or unacceptable performance or else your eligibility to receive the benefits described in this letter shall immediately become null and void. If such waiver and release document becomes effective on a timely basis by its own terms, then the first severance pay installment (in an amount equal to two months of your annual base salary) will be paid to you on the 60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termination of your employment and, for the ten months thereafter, you will receive pro-rata installments of the severance pay in accordance with the Company’s regularly scheduled pay dates for its employees. It is intended that any amounts payable hereunder shall comply with or be exempt from Section 409A of the Internal Revenue Code of 1986 (“Section 409A”) (including under Treasury Regulation §§ 1.409A-1(b)(4) (“short-term deferrals”) and (b)(9) (“separation pay plans,” including the exceptions under subparagraph (iii) and subparagraph (v)(D)) and other applicable provisions of Treasury Regulation §§ 1.409A-1 through A-6). For purposes of Section 409A, each of the payments that may be made under this letter shall be deemed to be a separate payment. You and the Company agree to negotiate in good faith to make amendments to this letter, as the parties mutually agree are necessary or desirable to avoid the imposition of taxes, penalties or interest under Section 409A. Neither you nor the Company shall have the right to accelerate or defer the delivery of any such payments or benefits except (i) where payment may be made within a certain period of time, the timing of payment within such period will be in the sole discretion of the Company, and (ii) to the extent specifically permitted or required by Section 409A. To the extent any nonqualified deferred compensation payment to you could be paid in one or more of your taxable years depending upon you completing certain employment-related actions, then any such payments will commence or occur in the later taxable year to the extent required by Section 409A. With respect to the time of payments of any amounts under the letter that are “deferred compensation” subject to Section 409A, references in this letter to “termination of employment” (and substantially similar phrases) shall mean “separation from service” within the meaning of Section 409A. Notwithstanding anything in this letter to the contrary, if you are considered a “specified employee” under Section 409A upon your separation from service and if payment of any amounts on account of your separation from service under this letter is required to be delayed for a period of six months after separation from service in order to avoid taxation under Section 409A, payment of such amounts shall be delayed as required by Section 409A, and the accumulated amounts shall be paid in a lump sum payment, without interest, within five business days after the end of the six-month delay period. If you die during the six-</w:t>
      </w:r>
    </w:p>
    <w:p>
      <w:pPr>
        <w:sectPr>
          <w:pgSz w:w="11900" w:h="16838" w:orient="portrait"/>
          <w:cols w:equalWidth="0" w:num="1">
            <w:col w:w="11420"/>
          </w:cols>
          <w:pgMar w:left="240" w:top="580" w:right="239" w:bottom="1440" w:gutter="0" w:footer="0" w:header="0"/>
        </w:sectPr>
      </w:pPr>
    </w:p>
    <w:bookmarkStart w:id="35" w:name="page36"/>
    <w:bookmarkEnd w:id="35"/>
    <w:p>
      <w:pPr>
        <w:spacing w:after="0" w:line="255" w:lineRule="auto"/>
        <w:rPr>
          <w:sz w:val="20"/>
          <w:szCs w:val="20"/>
          <w:color w:val="auto"/>
        </w:rPr>
      </w:pPr>
      <w:r>
        <w:rPr>
          <w:rFonts w:ascii="Arial" w:cs="Arial" w:eastAsia="Arial" w:hAnsi="Arial"/>
          <w:sz w:val="18"/>
          <w:szCs w:val="18"/>
          <w:color w:val="auto"/>
        </w:rPr>
        <w:t>month delay period prior to the payment of benefits, the amounts withheld on account of Section 409A shall be paid to the personal representative of your estate within 60 days after the date of your death. While it is intended that all payments and benefits provided to you under this letter or otherwise will be exempt from or comply with Section 409A, the Company makes no representation or covenant to ensure that such payments and benefits are exempt from or compliant with Section 409A. The Company will have no liability to you or any other party if a payment or benefit under this letter or otherwise is challenged by any taxing authority or is ultimately determined not to be so exempt or compliant. You further understand and agree that you will be entirely responsible for any and all taxes imposed on you as a result of this letter.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Claudette Parham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Claudette Parham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Human Resources &amp; Administration</w:t>
      </w:r>
    </w:p>
    <w:p>
      <w:pPr>
        <w:sectPr>
          <w:pgSz w:w="11900" w:h="16838" w:orient="portrait"/>
          <w:cols w:equalWidth="0" w:num="1">
            <w:col w:w="11400"/>
          </w:cols>
          <w:pgMar w:left="240" w:top="584" w:right="2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2016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Gabriel Dalporto, certify that:</w:t>
      </w:r>
    </w:p>
    <w:p>
      <w:pPr>
        <w:spacing w:after="0" w:line="17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2016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2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2016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May 10, 2016</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 Gabriel Dalporto, certify, pursuant to 18 U.S.C. Section 1350, as adopted pursuant to Section 906 of the Sarbanes-Oxley Act of 2002, that to my knowledge:</w:t>
      </w:r>
    </w:p>
    <w:p>
      <w:pPr>
        <w:spacing w:after="0" w:line="116" w:lineRule="exact"/>
        <w:rPr>
          <w:sz w:val="20"/>
          <w:szCs w:val="20"/>
          <w:color w:val="auto"/>
        </w:rPr>
      </w:pPr>
    </w:p>
    <w:p>
      <w:pPr>
        <w:ind w:left="340" w:right="24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2016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May 10, 2016</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Gabriel Dalporto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Gabriel Dalporto</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4"/>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lvl w:ilvl="1">
      <w:lvlJc w:val="left"/>
      <w:lvlText w:val="%2."/>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2019-12-29T11:17:59Z</dcterms:created>
  <dcterms:modified xsi:type="dcterms:W3CDTF">2019-12-29T11:17:59Z</dcterms:modified>
</cp:coreProperties>
</file>