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109855</wp:posOffset>
            </wp:positionV>
            <wp:extent cx="32315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27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84455</wp:posOffset>
            </wp:positionV>
            <wp:extent cx="32315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347" w:lineRule="exact"/>
        <w:rPr>
          <w:sz w:val="24"/>
          <w:szCs w:val="24"/>
          <w:color w:val="auto"/>
        </w:rPr>
      </w:pPr>
    </w:p>
    <w:p>
      <w:pPr>
        <w:ind w:left="960" w:hanging="561"/>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2025</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3" w:lineRule="exact"/>
        <w:rPr>
          <w:sz w:val="24"/>
          <w:szCs w:val="24"/>
          <w:color w:val="auto"/>
        </w:rPr>
      </w:pPr>
    </w:p>
    <w:p>
      <w:pPr>
        <w:ind w:left="960" w:hanging="561"/>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p>
      <w:pPr>
        <w:ind w:left="3620"/>
        <w:spacing w:after="0"/>
        <w:tabs>
          <w:tab w:leader="none" w:pos="67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46355</wp:posOffset>
            </wp:positionV>
            <wp:extent cx="32315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1515" cy="1714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158115</wp:posOffset>
            </wp:positionV>
            <wp:extent cx="113982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LendingTree,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340" w:type="dxa"/>
            <w:vAlign w:val="bottom"/>
          </w:tcPr>
          <w:p>
            <w:pPr>
              <w:spacing w:after="0"/>
              <w:rPr>
                <w:sz w:val="18"/>
                <w:szCs w:val="18"/>
                <w:color w:val="auto"/>
              </w:rPr>
            </w:pPr>
          </w:p>
        </w:tc>
        <w:tc>
          <w:tcPr>
            <w:tcW w:w="2320" w:type="dxa"/>
            <w:vAlign w:val="bottom"/>
            <w:gridSpan w:val="3"/>
          </w:tcPr>
          <w:p>
            <w:pPr>
              <w:jc w:val="center"/>
              <w:ind w:left="517"/>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60" w:type="dxa"/>
            <w:vAlign w:val="bottom"/>
            <w:gridSpan w:val="3"/>
          </w:tcPr>
          <w:p>
            <w:pPr>
              <w:jc w:val="right"/>
              <w:ind w:right="1580"/>
              <w:spacing w:after="0"/>
              <w:rPr>
                <w:sz w:val="20"/>
                <w:szCs w:val="20"/>
                <w:color w:val="auto"/>
              </w:rPr>
            </w:pPr>
            <w:r>
              <w:rPr>
                <w:rFonts w:ascii="Times New Roman" w:cs="Times New Roman" w:eastAsia="Times New Roman" w:hAnsi="Times New Roman"/>
                <w:sz w:val="16"/>
                <w:szCs w:val="16"/>
                <w:b w:val="1"/>
                <w:bCs w:val="1"/>
                <w:color w:val="auto"/>
              </w:rPr>
              <w:t>26-2414818</w:t>
            </w:r>
          </w:p>
        </w:tc>
      </w:tr>
      <w:tr>
        <w:trPr>
          <w:trHeight w:val="229"/>
        </w:trPr>
        <w:tc>
          <w:tcPr>
            <w:tcW w:w="7440" w:type="dxa"/>
            <w:vAlign w:val="bottom"/>
            <w:gridSpan w:val="7"/>
          </w:tcPr>
          <w:p>
            <w:pPr>
              <w:jc w:val="center"/>
              <w:ind w:right="184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16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403"/>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20" w:type="dxa"/>
            <w:vAlign w:val="bottom"/>
            <w:gridSpan w:val="8"/>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1415 Vantage Park Dr., Suite 700, Charlotte, North Carolina 28203</w:t>
            </w:r>
          </w:p>
        </w:tc>
      </w:tr>
      <w:tr>
        <w:trPr>
          <w:trHeight w:val="222"/>
        </w:trPr>
        <w:tc>
          <w:tcPr>
            <w:tcW w:w="1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80" w:type="dxa"/>
            <w:vAlign w:val="bottom"/>
            <w:gridSpan w:val="3"/>
          </w:tcPr>
          <w:p>
            <w:pPr>
              <w:jc w:val="center"/>
              <w:ind w:left="73"/>
              <w:spacing w:after="0"/>
              <w:rPr>
                <w:sz w:val="20"/>
                <w:szCs w:val="20"/>
                <w:color w:val="auto"/>
              </w:rPr>
            </w:pPr>
            <w:r>
              <w:rPr>
                <w:rFonts w:ascii="Times New Roman" w:cs="Times New Roman" w:eastAsia="Times New Roman" w:hAnsi="Times New Roman"/>
                <w:sz w:val="17"/>
                <w:szCs w:val="17"/>
                <w:color w:val="auto"/>
              </w:rPr>
              <w:t>(Address of principal executive offices)(Zip Code)</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04"/>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80" w:type="dxa"/>
            <w:vAlign w:val="bottom"/>
            <w:gridSpan w:val="3"/>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9"/>
              </w:rPr>
              <w:t>(704) 541-5351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22"/>
        </w:trPr>
        <w:tc>
          <w:tcPr>
            <w:tcW w:w="1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80" w:type="dxa"/>
            <w:vAlign w:val="bottom"/>
            <w:gridSpan w:val="3"/>
          </w:tcPr>
          <w:p>
            <w:pPr>
              <w:jc w:val="center"/>
              <w:ind w:left="53"/>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130"/>
        </w:trPr>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tcBorders>
              <w:bottom w:val="single" w:sz="8" w:color="auto"/>
            </w:tcBorders>
            <w:gridSpan w:val="2"/>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20" w:type="dxa"/>
            <w:vAlign w:val="bottom"/>
          </w:tcPr>
          <w:p>
            <w:pPr>
              <w:spacing w:after="0"/>
              <w:rPr>
                <w:sz w:val="11"/>
                <w:szCs w:val="11"/>
                <w:color w:val="auto"/>
              </w:rPr>
            </w:pPr>
          </w:p>
        </w:tc>
      </w:tr>
      <w:tr>
        <w:trPr>
          <w:trHeight w:val="336"/>
        </w:trPr>
        <w:tc>
          <w:tcPr>
            <w:tcW w:w="7440" w:type="dxa"/>
            <w:vAlign w:val="bottom"/>
            <w:gridSpan w:val="7"/>
          </w:tcPr>
          <w:p>
            <w:pPr>
              <w:jc w:val="center"/>
              <w:ind w:right="350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99"/>
        </w:trPr>
        <w:tc>
          <w:tcPr>
            <w:tcW w:w="1340" w:type="dxa"/>
            <w:vAlign w:val="bottom"/>
          </w:tcPr>
          <w:p>
            <w:pPr>
              <w:spacing w:after="0"/>
              <w:rPr>
                <w:sz w:val="24"/>
                <w:szCs w:val="24"/>
                <w:color w:val="auto"/>
              </w:rPr>
            </w:pPr>
          </w:p>
        </w:tc>
        <w:tc>
          <w:tcPr>
            <w:tcW w:w="2320" w:type="dxa"/>
            <w:vAlign w:val="bottom"/>
            <w:gridSpan w:val="3"/>
          </w:tcPr>
          <w:p>
            <w:pPr>
              <w:jc w:val="center"/>
              <w:ind w:right="1080"/>
              <w:spacing w:after="0"/>
              <w:rPr>
                <w:sz w:val="20"/>
                <w:szCs w:val="20"/>
                <w:color w:val="auto"/>
              </w:rPr>
            </w:pPr>
            <w:r>
              <w:rPr>
                <w:rFonts w:ascii="Times New Roman" w:cs="Times New Roman" w:eastAsia="Times New Roman" w:hAnsi="Times New Roman"/>
                <w:sz w:val="17"/>
                <w:szCs w:val="17"/>
                <w:color w:val="auto"/>
              </w:rPr>
              <w:t>Title of each class</w:t>
            </w:r>
          </w:p>
        </w:tc>
        <w:tc>
          <w:tcPr>
            <w:tcW w:w="378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color w:val="auto"/>
                <w:w w:val="99"/>
              </w:rPr>
              <w:t>Trading Symbol(s)</w:t>
            </w:r>
          </w:p>
        </w:tc>
        <w:tc>
          <w:tcPr>
            <w:tcW w:w="120" w:type="dxa"/>
            <w:vAlign w:val="bottom"/>
          </w:tcPr>
          <w:p>
            <w:pPr>
              <w:spacing w:after="0"/>
              <w:rPr>
                <w:sz w:val="24"/>
                <w:szCs w:val="24"/>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r>
      <w:tr>
        <w:trPr>
          <w:trHeight w:val="248"/>
        </w:trPr>
        <w:tc>
          <w:tcPr>
            <w:tcW w:w="3660" w:type="dxa"/>
            <w:vAlign w:val="bottom"/>
            <w:gridSpan w:val="4"/>
          </w:tcPr>
          <w:p>
            <w:pPr>
              <w:jc w:val="center"/>
              <w:ind w:left="196"/>
              <w:spacing w:after="0"/>
              <w:rPr>
                <w:sz w:val="20"/>
                <w:szCs w:val="20"/>
                <w:color w:val="auto"/>
              </w:rPr>
            </w:pPr>
            <w:r>
              <w:rPr>
                <w:rFonts w:ascii="Times New Roman" w:cs="Times New Roman" w:eastAsia="Times New Roman" w:hAnsi="Times New Roman"/>
                <w:sz w:val="17"/>
                <w:szCs w:val="17"/>
                <w:b w:val="1"/>
                <w:bCs w:val="1"/>
                <w:color w:val="auto"/>
              </w:rPr>
              <w:t>Common Stock, $0.01 par value per share</w:t>
            </w:r>
          </w:p>
        </w:tc>
        <w:tc>
          <w:tcPr>
            <w:tcW w:w="1120" w:type="dxa"/>
            <w:vAlign w:val="bottom"/>
          </w:tcPr>
          <w:p>
            <w:pPr>
              <w:spacing w:after="0"/>
              <w:rPr>
                <w:sz w:val="21"/>
                <w:szCs w:val="21"/>
                <w:color w:val="auto"/>
              </w:rPr>
            </w:pPr>
          </w:p>
        </w:tc>
        <w:tc>
          <w:tcPr>
            <w:tcW w:w="2660" w:type="dxa"/>
            <w:vAlign w:val="bottom"/>
            <w:gridSpan w:val="2"/>
          </w:tcPr>
          <w:p>
            <w:pPr>
              <w:jc w:val="center"/>
              <w:ind w:right="1380"/>
              <w:spacing w:after="0"/>
              <w:rPr>
                <w:sz w:val="20"/>
                <w:szCs w:val="20"/>
                <w:color w:val="auto"/>
              </w:rPr>
            </w:pPr>
            <w:r>
              <w:rPr>
                <w:rFonts w:ascii="Times New Roman" w:cs="Times New Roman" w:eastAsia="Times New Roman" w:hAnsi="Times New Roman"/>
                <w:sz w:val="17"/>
                <w:szCs w:val="17"/>
                <w:b w:val="1"/>
                <w:bCs w:val="1"/>
                <w:color w:val="auto"/>
              </w:rPr>
              <w:t>TREE</w:t>
            </w:r>
          </w:p>
        </w:tc>
        <w:tc>
          <w:tcPr>
            <w:tcW w:w="120" w:type="dxa"/>
            <w:vAlign w:val="bottom"/>
          </w:tcPr>
          <w:p>
            <w:pPr>
              <w:spacing w:after="0"/>
              <w:rPr>
                <w:sz w:val="21"/>
                <w:szCs w:val="21"/>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tc>
      </w:tr>
    </w:tbl>
    <w:p>
      <w:pPr>
        <w:spacing w:after="0" w:line="169" w:lineRule="exact"/>
        <w:rPr>
          <w:sz w:val="24"/>
          <w:szCs w:val="24"/>
          <w:color w:val="auto"/>
        </w:rPr>
      </w:pPr>
    </w:p>
    <w:p>
      <w:pPr>
        <w:jc w:val="both"/>
        <w:ind w:firstLine="162"/>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50" w:lineRule="exact"/>
        <w:rPr>
          <w:sz w:val="24"/>
          <w:szCs w:val="24"/>
          <w:color w:val="auto"/>
        </w:rPr>
      </w:pPr>
    </w:p>
    <w:p>
      <w:pPr>
        <w:jc w:val="both"/>
        <w:ind w:firstLine="162"/>
        <w:spacing w:after="0" w:line="24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23" w:lineRule="exact"/>
        <w:rPr>
          <w:sz w:val="24"/>
          <w:szCs w:val="24"/>
          <w:color w:val="auto"/>
        </w:rPr>
      </w:pPr>
    </w:p>
    <w:p>
      <w:pPr>
        <w:jc w:val="both"/>
        <w:ind w:firstLine="162"/>
        <w:spacing w:after="0" w:line="28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2020" w:type="dxa"/>
        <w:tblCellMar>
          <w:top w:w="0" w:type="dxa"/>
          <w:left w:w="0" w:type="dxa"/>
          <w:bottom w:w="0" w:type="dxa"/>
          <w:right w:w="0" w:type="dxa"/>
        </w:tblCellMar>
      </w:tblPr>
      <w:tr>
        <w:trPr>
          <w:trHeight w:val="243"/>
        </w:trPr>
        <w:tc>
          <w:tcPr>
            <w:tcW w:w="2040" w:type="dxa"/>
            <w:vAlign w:val="bottom"/>
          </w:tcPr>
          <w:p>
            <w:pPr>
              <w:jc w:val="center"/>
              <w:ind w:right="415"/>
              <w:spacing w:after="0"/>
              <w:rPr>
                <w:sz w:val="20"/>
                <w:szCs w:val="20"/>
                <w:color w:val="auto"/>
              </w:rPr>
            </w:pPr>
            <w:r>
              <w:rPr>
                <w:rFonts w:ascii="Times New Roman" w:cs="Times New Roman" w:eastAsia="Times New Roman" w:hAnsi="Times New Roman"/>
                <w:sz w:val="17"/>
                <w:szCs w:val="17"/>
                <w:color w:val="auto"/>
              </w:rPr>
              <w:t>Large accelerated filer</w:t>
            </w:r>
          </w:p>
        </w:tc>
        <w:tc>
          <w:tcPr>
            <w:tcW w:w="128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Accelerated filer</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43"/>
        </w:trPr>
        <w:tc>
          <w:tcPr>
            <w:tcW w:w="2040" w:type="dxa"/>
            <w:vAlign w:val="bottom"/>
          </w:tcPr>
          <w:p>
            <w:pPr>
              <w:jc w:val="center"/>
              <w:ind w:right="415"/>
              <w:spacing w:after="0"/>
              <w:rPr>
                <w:sz w:val="20"/>
                <w:szCs w:val="20"/>
                <w:color w:val="auto"/>
              </w:rPr>
            </w:pPr>
            <w:r>
              <w:rPr>
                <w:rFonts w:ascii="Times New Roman" w:cs="Times New Roman" w:eastAsia="Times New Roman" w:hAnsi="Times New Roman"/>
                <w:sz w:val="17"/>
                <w:szCs w:val="17"/>
                <w:color w:val="auto"/>
              </w:rPr>
              <w:t>Non-accelerated filer</w:t>
            </w:r>
          </w:p>
        </w:tc>
        <w:tc>
          <w:tcPr>
            <w:tcW w:w="128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2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Emerging growth company</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0" w:lineRule="exact"/>
        <w:rPr>
          <w:sz w:val="24"/>
          <w:szCs w:val="24"/>
          <w:color w:val="auto"/>
        </w:rPr>
      </w:pPr>
    </w:p>
    <w:p>
      <w:pPr>
        <w:ind w:right="20" w:firstLine="162"/>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 w:lineRule="exact"/>
        <w:rPr>
          <w:sz w:val="24"/>
          <w:szCs w:val="24"/>
          <w:color w:val="auto"/>
        </w:rPr>
      </w:pPr>
    </w:p>
    <w:p>
      <w:pPr>
        <w:ind w:left="18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4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As of April 28, 2025, there were 13,535,183 shares of the registrant's common stock, par value $0.01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6"/>
        </w:trPr>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75"/>
        </w:trPr>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140" w:type="dxa"/>
            <w:vAlign w:val="bottom"/>
            <w:gridSpan w:val="6"/>
          </w:tcPr>
          <w:p>
            <w:pPr>
              <w:jc w:val="center"/>
              <w:ind w:right="3000"/>
              <w:spacing w:after="0" w:line="176" w:lineRule="exact"/>
              <w:rPr>
                <w:sz w:val="20"/>
                <w:szCs w:val="20"/>
                <w:color w:val="auto"/>
              </w:rPr>
            </w:pPr>
            <w:r>
              <w:rPr>
                <w:rFonts w:ascii="Times New Roman" w:cs="Times New Roman" w:eastAsia="Times New Roman" w:hAnsi="Times New Roman"/>
                <w:sz w:val="18"/>
                <w:szCs w:val="18"/>
                <w:b w:val="1"/>
                <w:bCs w:val="1"/>
                <w:color w:val="0000FF"/>
                <w:w w:val="98"/>
              </w:rPr>
              <w:t>PART I—FINANCIAL INFORMATION</w:t>
            </w:r>
          </w:p>
        </w:tc>
        <w:tc>
          <w:tcPr>
            <w:tcW w:w="1040" w:type="dxa"/>
            <w:vAlign w:val="bottom"/>
          </w:tcPr>
          <w:p>
            <w:pPr>
              <w:spacing w:after="0"/>
              <w:rPr>
                <w:sz w:val="15"/>
                <w:szCs w:val="15"/>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3340" w:type="dxa"/>
            <w:vAlign w:val="bottom"/>
            <w:gridSpan w:val="7"/>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Financial Statements</w:t>
            </w:r>
          </w:p>
        </w:tc>
        <w:tc>
          <w:tcPr>
            <w:tcW w:w="3140" w:type="dxa"/>
            <w:vAlign w:val="bottom"/>
            <w:tcBorders>
              <w:top w:val="single" w:sz="8" w:color="0000FF"/>
            </w:tcBorders>
            <w:gridSpan w:val="4"/>
          </w:tcPr>
          <w:p>
            <w:pPr>
              <w:spacing w:after="0"/>
              <w:rPr>
                <w:sz w:val="18"/>
                <w:szCs w:val="18"/>
                <w:color w:val="auto"/>
              </w:rPr>
            </w:pPr>
          </w:p>
        </w:tc>
        <w:tc>
          <w:tcPr>
            <w:tcW w:w="3000" w:type="dxa"/>
            <w:vAlign w:val="bottom"/>
            <w:gridSpan w:val="2"/>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Management's Discussion and Analysis of Financial Condition and Results of Operations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Quantitative and Qualitative Disclosures About Market Risk</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Controls and Procedures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39"/>
        </w:trPr>
        <w:tc>
          <w:tcPr>
            <w:tcW w:w="5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II—OTHER INFORMATION</w:t>
            </w:r>
          </w:p>
        </w:tc>
        <w:tc>
          <w:tcPr>
            <w:tcW w:w="3140" w:type="dxa"/>
            <w:vAlign w:val="bottom"/>
            <w:gridSpan w:val="3"/>
          </w:tcPr>
          <w:p>
            <w:pPr>
              <w:spacing w:after="0"/>
              <w:rPr>
                <w:sz w:val="24"/>
                <w:szCs w:val="24"/>
                <w:color w:val="auto"/>
              </w:rPr>
            </w:pPr>
          </w:p>
        </w:tc>
        <w:tc>
          <w:tcPr>
            <w:tcW w:w="1040" w:type="dxa"/>
            <w:vAlign w:val="bottom"/>
          </w:tcPr>
          <w:p>
            <w:pPr>
              <w:spacing w:after="0"/>
              <w:rPr>
                <w:sz w:val="24"/>
                <w:szCs w:val="24"/>
                <w:color w:val="auto"/>
              </w:rPr>
            </w:pPr>
          </w:p>
        </w:tc>
      </w:tr>
      <w:tr>
        <w:trPr>
          <w:trHeight w:val="43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Legal Proceedings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Item 1A.</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Risk Factors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Unregistered Sales of Equity Securities and Use of Proceeds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5.</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Other Information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38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6.</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Exhibits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34"/>
        </w:trPr>
        <w:tc>
          <w:tcPr>
            <w:tcW w:w="8720" w:type="dxa"/>
            <w:vAlign w:val="bottom"/>
          </w:tcPr>
          <w:p>
            <w:pPr>
              <w:spacing w:after="0"/>
              <w:rPr>
                <w:sz w:val="11"/>
                <w:szCs w:val="11"/>
                <w:color w:val="auto"/>
              </w:rPr>
            </w:pPr>
          </w:p>
        </w:tc>
        <w:tc>
          <w:tcPr>
            <w:tcW w:w="2520" w:type="dxa"/>
            <w:vAlign w:val="bottom"/>
            <w:gridSpan w:val="4"/>
          </w:tcPr>
          <w:p>
            <w:pPr>
              <w:ind w:left="20"/>
              <w:spacing w:after="0" w:line="134"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par value and share</w:t>
            </w:r>
          </w:p>
        </w:tc>
      </w:tr>
      <w:tr>
        <w:trPr>
          <w:trHeight w:val="197"/>
        </w:trPr>
        <w:tc>
          <w:tcPr>
            <w:tcW w:w="8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3"/>
          </w:tcPr>
          <w:p>
            <w:pPr>
              <w:jc w:val="right"/>
              <w:ind w:right="891"/>
              <w:spacing w:after="0"/>
              <w:rPr>
                <w:sz w:val="20"/>
                <w:szCs w:val="20"/>
                <w:color w:val="auto"/>
              </w:rPr>
            </w:pPr>
            <w:r>
              <w:rPr>
                <w:rFonts w:ascii="Times New Roman" w:cs="Times New Roman" w:eastAsia="Times New Roman" w:hAnsi="Times New Roman"/>
                <w:sz w:val="14"/>
                <w:szCs w:val="14"/>
                <w:b w:val="1"/>
                <w:bCs w:val="1"/>
                <w:i w:val="1"/>
                <w:iCs w:val="1"/>
                <w:color w:val="auto"/>
              </w:rPr>
              <w:t>amounts)</w:t>
            </w:r>
          </w:p>
        </w:tc>
      </w:tr>
      <w:tr>
        <w:trPr>
          <w:trHeight w:val="234"/>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126,390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106,594</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of $1,458 and $1,407, respectively)</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85,241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97,790</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41,626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34,078</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 (Note 6)</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1,221</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254,478</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238,462</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$32,450 and $33,375, respectively)</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40,565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42,780</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51,397</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52,557</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381,539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381,539</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41,976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43,283</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1,700</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29"/>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5,448</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7,353</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777,103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767,674</w:t>
            </w:r>
          </w:p>
        </w:tc>
      </w:tr>
      <w:tr>
        <w:trPr>
          <w:trHeight w:val="243"/>
        </w:trPr>
        <w:tc>
          <w:tcPr>
            <w:tcW w:w="8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106,027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124,931</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trade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6,043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w:t>
            </w:r>
          </w:p>
        </w:tc>
      </w:tr>
      <w:tr>
        <w:trPr>
          <w:trHeight w:val="229"/>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100,470</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107,185</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212,540</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240,476</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387,661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344,124</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67,726</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69,238</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5,280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673,360</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658,853</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none issued or outstanding</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87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$0.01 par value; 50,000,000 shares authorized; 16,889,299 and 16,746,556 shares issued, respectively,</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13,533,833 and 13,391,090 shares outstanding, respectively</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1,261,534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1,254,239</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(891,782)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(879,407)</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3,355,466 and 3,355,466 shares, respectively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(266,178)</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(266,178)</w:t>
            </w:r>
          </w:p>
        </w:tc>
      </w:tr>
      <w:tr>
        <w:trPr>
          <w:trHeight w:val="223"/>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103,743</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108,821</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777,103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767,674</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8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gridSpan w:val="3"/>
          </w:tcPr>
          <w:p>
            <w:pPr>
              <w:jc w:val="right"/>
              <w:ind w:right="151"/>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r>
      <w:tr>
        <w:trPr>
          <w:trHeight w:val="23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239,728</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167,768</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18"/>
                <w:szCs w:val="18"/>
                <w:i w:val="1"/>
                <w:iCs w:val="1"/>
                <w:color w:val="auto"/>
              </w:rPr>
              <w:t>(exclusive of depreciation and amortization shown separately below)</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9,908</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172,751</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108,176</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30,660</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25,796</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11,904</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11,857</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4,297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1,307</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798</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15,212</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246,837</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160,589</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(7,109)</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7,179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w:t>
            </w:r>
          </w:p>
        </w:tc>
      </w:tr>
      <w:tr>
        <w:trPr>
          <w:trHeight w:val="229"/>
        </w:trPr>
        <w:tc>
          <w:tcPr>
            <w:tcW w:w="82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1,388</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(14,805)</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1,575</w:t>
            </w:r>
          </w:p>
        </w:tc>
      </w:tr>
      <w:tr>
        <w:trPr>
          <w:trHeight w:val="229"/>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2,430</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30"/>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and comprehensive (loss)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(12,375)</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r>
      <w:tr>
        <w:trPr>
          <w:trHeight w:val="256"/>
        </w:trPr>
        <w:tc>
          <w:tcPr>
            <w:tcW w:w="8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13,441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13,441</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per share: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8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restart"/>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940" w:type="dxa"/>
            <w:vAlign w:val="bottom"/>
          </w:tcPr>
          <w:p>
            <w:pPr>
              <w:jc w:val="center"/>
              <w:ind w:right="127"/>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2024</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108,821</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16,747</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1,254,239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(879,407)</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r>
        <w:trPr>
          <w:trHeight w:val="200"/>
        </w:trPr>
        <w:tc>
          <w:tcPr>
            <w:tcW w:w="3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and comprehensive income</w:t>
            </w:r>
          </w:p>
        </w:tc>
        <w:tc>
          <w:tcPr>
            <w:tcW w:w="24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(12,375)</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(12,375)</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9,927</w:t>
            </w:r>
          </w:p>
        </w:tc>
        <w:tc>
          <w:tcPr>
            <w:tcW w:w="10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9,927</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320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Issuance of common stock for stock options,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0" w:type="dxa"/>
            <w:vAlign w:val="bottom"/>
          </w:tcPr>
          <w:p>
            <w:pPr>
              <w:ind w:left="140"/>
              <w:spacing w:after="0" w:line="152" w:lineRule="exact"/>
              <w:rPr>
                <w:sz w:val="20"/>
                <w:szCs w:val="20"/>
                <w:color w:val="auto"/>
              </w:rPr>
            </w:pPr>
            <w:r>
              <w:rPr>
                <w:rFonts w:ascii="Times New Roman" w:cs="Times New Roman" w:eastAsia="Times New Roman" w:hAnsi="Times New Roman"/>
                <w:sz w:val="15"/>
                <w:szCs w:val="15"/>
                <w:color w:val="auto"/>
              </w:rPr>
              <w:t>restricted stock awards and restricted stock units,</w:t>
            </w:r>
          </w:p>
        </w:tc>
        <w:tc>
          <w:tcPr>
            <w:tcW w:w="240" w:type="dxa"/>
            <w:vAlign w:val="bottom"/>
          </w:tcPr>
          <w:p>
            <w:pPr>
              <w:spacing w:after="0"/>
              <w:rPr>
                <w:sz w:val="13"/>
                <w:szCs w:val="13"/>
                <w:color w:val="auto"/>
              </w:rPr>
            </w:pPr>
          </w:p>
        </w:tc>
        <w:tc>
          <w:tcPr>
            <w:tcW w:w="900" w:type="dxa"/>
            <w:vAlign w:val="bottom"/>
            <w:vMerge w:val="restart"/>
          </w:tcPr>
          <w:p>
            <w:pPr>
              <w:jc w:val="right"/>
              <w:ind w:right="64"/>
              <w:spacing w:after="0"/>
              <w:rPr>
                <w:sz w:val="20"/>
                <w:szCs w:val="20"/>
                <w:color w:val="auto"/>
              </w:rPr>
            </w:pPr>
            <w:r>
              <w:rPr>
                <w:rFonts w:ascii="Times New Roman" w:cs="Times New Roman" w:eastAsia="Times New Roman" w:hAnsi="Times New Roman"/>
                <w:sz w:val="15"/>
                <w:szCs w:val="15"/>
                <w:color w:val="auto"/>
              </w:rPr>
              <w:t>(2,630)</w:t>
            </w:r>
          </w:p>
        </w:tc>
        <w:tc>
          <w:tcPr>
            <w:tcW w:w="108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142</w:t>
            </w: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tcPr>
          <w:p>
            <w:pPr>
              <w:spacing w:after="0"/>
              <w:rPr>
                <w:sz w:val="13"/>
                <w:szCs w:val="13"/>
                <w:color w:val="auto"/>
              </w:rPr>
            </w:pPr>
          </w:p>
        </w:tc>
        <w:tc>
          <w:tcPr>
            <w:tcW w:w="9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(2,632)</w:t>
            </w:r>
          </w:p>
        </w:tc>
        <w:tc>
          <w:tcPr>
            <w:tcW w:w="200" w:type="dxa"/>
            <w:vAlign w:val="bottom"/>
          </w:tcPr>
          <w:p>
            <w:pPr>
              <w:spacing w:after="0"/>
              <w:rPr>
                <w:sz w:val="13"/>
                <w:szCs w:val="13"/>
                <w:color w:val="auto"/>
              </w:rPr>
            </w:pPr>
          </w:p>
        </w:tc>
        <w:tc>
          <w:tcPr>
            <w:tcW w:w="116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860" w:type="dxa"/>
            <w:vAlign w:val="bottom"/>
            <w:vMerge w:val="restart"/>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net of withholding taxes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2025</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103,743</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16,889</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1,261,534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(891,782)</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r>
        <w:trPr>
          <w:trHeight w:val="530"/>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restart"/>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940" w:type="dxa"/>
            <w:vAlign w:val="bottom"/>
          </w:tcPr>
          <w:p>
            <w:pPr>
              <w:jc w:val="center"/>
              <w:ind w:right="127"/>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8"/>
        </w:trPr>
        <w:tc>
          <w:tcPr>
            <w:tcW w:w="3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124,132</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16,397</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1,227,849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(837,703)</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r>
        <w:trPr>
          <w:trHeight w:val="200"/>
        </w:trPr>
        <w:tc>
          <w:tcPr>
            <w:tcW w:w="3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and comprehensive loss</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1,016</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1,016</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7,789</w:t>
            </w:r>
          </w:p>
        </w:tc>
        <w:tc>
          <w:tcPr>
            <w:tcW w:w="10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7,789</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8"/>
        </w:trPr>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Issuance of common stock for stock options,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0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restricted stock awards and restricted stock units,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net of withholding taxes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(1,422)</w:t>
            </w:r>
          </w:p>
        </w:tc>
        <w:tc>
          <w:tcPr>
            <w:tcW w:w="10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180</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(1,424)</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2024</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131,515</w:t>
            </w:r>
          </w:p>
        </w:tc>
        <w:tc>
          <w:tcPr>
            <w:tcW w:w="10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5"/>
                <w:szCs w:val="15"/>
                <w:b w:val="1"/>
                <w:bCs w:val="1"/>
                <w:color w:val="auto"/>
              </w:rPr>
              <w:t>16,577</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1,234,214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(836,687)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8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17"/>
                <w:szCs w:val="17"/>
                <w:color w:val="auto"/>
              </w:rPr>
            </w:pPr>
          </w:p>
        </w:tc>
      </w:tr>
      <w:tr>
        <w:trPr>
          <w:trHeight w:val="23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8"/>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Net (loss) income and comprehensive (loss) income</w:t>
            </w:r>
          </w:p>
        </w:tc>
        <w:tc>
          <w:tcPr>
            <w:tcW w:w="28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(12,375)</w:t>
            </w:r>
          </w:p>
        </w:tc>
        <w:tc>
          <w:tcPr>
            <w:tcW w:w="48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1,016</w:t>
            </w:r>
          </w:p>
        </w:tc>
      </w:tr>
      <w:tr>
        <w:trPr>
          <w:trHeight w:val="231"/>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impairments and disposal of assets</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254</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1,307</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4,297</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4,667</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compensation expense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9,927</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7,789</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396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Bad debt expense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86</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473</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103</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Reduction in carrying amount of ROU asset, offset by change in operating lease liabilities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settlement of convertible debt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Changes in current assets and liabilities: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12,463</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(8,235)</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and other current assets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(4,680)</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(2,034)</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 accrued expenses and other current liabilities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(8,798)</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(3,252)</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29"/>
        </w:trPr>
        <w:tc>
          <w:tcPr>
            <w:tcW w:w="87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82</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27"/>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(210)</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5,708</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6"/>
        </w:trPr>
        <w:tc>
          <w:tcPr>
            <w:tcW w:w="8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(3,414)</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(2,746)</w:t>
            </w:r>
          </w:p>
        </w:tc>
      </w:tr>
      <w:tr>
        <w:trPr>
          <w:trHeight w:val="225"/>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(3,414)</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(2,746)</w:t>
            </w:r>
          </w:p>
        </w:tc>
      </w:tr>
      <w:tr>
        <w:trPr>
          <w:trHeight w:val="221"/>
        </w:trPr>
        <w:tc>
          <w:tcPr>
            <w:tcW w:w="8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term loan</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50,000</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w:t>
            </w:r>
          </w:p>
        </w:tc>
      </w:tr>
      <w:tr>
        <w:trPr>
          <w:trHeight w:val="226"/>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of term loan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w:t>
            </w:r>
          </w:p>
        </w:tc>
      </w:tr>
      <w:tr>
        <w:trPr>
          <w:trHeight w:val="23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related to net-share settlement of stock-based compensation, net of proceeds from exercise of stock options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(2,630)</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w:t>
            </w:r>
          </w:p>
        </w:tc>
      </w:tr>
      <w:tr>
        <w:trPr>
          <w:trHeight w:val="226"/>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Repurchase of 0.50% Convertible Senior Notes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(19,700)</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(4,085)</w:t>
            </w:r>
          </w:p>
        </w:tc>
      </w:tr>
      <w:tr>
        <w:trPr>
          <w:trHeight w:val="226"/>
        </w:trPr>
        <w:tc>
          <w:tcPr>
            <w:tcW w:w="8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Payment of original issue discount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(3,125)</w:t>
            </w:r>
          </w:p>
        </w:tc>
      </w:tr>
      <w:tr>
        <w:trPr>
          <w:trHeight w:val="225"/>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23,420</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115,743</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in cash, cash equivalents, restricted cash and restricted cash equivalents</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19,796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118,705</w:t>
            </w:r>
          </w:p>
        </w:tc>
      </w:tr>
      <w:tr>
        <w:trPr>
          <w:trHeight w:val="227"/>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restricted cash and restricted cash equivalents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106,594</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112,056</w:t>
            </w:r>
          </w:p>
        </w:tc>
      </w:tr>
      <w:tr>
        <w:trPr>
          <w:trHeight w:val="234"/>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restricted cash and restricted cash equivalents at end of period</w:t>
            </w:r>
          </w:p>
        </w:tc>
        <w:tc>
          <w:tcPr>
            <w:tcW w:w="2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126,390</w:t>
            </w:r>
          </w:p>
        </w:tc>
        <w:tc>
          <w:tcPr>
            <w:tcW w:w="4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230,761</w:t>
            </w:r>
          </w:p>
        </w:tc>
      </w:tr>
      <w:tr>
        <w:trPr>
          <w:trHeight w:val="149"/>
        </w:trPr>
        <w:tc>
          <w:tcPr>
            <w:tcW w:w="8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LendingTree, Inc. is the parent of LT Intermediate Company, LLC, which holds all of the outstanding ownership interests of LendingTree, LLC, and LendingTree, LLC owns several companies (collectively, “LendingTree” or the “Company”).</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auto loans, credit cards, deposit accounts, personal loans, small business loans, insurance quotes, sales of insurance policies,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LendingTree and all its wholly-owned entities. Intercompany transactions and accounts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as of March 31, 2025 and for the three months ended March 31, 2025 and 2024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months ended March 31, 2025 are not necessarily indicative of the results to be expected for the year ending December 31, 2025, or any other period. The accompanying consolidated balance sheet as of December 31, 2024 was derived from audited financial statements included in the Company's Annual Report on Form 10-K for the year ended December 31, 2024 (the “2024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2024 Annual Report.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2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Significant estimates underlying the accompanying consolidated financial statements include: the recoverability of long-lived assets, goodwill and intangible assets; the determination of income taxes payable and deferred income taxes, including related valuation allowances; fair value of assets acquired in a business combination; litigation accruals; contract assets; various other allowances, reserves and accruals; assumptions related to the determination of stock-based compensation; and the determination of right-of-use assets and lease liabilities.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considered the impact of the current economic conditions, including interest rates and inflation on the assumptions and estimates used when preparing its consolidated financial statements including, but not limited to, the allowance for doubtful accounts, valuation allowances, contract asset, and the recoverability of long-lived assets, goodwill and intangible assets. These assumptions and estimates may change as new events occur and additional information is obtained. If economic conditions worsen, such future changes may have an adverse impact on the Company's results of operations, financial position and liquidity.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and Concentrations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LendingTree's business is subject to certain risks and concentrations including dependence on third-party technology providers, exposure to risks associated with online commerce security and fraud.</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at March 31, 2025,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Due to the nature of the mortgage lending industry, interest rate fluctuations may negatively impact future revenue from the Company's marketplace.</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than a support services office in India, the Company's operations are geographically limited to and dependent upon the economic condition of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Settlements and Contingencies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Litigation settlements and contingencies consists of expenses related to actual or anticipated litigation settlements.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 Update ("ASU") 2023-07 which expands annual and interim disclosure requirements for reportable segments, primarily through enhanced disclosures about significant segment expenses. This ASU is effective for annual periods beginning after December 15, 2023, and interim periods in fiscal years beginning after December 15, 2024. An entity should adopt the guidance as of the beginning of the earliest period presented. The Company adopted this ASU on December 31, 2024.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14—Segment Information for further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which expands annual disclosure requirements for income taxes, primarily through disclosure about disaggregated information about an entity's effective tax rate reconciliation and information on income taxes paid. This ASU is effective for annual periods beginning after December 15, 2024, with early adoption permitted. The guidance will be applied on a prospective basis with the option to adopt the guidance retrospectively. The Company is evaluating the impact this ASU will have on its consolidated financial statements and whether to early adopt.</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which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Early adoption is permitted, including adoption in interim periods. The Company is currently evaluating the impact this ASU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Revenue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7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37,019</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30,443</w:t>
            </w:r>
          </w:p>
        </w:tc>
      </w:tr>
      <w:tr>
        <w:trPr>
          <w:trHeight w:val="229"/>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Personal loans</w:t>
            </w:r>
          </w:p>
        </w:tc>
        <w:tc>
          <w:tcPr>
            <w:tcW w:w="28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23,402</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20,127</w:t>
            </w:r>
          </w:p>
        </w:tc>
      </w:tr>
      <w:tr>
        <w:trPr>
          <w:trHeight w:val="23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Consumer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32,631</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31,324</w:t>
            </w:r>
          </w:p>
        </w:tc>
      </w:tr>
      <w:tr>
        <w:trPr>
          <w:trHeight w:val="223"/>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Total Consumer</w:t>
            </w:r>
          </w:p>
        </w:tc>
        <w:tc>
          <w:tcPr>
            <w:tcW w:w="28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56,033</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51,451</w:t>
            </w:r>
          </w:p>
        </w:tc>
      </w:tr>
      <w:tr>
        <w:trPr>
          <w:trHeight w:val="230"/>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146,652</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85,872</w:t>
            </w:r>
          </w:p>
        </w:tc>
      </w:tr>
      <w:tr>
        <w:trPr>
          <w:trHeight w:val="229"/>
        </w:trPr>
        <w:tc>
          <w:tcPr>
            <w:tcW w:w="8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7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239,728</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167,768</w:t>
            </w: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from Consumer products is generated by match and other upfront fees for clicks or call transfers, as well as from closing fees and approval fees. Closing fees are derived from lenders on certain auto loans, business loans and personal loans when the lender funds a loan with the consumer. Approval fees are derived from credit card issuers when the credit card consumer receives card approval from the credit card issuer.</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contract asset recorded within prepaid and other current assets on the consolidated balance sheets related to estimated variable consideration was $23.4 million and $20.5 million at March 31, 2025 and December 31, 2024, respectively.</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recognizes increases or decreases to such revenue from prior periods. There was an increase of $0.2 million in the first quarter of 2025 and an increase of $0.3 million in the first quarter of 2024.</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4—ALLOWANCE FOR DOUBTFUL ACCOUNTS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receivable are stated at amounts due from customers, net of an allowance for doubtful accounts.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 reconciliation of the beginning and ending balances of the allowance for doubtful accounts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the period</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1,407</w:t>
            </w:r>
          </w:p>
        </w:tc>
        <w:tc>
          <w:tcPr>
            <w:tcW w:w="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2,222</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to earnings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86</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 of uncollectible accounts receivable</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8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Recoveries collected</w:t>
            </w: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16</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the period</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1,458</w:t>
            </w:r>
          </w:p>
        </w:tc>
        <w:tc>
          <w:tcPr>
            <w:tcW w:w="2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561"/>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5—GOODWILL AND INTANGIBLE ASSETS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The balance of goodwill, net and intangible assets, net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9"/>
        </w:trPr>
        <w:tc>
          <w:tcPr>
            <w:tcW w:w="8240" w:type="dxa"/>
            <w:vAlign w:val="bottom"/>
          </w:tcPr>
          <w:p>
            <w:pPr>
              <w:spacing w:after="0"/>
              <w:rPr>
                <w:sz w:val="22"/>
                <w:szCs w:val="22"/>
                <w:color w:val="auto"/>
              </w:rPr>
            </w:pPr>
          </w:p>
        </w:tc>
        <w:tc>
          <w:tcPr>
            <w:tcW w:w="1420" w:type="dxa"/>
            <w:vAlign w:val="bottom"/>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22"/>
                <w:szCs w:val="22"/>
                <w:color w:val="auto"/>
              </w:rPr>
            </w:pPr>
          </w:p>
        </w:tc>
        <w:tc>
          <w:tcPr>
            <w:tcW w:w="1260" w:type="dxa"/>
            <w:vAlign w:val="bottom"/>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3"/>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903,227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903,227</w:t>
            </w:r>
          </w:p>
        </w:tc>
      </w:tr>
      <w:tr>
        <w:trPr>
          <w:trHeight w:val="229"/>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(521,688)</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(521,688)</w:t>
            </w: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goodwill</w:t>
            </w:r>
          </w:p>
        </w:tc>
        <w:tc>
          <w:tcPr>
            <w:tcW w:w="48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381,539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381,539</w:t>
            </w:r>
          </w:p>
        </w:tc>
      </w:tr>
      <w:tr>
        <w:trPr>
          <w:trHeight w:val="257"/>
        </w:trPr>
        <w:tc>
          <w:tcPr>
            <w:tcW w:w="8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4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w:t>
            </w:r>
          </w:p>
        </w:tc>
      </w:tr>
      <w:tr>
        <w:trPr>
          <w:trHeight w:val="229"/>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Intangible assets with definite lives, net</w:t>
            </w: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31,834</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33,141</w:t>
            </w: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48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41,976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43,283</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goodwill at each of March 31, 2025 and December 31, 2024 consisted of $59.3 million associated with the Home segment, $166.1 million associated with the Consumer segment, and $156.1 million associated with the Insurance segment.</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monitors each of the reporting units and the impact of business or economic changes on the fair value of the reporting unit. Changes in the timing of the recovery of the mortgage business, inflation, interest rates and other changes in current expectations could cause an impairment to the Insurance, Mortgage, or Consumer reporting units.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with indefinite lives relate to the Company's trademarks.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with Definite Lives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Intangible assets with definite lives relate to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20" w:type="dxa"/>
            <w:vAlign w:val="bottom"/>
          </w:tcPr>
          <w:p>
            <w:pPr>
              <w:spacing w:after="0"/>
              <w:rPr>
                <w:sz w:val="13"/>
                <w:szCs w:val="13"/>
                <w:color w:val="auto"/>
              </w:rPr>
            </w:pPr>
          </w:p>
        </w:tc>
        <w:tc>
          <w:tcPr>
            <w:tcW w:w="1080" w:type="dxa"/>
            <w:vAlign w:val="bottom"/>
            <w:vMerge w:val="restart"/>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66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69,700</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(37,866)</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31,834</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69,700</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(37,866)</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31,834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20" w:type="dxa"/>
            <w:vAlign w:val="bottom"/>
          </w:tcPr>
          <w:p>
            <w:pPr>
              <w:spacing w:after="0"/>
              <w:rPr>
                <w:sz w:val="13"/>
                <w:szCs w:val="13"/>
                <w:color w:val="auto"/>
              </w:rPr>
            </w:pPr>
          </w:p>
        </w:tc>
        <w:tc>
          <w:tcPr>
            <w:tcW w:w="1080" w:type="dxa"/>
            <w:vAlign w:val="bottom"/>
            <w:vMerge w:val="restart"/>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66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69,700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(36,559)</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69,700</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(36,559)</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33,141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 xml:space="preserve">Amortization of intangible assets with definite lives is computed on a straight-line basis and, based on balances as of March 31, 2025, future amortization is estimated to be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90"/>
        </w:trPr>
        <w:tc>
          <w:tcPr>
            <w:tcW w:w="9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3"/>
        </w:trPr>
        <w:tc>
          <w:tcPr>
            <w:tcW w:w="9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current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r>
      <w:tr>
        <w:trPr>
          <w:trHeight w:val="22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w:t>
            </w: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r>
      <w:tr>
        <w:trPr>
          <w:trHeight w:val="22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30"/>
        </w:trPr>
        <w:tc>
          <w:tcPr>
            <w:tcW w:w="9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10,605</w:t>
            </w:r>
          </w:p>
        </w:tc>
      </w:tr>
      <w:tr>
        <w:trPr>
          <w:trHeight w:val="230"/>
        </w:trPr>
        <w:tc>
          <w:tcPr>
            <w:tcW w:w="9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with definite lives,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31,834</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6—ASSETS HELD FOR SALE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first quarter of 2025, the Company approved a plan to sell its corporate aircraft. The aircraft is expected to be sold during 2025 to an unrelated third party. The carrying value of the asset group is $1.2 million (net of $1.6 million of accumulated depreciation) and is classified as a current asset held for sale in the consolidated balance sheet as of March 31, 2025. The aircraft relates to property, plant and equipment.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7—ACCRUED EXPENSES AND OTHER CURRENT LIABILITIES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Accrued expenses and other current liabilities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advertising expense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51,802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59,381</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9,426</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23,504</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969</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 and escrows</w:t>
            </w:r>
          </w:p>
        </w:tc>
        <w:tc>
          <w:tcPr>
            <w:tcW w:w="2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7,749</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5,924</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contingencies</w:t>
            </w:r>
          </w:p>
        </w:tc>
        <w:tc>
          <w:tcPr>
            <w:tcW w:w="2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19,071</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r>
      <w:tr>
        <w:trPr>
          <w:trHeight w:val="230"/>
        </w:trPr>
        <w:tc>
          <w:tcPr>
            <w:tcW w:w="8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5,529</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w:t>
            </w:r>
          </w:p>
        </w:tc>
      </w:tr>
      <w:tr>
        <w:trPr>
          <w:trHeight w:val="230"/>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100,470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107,185</w:t>
            </w:r>
          </w:p>
        </w:tc>
      </w:tr>
      <w:tr>
        <w:trPr>
          <w:trHeight w:val="905"/>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8—SHAREHOLDERS' EQUITY</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Basic and diluted income per share was determined based on the following share data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8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20" w:type="dxa"/>
            <w:vAlign w:val="bottom"/>
            <w:gridSpan w:val="3"/>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8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8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basic common shares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13,441</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13,100</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stock options</w:t>
            </w:r>
          </w:p>
        </w:tc>
        <w:tc>
          <w:tcPr>
            <w:tcW w:w="2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8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share awards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common shares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13,441</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13,276</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first quarter of 2025, the Company was in a net loss position and, as a result, no potentially dilutive securities were included in the denominator for computing diluted loss per share, because the impact would have been anti-dilutive. Accordingly, the weighted average basic shares outstanding was used to compute loss per share. Approximately 0.2 million shares related to potentially dilutive securities were excluded from the calculation of diluted loss per share for the first quarter of 2025, because their inclusion would have been anti-dilutive. For the first quarter of 2025 the weighted average shares that were anti-dilutive, and therefore excluded from the calculation of diluted income per share, included options to purchase 0.9 million shares of common stock and an immaterial amount of restricted stock units.</w:t>
      </w:r>
    </w:p>
    <w:p>
      <w:pPr>
        <w:spacing w:after="0" w:line="13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first quarter of 2024, the weighted average shares that were anti-dilutive, and therefore excluded from the calculation of diluted income per share, included options to purchase 1.0 million shares of common stock and 0.3 million restricted stock units.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convertible notes and the warrants issued by the Company could be converted or exercised, respectively, for the Company’s common stock, subject to certain contingencies.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11—Debt for additional information. The if-converted method is used for diluted net income per share calculation of our convertible notes.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Approximately 0.3 million shares related to the potentially dilutive shares of the Company's common stock associated with the 0.50% Convertible Senior Notes due July 15, 2025 were excluded from the calculation of diluted loss per share for the first quarter of 2025 because their inclusion would have been anti-dilutive. Approximately 0.6 million shares related to the potentially dilutive shares of the Company's common stock associated with the 0.50% Convertible Senior Notes due July 15, 2025 for the first quarter of 2024 were excluded from the calculation of diluted income per share because their inclusion would have been anti-dilutive. Shares of the Company's stock associated with the warrants issued by the Company in 2020 were excluded from the calculation of diluted loss per share for the first quarter of 2025 and for the first quarter of 2024, as they were anti-dilutive because the strike price of the warrants was greater than the average market price of the Company's common stock during the relevant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Distribution Agreement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2024, the Company entered into an Equity Distribution Agreement in connection with the establishment of an ATM Equity Program (as defined in the 2024 Term Loan (as defined herein) agreement) under which the Company may sell up to an aggregate of $50.0 million of shares of the Company's common stock. No sales were made under the Equity Distribution Agreement during the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a plan authorized for the repurchase of LendingTree's common stock. During the first quarter of 2025 and the first quarter of 2024, the Company did not repurchase shares of its common stock. At March 31, 2025, approximately $96.7 million of the previous authorizations to repurchase common stock remain available.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9—STOCK-BASED COMPENSATION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Non-cash compensation related to equity awards is included in the following line items in the accompanying consolidated statements of operations and comprehensive income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Borders>
              <w:bottom w:val="single" w:sz="8" w:color="CCEEFF"/>
            </w:tcBorders>
          </w:tcPr>
          <w:p>
            <w:pPr>
              <w:spacing w:after="0"/>
              <w:rPr>
                <w:sz w:val="18"/>
                <w:szCs w:val="18"/>
                <w:color w:val="auto"/>
              </w:rPr>
            </w:pPr>
          </w:p>
        </w:tc>
        <w:tc>
          <w:tcPr>
            <w:tcW w:w="40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0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4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657</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4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8,371</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4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869</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29"/>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4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non-cash compensation</w:t>
            </w:r>
          </w:p>
        </w:tc>
        <w:tc>
          <w:tcPr>
            <w:tcW w:w="5040" w:type="dxa"/>
            <w:vAlign w:val="bottom"/>
            <w:tcBorders>
              <w:bottom w:val="single" w:sz="8" w:color="auto"/>
            </w:tcBorders>
            <w:gridSpan w:val="2"/>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9,927</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7,789</w:t>
            </w:r>
          </w:p>
        </w:tc>
      </w:tr>
      <w:tr>
        <w:trPr>
          <w:trHeight w:val="891"/>
        </w:trPr>
        <w:tc>
          <w:tcPr>
            <w:tcW w:w="4060" w:type="dxa"/>
            <w:vAlign w:val="bottom"/>
          </w:tcPr>
          <w:p>
            <w:pPr>
              <w:spacing w:after="0"/>
              <w:rPr>
                <w:sz w:val="24"/>
                <w:szCs w:val="24"/>
                <w:color w:val="auto"/>
              </w:rPr>
            </w:pPr>
          </w:p>
        </w:tc>
        <w:tc>
          <w:tcPr>
            <w:tcW w:w="408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stock options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vMerge w:val="restart"/>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40" w:type="dxa"/>
            <w:vAlign w:val="bottom"/>
          </w:tcPr>
          <w:p>
            <w:pPr>
              <w:spacing w:after="0"/>
              <w:rPr>
                <w:sz w:val="13"/>
                <w:szCs w:val="13"/>
                <w:color w:val="auto"/>
              </w:rPr>
            </w:pPr>
          </w:p>
        </w:tc>
        <w:tc>
          <w:tcPr>
            <w:tcW w:w="14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tcPr>
          <w:p>
            <w:pPr>
              <w:jc w:val="center"/>
              <w:ind w:right="64"/>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1"/>
                <w:szCs w:val="11"/>
                <w:color w:val="auto"/>
              </w:rPr>
            </w:pPr>
          </w:p>
        </w:tc>
        <w:tc>
          <w:tcPr>
            <w:tcW w:w="128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center"/>
              <w:ind w:left="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40" w:type="dxa"/>
            <w:vAlign w:val="bottom"/>
          </w:tcPr>
          <w:p>
            <w:pPr>
              <w:spacing w:after="0"/>
              <w:rPr>
                <w:sz w:val="12"/>
                <w:szCs w:val="12"/>
                <w:color w:val="auto"/>
              </w:rPr>
            </w:pPr>
          </w:p>
        </w:tc>
        <w:tc>
          <w:tcPr>
            <w:tcW w:w="144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40" w:type="dxa"/>
            <w:vAlign w:val="bottom"/>
          </w:tcPr>
          <w:p>
            <w:pPr>
              <w:spacing w:after="0"/>
              <w:rPr>
                <w:sz w:val="12"/>
                <w:szCs w:val="12"/>
                <w:color w:val="auto"/>
              </w:rPr>
            </w:pPr>
          </w:p>
        </w:tc>
        <w:tc>
          <w:tcPr>
            <w:tcW w:w="14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2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42"/>
              <w:spacing w:after="0" w:line="202" w:lineRule="exact"/>
              <w:rPr>
                <w:sz w:val="20"/>
                <w:szCs w:val="20"/>
                <w:color w:val="auto"/>
              </w:rPr>
            </w:pPr>
            <w:r>
              <w:rPr>
                <w:rFonts w:ascii="Times New Roman" w:cs="Times New Roman" w:eastAsia="Times New Roman" w:hAnsi="Times New Roman"/>
                <w:sz w:val="14"/>
                <w:szCs w:val="14"/>
                <w:b w:val="1"/>
                <w:bCs w:val="1"/>
                <w:color w:val="auto"/>
                <w:w w:val="93"/>
              </w:rPr>
              <w:t>Value</w:t>
            </w:r>
            <w:r>
              <w:rPr>
                <w:rFonts w:ascii="Times New Roman" w:cs="Times New Roman" w:eastAsia="Times New Roman" w:hAnsi="Times New Roman"/>
                <w:sz w:val="18"/>
                <w:szCs w:val="18"/>
                <w:b w:val="1"/>
                <w:bCs w:val="1"/>
                <w:color w:val="auto"/>
                <w:w w:val="93"/>
                <w:vertAlign w:val="superscript"/>
              </w:rPr>
              <w:t>(a)</w:t>
            </w:r>
          </w:p>
        </w:tc>
        <w:tc>
          <w:tcPr>
            <w:tcW w:w="0" w:type="dxa"/>
            <w:vAlign w:val="bottom"/>
          </w:tcPr>
          <w:p>
            <w:pPr>
              <w:spacing w:after="0"/>
              <w:rPr>
                <w:sz w:val="1"/>
                <w:szCs w:val="1"/>
                <w:color w:val="auto"/>
              </w:rPr>
            </w:pPr>
          </w:p>
        </w:tc>
      </w:tr>
      <w:tr>
        <w:trPr>
          <w:trHeight w:val="191"/>
        </w:trPr>
        <w:tc>
          <w:tcPr>
            <w:tcW w:w="49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center"/>
              <w:ind w:left="1"/>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540" w:type="dxa"/>
            <w:vAlign w:val="bottom"/>
          </w:tcPr>
          <w:p>
            <w:pPr>
              <w:spacing w:after="0"/>
              <w:rPr>
                <w:sz w:val="16"/>
                <w:szCs w:val="16"/>
                <w:color w:val="auto"/>
              </w:rPr>
            </w:pPr>
          </w:p>
        </w:tc>
        <w:tc>
          <w:tcPr>
            <w:tcW w:w="14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80" w:type="dxa"/>
            <w:vAlign w:val="bottom"/>
          </w:tcPr>
          <w:p>
            <w:pPr>
              <w:spacing w:after="0"/>
              <w:rPr>
                <w:sz w:val="16"/>
                <w:szCs w:val="16"/>
                <w:color w:val="auto"/>
              </w:rPr>
            </w:pPr>
          </w:p>
        </w:tc>
        <w:tc>
          <w:tcPr>
            <w:tcW w:w="12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January 1, 2025</w:t>
            </w:r>
          </w:p>
        </w:tc>
        <w:tc>
          <w:tcPr>
            <w:tcW w:w="1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371,386</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226.17</w:t>
            </w: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March 31, 2025</w:t>
            </w:r>
          </w:p>
        </w:tc>
        <w:tc>
          <w:tcPr>
            <w:tcW w:w="1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371,386</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226.17</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 at March 31, 2025</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329,434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216.77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60" w:hanging="328"/>
        <w:spacing w:after="0" w:line="261" w:lineRule="auto"/>
        <w:tabs>
          <w:tab w:leader="none" w:pos="6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$50.27 on the last trading day of the quarter ended March 31, 2025 and the exercise price, multiplied by the number of shares covered by in-the-money options) that would have been received by the option holder had the option holder exercised these options on March 31, 2025. The intrinsic value changes based on the market value of the Company's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with Market Conditions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stock options with market conditions at target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vMerge w:val="restart"/>
          </w:tcPr>
          <w:p>
            <w:pPr>
              <w:jc w:val="center"/>
              <w:ind w:right="3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440" w:type="dxa"/>
            <w:vAlign w:val="bottom"/>
          </w:tcPr>
          <w:p>
            <w:pPr>
              <w:jc w:val="center"/>
              <w:ind w:right="64"/>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28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center"/>
              <w:ind w:right="37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tcPr>
          <w:p>
            <w:pPr>
              <w:jc w:val="center"/>
              <w:ind w:right="84"/>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Market</w:t>
            </w:r>
          </w:p>
        </w:tc>
        <w:tc>
          <w:tcPr>
            <w:tcW w:w="320" w:type="dxa"/>
            <w:vAlign w:val="bottom"/>
          </w:tcPr>
          <w:p>
            <w:pPr>
              <w:spacing w:after="0"/>
              <w:rPr>
                <w:sz w:val="12"/>
                <w:szCs w:val="12"/>
                <w:color w:val="auto"/>
              </w:rPr>
            </w:pPr>
          </w:p>
        </w:tc>
        <w:tc>
          <w:tcPr>
            <w:tcW w:w="1440" w:type="dxa"/>
            <w:vAlign w:val="bottom"/>
          </w:tcPr>
          <w:p>
            <w:pPr>
              <w:jc w:val="center"/>
              <w:ind w:right="39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2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494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9"/>
                <w:szCs w:val="9"/>
                <w:b w:val="1"/>
                <w:bCs w:val="1"/>
                <w:color w:val="auto"/>
              </w:rPr>
              <w:t>(a)</w:t>
            </w: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center"/>
              <w:ind w:right="378"/>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14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80" w:type="dxa"/>
            <w:vAlign w:val="bottom"/>
          </w:tcPr>
          <w:p>
            <w:pPr>
              <w:spacing w:after="0"/>
              <w:rPr>
                <w:sz w:val="17"/>
                <w:szCs w:val="17"/>
                <w:color w:val="auto"/>
              </w:rPr>
            </w:pPr>
          </w:p>
        </w:tc>
        <w:tc>
          <w:tcPr>
            <w:tcW w:w="12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January 1, 2025</w:t>
            </w:r>
          </w:p>
        </w:tc>
        <w:tc>
          <w:tcPr>
            <w:tcW w:w="1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699,312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227.74</w:t>
            </w: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(217,643)</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300.00</w:t>
            </w:r>
          </w:p>
        </w:tc>
        <w:tc>
          <w:tcPr>
            <w:tcW w:w="14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March 31, 2025</w:t>
            </w:r>
          </w:p>
        </w:tc>
        <w:tc>
          <w:tcPr>
            <w:tcW w:w="1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481,669</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195.10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 at March 31, 2025</w:t>
            </w:r>
          </w:p>
        </w:tc>
        <w:tc>
          <w:tcPr>
            <w:tcW w:w="15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481,669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195.10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660" w:hanging="328"/>
        <w:spacing w:after="0" w:line="261" w:lineRule="auto"/>
        <w:tabs>
          <w:tab w:leader="none" w:pos="6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$50.27 on the last trading day of the quarter ended March 31, 2025 and the exercise price, multiplied by the number of shares covered by in-the-money options) that would have been received by the option holder had the option holder exercised these options on March 31, 2025. The intrinsic value changes based on the market value of the Company's common stock.</w:t>
      </w:r>
    </w:p>
    <w:p>
      <w:pPr>
        <w:spacing w:after="0" w:line="12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no additional performance-based nonqualified stock options with a market condition had been earned or remain available to be earned.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nonvested restricted stock units (“RSUs”)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560" w:type="dxa"/>
            <w:vAlign w:val="bottom"/>
          </w:tcPr>
          <w:p>
            <w:pPr>
              <w:spacing w:after="0"/>
              <w:rPr>
                <w:sz w:val="11"/>
                <w:szCs w:val="11"/>
                <w:color w:val="auto"/>
              </w:rPr>
            </w:pPr>
          </w:p>
        </w:tc>
        <w:tc>
          <w:tcPr>
            <w:tcW w:w="18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20" w:type="dxa"/>
            <w:vAlign w:val="bottom"/>
          </w:tcPr>
          <w:p>
            <w:pPr>
              <w:spacing w:after="0"/>
              <w:rPr>
                <w:sz w:val="11"/>
                <w:szCs w:val="11"/>
                <w:color w:val="auto"/>
              </w:rPr>
            </w:pPr>
          </w:p>
        </w:tc>
        <w:tc>
          <w:tcPr>
            <w:tcW w:w="1620" w:type="dxa"/>
            <w:vAlign w:val="bottom"/>
          </w:tcPr>
          <w:p>
            <w:pPr>
              <w:jc w:val="center"/>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56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7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235"/>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January 1, 2025</w:t>
            </w:r>
          </w:p>
        </w:tc>
        <w:tc>
          <w:tcPr>
            <w:tcW w:w="1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569,460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46.37</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486,090</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(207,833)</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March 31, 2025</w:t>
            </w:r>
          </w:p>
        </w:tc>
        <w:tc>
          <w:tcPr>
            <w:tcW w:w="18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837,166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41.73</w:t>
            </w:r>
          </w:p>
        </w:tc>
        <w:tc>
          <w:tcPr>
            <w:tcW w:w="0" w:type="dxa"/>
            <w:vAlign w:val="bottom"/>
          </w:tcPr>
          <w:p>
            <w:pPr>
              <w:spacing w:after="0"/>
              <w:rPr>
                <w:sz w:val="1"/>
                <w:szCs w:val="1"/>
                <w:color w:val="auto"/>
              </w:rPr>
            </w:pPr>
          </w:p>
        </w:tc>
      </w:tr>
      <w:tr>
        <w:trPr>
          <w:trHeight w:val="527"/>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 with Market Conditions</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nonvested RSUs with performance conditions is as follows:</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560" w:type="dxa"/>
            <w:vAlign w:val="bottom"/>
          </w:tcPr>
          <w:p>
            <w:pPr>
              <w:spacing w:after="0"/>
              <w:rPr>
                <w:sz w:val="17"/>
                <w:szCs w:val="17"/>
                <w:color w:val="auto"/>
              </w:rPr>
            </w:pPr>
          </w:p>
        </w:tc>
        <w:tc>
          <w:tcPr>
            <w:tcW w:w="3680" w:type="dxa"/>
            <w:vAlign w:val="bottom"/>
            <w:gridSpan w:val="3"/>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RSUs with Market Conditions</w:t>
            </w: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560" w:type="dxa"/>
            <w:vAlign w:val="bottom"/>
          </w:tcPr>
          <w:p>
            <w:pPr>
              <w:spacing w:after="0"/>
              <w:rPr>
                <w:sz w:val="11"/>
                <w:szCs w:val="11"/>
                <w:color w:val="auto"/>
              </w:rPr>
            </w:pPr>
          </w:p>
        </w:tc>
        <w:tc>
          <w:tcPr>
            <w:tcW w:w="18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20" w:type="dxa"/>
            <w:vAlign w:val="bottom"/>
          </w:tcPr>
          <w:p>
            <w:pPr>
              <w:spacing w:after="0"/>
              <w:rPr>
                <w:sz w:val="11"/>
                <w:szCs w:val="11"/>
                <w:color w:val="auto"/>
              </w:rPr>
            </w:pPr>
          </w:p>
        </w:tc>
        <w:tc>
          <w:tcPr>
            <w:tcW w:w="1620" w:type="dxa"/>
            <w:vAlign w:val="bottom"/>
          </w:tcPr>
          <w:p>
            <w:pPr>
              <w:jc w:val="center"/>
              <w:ind w:right="97"/>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7560" w:type="dxa"/>
            <w:vAlign w:val="bottom"/>
          </w:tcPr>
          <w:p>
            <w:pPr>
              <w:spacing w:after="0"/>
              <w:rPr>
                <w:sz w:val="17"/>
                <w:szCs w:val="17"/>
                <w:color w:val="auto"/>
              </w:rPr>
            </w:pPr>
          </w:p>
        </w:tc>
        <w:tc>
          <w:tcPr>
            <w:tcW w:w="18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7"/>
        </w:trPr>
        <w:tc>
          <w:tcPr>
            <w:tcW w:w="7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235"/>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January 1, 2025</w:t>
            </w:r>
          </w:p>
        </w:tc>
        <w:tc>
          <w:tcPr>
            <w:tcW w:w="1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46,000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35.24</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(a)</w:t>
            </w: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March 31, 2025</w:t>
            </w:r>
          </w:p>
        </w:tc>
        <w:tc>
          <w:tcPr>
            <w:tcW w:w="18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146,000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34.46</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60" w:hanging="328"/>
        <w:spacing w:after="0" w:line="261" w:lineRule="auto"/>
        <w:tabs>
          <w:tab w:leader="none" w:pos="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2025, the Company granted RSUs with market conditions that will vest if the Company's 90 trading day average closing stock prices equals or exceeds certain price hurdles ($60.00, $75.00 and $90.00) during the performance period of March 10, 2025 to March 10, 2029. Upon achievement of each price hurdle, one-half of the awards will vest immediately, and the other half of the awards will vest on the first anniversary of the achievement date.</w:t>
      </w:r>
    </w:p>
    <w:p>
      <w:pPr>
        <w:spacing w:after="0" w:line="1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stock-based compensation expense, the weighted average grant date fair value per share of the RSUs with market conditions was estimated using the Monte Carlo simulation model, which requires the use of various key assumptions.</w:t>
      </w:r>
    </w:p>
    <w:p>
      <w:pPr>
        <w:spacing w:after="0" w:line="12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3"/>
                <w:szCs w:val="13"/>
                <w:color w:val="auto"/>
              </w:rPr>
            </w:pPr>
          </w:p>
        </w:tc>
      </w:tr>
      <w:tr>
        <w:trPr>
          <w:trHeight w:val="195"/>
        </w:trPr>
        <w:tc>
          <w:tcPr>
            <w:tcW w:w="59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Borders>
              <w:bottom w:val="single" w:sz="8" w:color="auto"/>
            </w:tcBorders>
          </w:tcPr>
          <w:p>
            <w:pPr>
              <w:spacing w:after="0"/>
              <w:rPr>
                <w:sz w:val="16"/>
                <w:szCs w:val="16"/>
                <w:color w:val="auto"/>
              </w:rPr>
            </w:pPr>
          </w:p>
        </w:tc>
      </w:tr>
      <w:tr>
        <w:trPr>
          <w:trHeight w:val="195"/>
        </w:trPr>
        <w:tc>
          <w:tcPr>
            <w:tcW w:w="59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9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3"/>
                <w:szCs w:val="23"/>
                <w:color w:val="auto"/>
                <w:vertAlign w:val="superscript"/>
              </w:rPr>
              <w:t>(1)</w:t>
            </w:r>
          </w:p>
        </w:tc>
        <w:tc>
          <w:tcPr>
            <w:tcW w:w="1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4.00 years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years</w:t>
            </w:r>
          </w:p>
        </w:tc>
      </w:tr>
      <w:tr>
        <w:trPr>
          <w:trHeight w:val="230"/>
        </w:trPr>
        <w:tc>
          <w:tcPr>
            <w:tcW w:w="7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3"/>
                <w:szCs w:val="23"/>
                <w:color w:val="auto"/>
                <w:vertAlign w:val="superscript"/>
              </w:rPr>
              <w:t>(2)</w:t>
            </w:r>
          </w:p>
        </w:tc>
        <w:tc>
          <w:tcPr>
            <w:tcW w:w="15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74.09 %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68.06 %</w:t>
            </w:r>
          </w:p>
        </w:tc>
      </w:tr>
      <w:tr>
        <w:trPr>
          <w:trHeight w:val="230"/>
        </w:trPr>
        <w:tc>
          <w:tcPr>
            <w:tcW w:w="7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(3)</w:t>
            </w:r>
          </w:p>
        </w:tc>
        <w:tc>
          <w:tcPr>
            <w:tcW w:w="15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3.91 %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r>
      <w:tr>
        <w:trPr>
          <w:trHeight w:val="312"/>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3"/>
                <w:szCs w:val="23"/>
                <w:color w:val="auto"/>
                <w:vertAlign w:val="superscript"/>
              </w:rPr>
              <w:t>(4)</w:t>
            </w:r>
          </w:p>
        </w:tc>
        <w:tc>
          <w:tcPr>
            <w:tcW w:w="154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bl>
    <w:p>
      <w:pPr>
        <w:spacing w:after="0" w:line="156" w:lineRule="exact"/>
        <w:rPr>
          <w:sz w:val="20"/>
          <w:szCs w:val="20"/>
          <w:color w:val="auto"/>
        </w:rPr>
      </w:pPr>
    </w:p>
    <w:p>
      <w:pPr>
        <w:ind w:left="980" w:hanging="324"/>
        <w:spacing w:after="0" w:line="282" w:lineRule="auto"/>
        <w:tabs>
          <w:tab w:leader="none" w:pos="9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RSUs with market conditions granted was calculated using the respective performance period plus any time-based vesting requirement.</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17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80" w:right="20" w:hanging="324"/>
        <w:spacing w:after="0" w:line="282" w:lineRule="auto"/>
        <w:tabs>
          <w:tab w:leader="none" w:pos="9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RSUs with market conditions granted, no dividends are expected to be paid over the contractual term of the stock options, resulting in a zero expected dividend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2021, the Company implemented an employee stock purchase plan (“ESPP”) under which a total of 262,731 shares of the Company's common stock were reserved for issuance. As of March 31, 2025, 116,574 shares of common stock were available for issuance under the ESPP. The ESPP is a tax-qualified plan under Section 423 of the Internal Revenue Code. Under the terms of the ESPP, eligible employees are granted options to purchase shares of the Company's common stock at 85% of the lesser of (1) the fair market value at time of grant or (2) the fair market value at time of exercise. The offering periods and purchase periods are typically six-month periods ending on June 30 and December 31 of each year. No shares were issued under the ESPP during the three months ended March 31, 2025.</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granted employee stock purchase rights to certain employees with a grant date fair value per share of $13.70 and $11.27, respectively, calculated using the Black-Scholes option pricing model. For purposes of determining stock-based compensation expense, the grant date fair value per share estimated using the Black-Scholes option pricing model required the use of the following key assumptions: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Pr>
          <w:p>
            <w:pPr>
              <w:spacing w:after="0"/>
              <w:rPr>
                <w:sz w:val="13"/>
                <w:szCs w:val="13"/>
                <w:color w:val="auto"/>
              </w:rPr>
            </w:pPr>
          </w:p>
        </w:tc>
      </w:tr>
      <w:tr>
        <w:trPr>
          <w:trHeight w:val="195"/>
        </w:trPr>
        <w:tc>
          <w:tcPr>
            <w:tcW w:w="74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tcBorders>
              <w:bottom w:val="single" w:sz="8" w:color="auto"/>
            </w:tcBorders>
          </w:tcPr>
          <w:p>
            <w:pPr>
              <w:spacing w:after="0"/>
              <w:rPr>
                <w:sz w:val="16"/>
                <w:szCs w:val="16"/>
                <w:color w:val="auto"/>
              </w:rPr>
            </w:pPr>
          </w:p>
        </w:tc>
      </w:tr>
      <w:tr>
        <w:trPr>
          <w:trHeight w:val="195"/>
        </w:trPr>
        <w:tc>
          <w:tcPr>
            <w:tcW w:w="74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4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3"/>
                <w:szCs w:val="23"/>
                <w:color w:val="auto"/>
                <w:vertAlign w:val="superscript"/>
              </w:rPr>
              <w:t>(1)</w:t>
            </w:r>
          </w:p>
        </w:tc>
        <w:tc>
          <w:tcPr>
            <w:tcW w:w="1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99"/>
              </w:rPr>
              <w:t>0.50 years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years</w:t>
            </w:r>
          </w:p>
        </w:tc>
      </w:tr>
      <w:tr>
        <w:trPr>
          <w:trHeight w:val="229"/>
        </w:trPr>
        <w:tc>
          <w:tcPr>
            <w:tcW w:w="8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3"/>
                <w:szCs w:val="23"/>
                <w:color w:val="auto"/>
                <w:vertAlign w:val="superscript"/>
              </w:rPr>
              <w:t>(2)</w:t>
            </w:r>
          </w:p>
        </w:tc>
        <w:tc>
          <w:tcPr>
            <w:tcW w:w="152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3"/>
                <w:szCs w:val="23"/>
                <w:color w:val="auto"/>
                <w:vertAlign w:val="superscript"/>
              </w:rPr>
              <w:t>(3)</w:t>
            </w:r>
          </w:p>
        </w:tc>
        <w:tc>
          <w:tcPr>
            <w:tcW w:w="152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71 %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8580" w:type="dxa"/>
            <w:vAlign w:val="bottom"/>
            <w:tcBorders>
              <w:bottom w:val="single" w:sz="8" w:color="999999"/>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(4)</w:t>
            </w:r>
          </w:p>
        </w:tc>
        <w:tc>
          <w:tcPr>
            <w:tcW w:w="1520" w:type="dxa"/>
            <w:vAlign w:val="bottom"/>
            <w:tcBorders>
              <w:bottom w:val="single" w:sz="8" w:color="999999"/>
            </w:tcBorders>
          </w:tcPr>
          <w:p>
            <w:pPr>
              <w:jc w:val="right"/>
              <w:ind w:right="676"/>
              <w:spacing w:after="0"/>
              <w:rPr>
                <w:sz w:val="20"/>
                <w:szCs w:val="20"/>
                <w:color w:val="auto"/>
              </w:rPr>
            </w:pPr>
            <w:r>
              <w:rPr>
                <w:rFonts w:ascii="Times New Roman" w:cs="Times New Roman" w:eastAsia="Times New Roman" w:hAnsi="Times New Roman"/>
                <w:sz w:val="18"/>
                <w:szCs w:val="18"/>
                <w:color w:val="auto"/>
              </w:rPr>
              <w:t>4.24 %</w:t>
            </w:r>
          </w:p>
        </w:tc>
        <w:tc>
          <w:tcPr>
            <w:tcW w:w="114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r>
    </w:tbl>
    <w:p>
      <w:pPr>
        <w:spacing w:after="0" w:line="238"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was calculated using the time period between the grant date and the purchase date.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are expected to be paid, resulting in a zero expected dividend rate.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17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employee stock purchase rights, in effect at the grant date.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10—INCOME TAXES</w:t>
      </w:r>
    </w:p>
    <w:p>
      <w:pPr>
        <w:spacing w:after="0" w:line="12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8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r>
      <w:tr>
        <w:trPr>
          <w:trHeight w:val="23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2,430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(559)</w:t>
            </w:r>
          </w:p>
        </w:tc>
      </w:tr>
      <w:tr>
        <w:trPr>
          <w:trHeight w:val="230"/>
        </w:trPr>
        <w:tc>
          <w:tcPr>
            <w:tcW w:w="8180" w:type="dxa"/>
            <w:vAlign w:val="bottom"/>
            <w:tcBorders>
              <w:bottom w:val="single" w:sz="8" w:color="999999"/>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20" w:type="dxa"/>
            <w:vAlign w:val="bottom"/>
            <w:tcBorders>
              <w:bottom w:val="single" w:sz="8" w:color="999999"/>
            </w:tcBorders>
          </w:tcPr>
          <w:p>
            <w:pPr>
              <w:spacing w:after="0"/>
              <w:rPr>
                <w:sz w:val="19"/>
                <w:szCs w:val="19"/>
                <w:color w:val="auto"/>
              </w:rPr>
            </w:pPr>
          </w:p>
        </w:tc>
        <w:tc>
          <w:tcPr>
            <w:tcW w:w="122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16.4 %</w:t>
            </w:r>
          </w:p>
        </w:tc>
        <w:tc>
          <w:tcPr>
            <w:tcW w:w="400" w:type="dxa"/>
            <w:vAlign w:val="bottom"/>
            <w:tcBorders>
              <w:bottom w:val="single" w:sz="8" w:color="999999"/>
            </w:tcBorders>
          </w:tcPr>
          <w:p>
            <w:pPr>
              <w:spacing w:after="0"/>
              <w:rPr>
                <w:sz w:val="19"/>
                <w:szCs w:val="19"/>
                <w:color w:val="auto"/>
              </w:rPr>
            </w:pPr>
          </w:p>
        </w:tc>
        <w:tc>
          <w:tcPr>
            <w:tcW w:w="112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35.5 %</w:t>
            </w: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first quarter of 2025 and the first quarter of 2024, the effective tax rate varied from the federal statutory rate of 21% primarily due to the change in the valuation allowance, net of the current period change in tax effected net indefinite-lived intangibles.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Senior Notes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2025 Notes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24, 2020, the Company issued $575.0 million aggregate principal amount of its 0.50% Convertible Senior Notes due July 15, 2025 (the “2025 Notes”) in a private placement. The 2025 Notes bear interest at a rate of 0.50% per year, payable semi-annually on January 15 and July 15 of each year, beginning on January 15, 2021. The 2025 Notes will mature on July 15,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2025, unless earlier repurchased, redeemed or converted. The initial conversion rate of the 2025 Notes is 2.1683 shares of the Company's common stock per $1,000 principal amount of 2025 Notes (which is equivalent to an initial conversion price of approximately $461.19 per share).</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first quarter of 2025, the Company repurchased approximately $20.0 million of its 2025 Notes, through individual privately-negotiated transactions with certain holders of the 2025 Notes, for $19.7 million in cash plus an immaterial amount of accrued and unpaid interest. The repurchase resulted in a $0.3 million gain on the extinguishment of debt which is included in interest expense, net in the consolidated statement of operations and comprehensive income.</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2023 and 2024, the Company repurchased $459.7 million in principal amount of the 2025 Notes. The remaining balance outstanding on the 2025 Notes as of March 31, 2025 is $95.3 million and will mature in July 2025.</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Holders of the 2025 Notes were not entitled to convert the 2025 Notes during the calendar quarter ended March 31, 2025 as the last reported sale price of the Company's common stock, for at least 20 trading days (whether or not consecutive) during the period of 30 consecutive trading days ending on December 31, 2024, was not greater than or equal to 130% of the conversion price of the 2025 Notes on each applicable trading day. Under the terms of the 2025 Notes, on or after March 13, 2025, until the close of business on the second scheduled trading day immediately preceding the maturity date of the 2025 Notes, holders of the 2025 Notes may convert all or a portion of their 2025 Notes regardless of the foregoing conditions. There have been no conversions in the first quarter of 2025.</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first three months of 2025, the Company recorded interest expense on the 2025 Notes of $0.2 million which consisted of $0.1 million associated with the 0.50% coupon rate and $0.1 million associated with the amortization of the debt issuance costs. In the first three months of 2024, the Company recorded interest expense on the 2025 Notes of $0.8 million which consisted of $0.4 million associated with the 0.50% coupon rate and $0.4 million associated with the amortization of the debt issuance costs.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the fair value of the 2025 Notes is estimated to be approximately $90.7 million using the Level 1 observable input of the last quoted market price on March 31, 2025.</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 summary of the gross carrying amount, debt issuance costs, and net carrying value of the 2025 Notes, all of which is recorded as a current liability in the March 31, 2025 consolidated balance sheet,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1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95,307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115,307</w:t>
            </w:r>
          </w:p>
        </w:tc>
      </w:tr>
      <w:tr>
        <w:trPr>
          <w:trHeight w:val="230"/>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8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95,160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114,976</w:t>
            </w:r>
          </w:p>
        </w:tc>
      </w:tr>
    </w:tbl>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intends to use cash on hand and future cash flows from operations for the repayment of the $95.3 million outstanding principal amount of its 2025 Notes.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Convertible Note Hedge and Warrant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2020 Hedge and Warrants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24, 2020, in connection with the issuance of the 2025 Notes, the Company entered into Convertible Note Hedge (the “2020 Hedge”) and warrant transactions with respect to the Company’s common stock.</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2020 Hedge transactions cover 1.2 million shares of the Company’s common stock, the same number of shares initially underlying the 2025 Notes, and are exercisable upon any conversion of the 2025 Notes. The 2020 Hedge transactions are expected generally to reduce the potential dilution to the Company’s common stock upon conversion of the 2025 Notes and/or offset any cash payments the Company is required to make in excess of the principal amount of the converted 2025 Notes, as the case may be, in the event that the market price per share of common stock, as measured under the terms of the 2020 Hedge transactions, is greater than the strike price of the 2020 Hedge transactions, which initially corresponds to the initial conversion price of the 2025 Notes, or approximately $461.19 per share of common stock. The 2020 Hedge transactions will expire upon the maturity of the 2025 Notes.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If the market price per share of the common stock, as measured under the terms of the 2020 Warrants, exceeds the strike price of the 2020 Warrants, the 2020 Warrants could have a dilutive effect, unless the Company elects, subject to certain conditions, to settle the 2020 Warrants in cash.</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the outstanding portion of the 2020 Hedge covers 0.2 million shares of the Company's common stock and the 2020 Warrants to acquire 0.2 million shares of the Company's common stock remain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Credit Facility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15, 2021, the Company entered into a credit agreement (the “Credit Agreement”), consisting of a $200.0 million revolving credit facility (the “Revolving Facility”), which matures on September 15, 2026, and a $250.0 million delayed draw term loan facility (the “2021 Term Loan” and together with the Revolving Facility, the “Credit Facility”), which matures on September 15, 2028.</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$243.1 million of borrowings outstanding under the 2021 Term Loan bearing interest at the SOFR option rate of 8.4% and had no borrowings under the Revolving Facility. As of December 31, 2024, the Company had $243.8 million of borrowings outstanding under the 2021 Term Loan and no borrowings under the Revolving Facility. As of March 31, 2025, borrowings of $2.5 million under the 2021 Term Loan are recorded as current portion of long-term debt on the consolidated balance sheet.</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was in compliance with all covenants at March 31, 2025.</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first three months of 2025, the Company recorded interest expense related to its Revolving Facility of $0.5 million which consisted of $0.3 million in unused commitment fees and $0.2 million associated with the amortization of the debt issuance costs. In the first three months of 2025, the Company recorded interest expense related to the 2021 Term Loan of $5.1 million associated with borrowings bearing interest at the SOFR option rate.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first three months of 2024, the Company recorded interest expense related to its Revolving Facility of $0.4 million which consisted of $0.2 million in unused commitment fees and $0.2 million associated with the amortization of the debt issuance costs. In the first three months of 2024, the Company recorded interest expense related to the 2021 Term Loan of $5.7 million associated with borrowings bearing interest at the SOFR option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Term Loan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27, 2024, the Company entered into a $175.0 million first lien term loan facility (the “2024 Term Loan”), which matures on March 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2031. The Company drew $125.0 million of the 2024 Term Loan upon closing and drew the remaining $50.0 million delayed draw term loan on March 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Company incurred fees of $0.5 million in the first quarter of 2025 in connection with the $50.0 million delayed draw.</w:t>
      </w:r>
    </w:p>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$162.5 million borrowings outstanding under the 2024 Term Loan bearing interest based on the SOFR rate of 10.07%. As of December 31, 2024, the Company had $115.6 million of borrowings outstanding under the 2024 Term Loan. As of March 31, 2025, borrowings of $8.8 million under the 2024 Term Loan are recorded as current portion of long-term debt on the consolidated balance sheet.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was in compliance with all covenants at March 31, 2025.</w:t>
      </w:r>
    </w:p>
    <w:p>
      <w:pPr>
        <w:spacing w:after="0" w:line="15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the first three months of 2025, the Company recorded interest expense related to the 2024 Term Loan of $3.4 million which consisted of $3.0 million associated with borrowings bearing interest based on the SOFR rate, $0.2 million associated with unused commitment fees, $0.1 million associated with the amortization of debt issuance costs, and $0.1 million associated with the accretion of the original issue discount.</w:t>
      </w:r>
    </w:p>
    <w:p>
      <w:pPr>
        <w:spacing w:after="0" w:line="13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first three months of 2024, the Company recorded interest expense related to the 2024 Term Loan of $0.2 million which consisted of $0.2 million associated with borrowings bearing interest based on the SOFR rate and immaterial amounts associated with unused commitment fees, the amortization of debt issuance costs, and accretion of the original issue discount.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 summary of the gross carrying amount, debt issuance costs, original issue discount, and net carrying value of the 2024 Term Loan in the March 31, 2025 consolidated balance sheet,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9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Portion</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carrying amount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8,750</w:t>
            </w:r>
          </w:p>
        </w:tc>
      </w:tr>
      <w:tr>
        <w:trPr>
          <w:trHeight w:val="230"/>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234</w:t>
            </w:r>
          </w:p>
        </w:tc>
      </w:tr>
      <w:tr>
        <w:trPr>
          <w:trHeight w:val="229"/>
        </w:trPr>
        <w:tc>
          <w:tcPr>
            <w:tcW w:w="9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Unamortized original issue discount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9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8,367</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Portion</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carrying amount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153,750</w:t>
            </w:r>
          </w:p>
        </w:tc>
      </w:tr>
      <w:tr>
        <w:trPr>
          <w:trHeight w:val="229"/>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Pr>
          <w:p>
            <w:pPr>
              <w:spacing w:after="0"/>
              <w:rPr>
                <w:sz w:val="19"/>
                <w:szCs w:val="19"/>
                <w:color w:val="auto"/>
              </w:rPr>
            </w:pPr>
          </w:p>
        </w:tc>
        <w:tc>
          <w:tcPr>
            <w:tcW w:w="12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4,173</w:t>
            </w:r>
          </w:p>
        </w:tc>
      </w:tr>
      <w:tr>
        <w:trPr>
          <w:trHeight w:val="230"/>
        </w:trPr>
        <w:tc>
          <w:tcPr>
            <w:tcW w:w="98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Unamortized original issue discount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2,541</w:t>
            </w:r>
          </w:p>
        </w:tc>
      </w:tr>
      <w:tr>
        <w:trPr>
          <w:trHeight w:val="230"/>
        </w:trPr>
        <w:tc>
          <w:tcPr>
            <w:tcW w:w="9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147,036</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12, unless otherwise indicated, the Company is unable to estimate the possible loss or range of losses that could potentially result from the application of such non-monetary remedies.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are party to litigation involving property, contract, intellectual property and a variety of other claims. The amounts that may be incurred in such matters may be subject to insurance coverage.</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Company had litigation settlement accruals of $19.1 million and $3.9 million, respectively. The litigation settlement accruals relate to litigation matters that were either settled or a firm offer for settlement was extended or an estimated settlement range has been determined, thereby establishing an accrual amount that is both probable and reasonably estimable.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or about October 29, 2019, Joseph Mantha filed a class action lawsuit against QuoteWizard.com, LLC alleging claims in violation of the Telephone Consumer Protection Act. On August 16, 2024, the U.S. District Court of Massachusetts granted the plaintiff’s motion to certify a class. A trial date has been set for November of 2025. The Company participated in a mediation in April 2025 and reached a preliminary agreement on the terms of settlement. The settlement is not final and is subject to approval by the court. An estimated liability of $19.0 million for this matter is included in the accompanying consolidated balance sheet as of March 31, 2025. The settlement is payable in three equal installments, with the first payment due in the fourth quarter of 2025, the second payment due in the first quarter of 2026 and the final payment due in the second quarter of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13—FAIR VALUE MEASUREMENTS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Other than the convertible notes and warrants, and the equity investments, the carrying amounts of the Company's financial instruments are equal to fair value at March 31, 2025.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11—Debt for additional information on the convertible notes and warrants.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14—SEGMENT INFORMATION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the Company's Chief Executive Officer, for the purpose of assessing performance and allocating resources.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Home segment includes the following products: purchase mortgage, refinance mortgage, and home equity loans and lines of credit. The Consumer segment includes the following products: credit cards, personal loans, small business loans, student loans, auto loans, deposit accounts, and other credit products. The Company ceased offering its student loan product in the first quarter of 2025. The Insurance segment consists of insurance quote products and sales of insurance policies in the agency businesses.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tables are a reconciliation of segment profit, which is the Company's primary segment profitability measure, to income before income taxes. Segment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4"/>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146,652</w:t>
            </w:r>
          </w:p>
        </w:tc>
        <w:tc>
          <w:tcPr>
            <w:tcW w:w="86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239,728</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23,873</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28,896</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107,942</w:t>
            </w: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36</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160,747</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13,146</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27,137</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38,710</w:t>
            </w: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(12)</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78,981</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9,908</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12,004</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30,660</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11,904</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15,212</w:t>
            </w: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(7,109)</w:t>
            </w:r>
          </w:p>
        </w:tc>
      </w:tr>
      <w:tr>
        <w:trPr>
          <w:trHeight w:val="218"/>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(9,084)</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w:t>
            </w:r>
          </w:p>
        </w:tc>
      </w:tr>
      <w:tr>
        <w:trPr>
          <w:trHeight w:val="219"/>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(14,805)</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4"/>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85,872</w:t>
            </w:r>
          </w:p>
        </w:tc>
        <w:tc>
          <w:tcPr>
            <w:tcW w:w="86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167,768</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20,833</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24,011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52,423</w:t>
            </w: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97,246</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9,610</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27,440</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33,449</w:t>
            </w: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70,522</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8,545</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10,930</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25,796</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11,857</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4,667</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7,179</w:t>
            </w:r>
          </w:p>
        </w:tc>
      </w:tr>
      <w:tr>
        <w:trPr>
          <w:trHeight w:val="218"/>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(6,638)</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w:t>
            </w:r>
          </w:p>
        </w:tc>
      </w:tr>
      <w:tr>
        <w:trPr>
          <w:trHeight w:val="219"/>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1,575</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CODM does not review information on segment assets and as such, no segment asset information is reported herein.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Securities Act of 1933, as amended,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included elsewhere in this Quarterly Report on Form 10-Q and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the Company's Annual Report on Form 10-K for the year ended December 31, 2024 (the “2024 Annual Report”).</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Quarterly Report on Form 10-Q may not prove to be accurate. Accordingly, you should not place undue reliance on these forward-looking statements, which only reflect the views of LendingTree, Inc.'s management as of the date of this Quarterly Report on Form 10-Q. We undertake no obligation to update or revise forward-looking statements to reflect changed assumptions, the occurrence of unanticipated events or changes to future operating results or expectations,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LendingTree, Inc. is the parent of LT Intermediate Company, LLC, which holds all of the outstanding ownership interests of LendingTree, LLC, and LendingTree, LLC owns several companies.</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auto loans, credit cards, deposit accounts, personal loans, small business loans, insurance quotes, sales of insurance policies and other related offerings. In addition, we offer consumers tools and resources, including free credit scores, that facilitate comparison shopping for loans, deposit products, insurance, and other offerings. We seek to match to match consumers with multiple providers, who can provide them competing quotes for the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Spring platform offers a personalized comparison-shopping experience, financial health advice and credit simulations by providing free credit scores and credit score analysis. This authenticated and secure platform enables us to monitor consumers' credit profiles, identify and alert them to changes in their financial health, and to recommend loans and other offerings on our marketplace that may be more favorable than the terms they may have at a given point in time. Customers can track the progress of their financial health over time based on actions they have taken and see recommended credit score improvement actions, and loans or other products offered by LendingTree.</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focused on developing new product offerings and enhancements to improve the experience of consumers and Network Partners as they interact with us. By expanding our portfolio of financial services offerings, we are growing and diversifying our business and sources of revenue. We intend to capitalize on our expertise in performance marketing, product development and technology by leveraging the widespread recognition of the LendingTree brand.</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the consumer and insurance industries are in the middle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Network Partners place us in a strong position to continue to benefit from this market shift.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Conditions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continue to monitor the current global economic environment, specifically including inflationary pressures and interest rates, and any resulting impacts on our financial position and results of operations. Refer to Part I, Item 1A. “Risk Factors” of our 2024 Annual Report for additional information.</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first quarter of 2025, the challenging interest rate environment and inflationary pressures have continued to present challenges for many of our mortgage lending partners. In our Home segment, mortgage rates have remained relatively consistent in the first quarter of 2025 compared to the fourth quarter of 2024 and the first quarter of 2024, but nearly doubled compared to the first quarter of 2022. The increased mortgage rates continue to cause reduced refinance volumes and continue to put pressure on purchase activity. In our Insurance segment, demand from our carrier partners remain at relatively elevated levels and we continue to be optimistic about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three reportable segments: Home, Consumer, and Insurance.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rate and market risks are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1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Typically, when interest rates decline, we see increased consumer demand for mortgage refinancings,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spacing w:after="0" w:line="11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may be adversely affected by the overall reduced demand for refinancing in a rising rate environment.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dynamically adjust selling and marketing expenditures in all interest rate environments to optimize our results against these variables.</w:t>
      </w:r>
    </w:p>
    <w:p>
      <w:pPr>
        <w:spacing w:after="0" w:line="15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According to Freddie Mac, the monthly average 30-year mortgage interest rates decreased from 6.72% in December 2024 to 6.65% in March 2025. On a quarterly basis, 30-year mortgage interest rates increased in the first quarter of 2025 to an average 6.82%, from 6.65% in the fourth quarter of 2024. The quarterly average was up slightly in the first quarter of 2025 compared to 6.75% in the first quarter of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900430</wp:posOffset>
            </wp:positionV>
            <wp:extent cx="5237480" cy="4105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37480" cy="410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Typically, as mortgage interest rates rise, there are fewer consumers in the marketplace seeking refinancings and, accordingly, the mix of mortgage origination dollars will move toward purchase mortgages. According to Mortgage Bankers Association (“MBA”) data, total refinance origination dollars decreased to 29% of total mortgage origination dollars in the first quarter of 2025 compared to 38% in the fourth quarter of 2024 and increased from 23% in the first quarter of 2024. In the first quarter of 2025, total refinance origination dollars decreased 41% from the fourth quarter of 2024 and increased 30% from the first quarter of 2024. Industry-wide mortgage origination dollars in the first quarter of 2025 decreased 22% from the fourth quarter of 2024, but increased 2% from first quarter of 2024.</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According to MBA projections, the mix of mortgage origination dollars is expected to continue to be weighted towards purchase mortgages with the refinance share representing approximately 33% for 2025 compared to 28% in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 Real Estate Market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According to Fannie Mae data, existing home sales increased 1% in the first quarter of 2025 compared to the fourth quarter of 2024, and increased 1% compared to the first quarter of 2024. Fannie Mae predicts an overall increase in existing-home sales of approximately 3.1% in 2025 compared to 2024.</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Spring</w:t>
      </w:r>
      <w:r>
        <w:rPr>
          <w:rFonts w:ascii="Times New Roman" w:cs="Times New Roman" w:eastAsia="Times New Roman" w:hAnsi="Times New Roman"/>
          <w:sz w:val="23"/>
          <w:szCs w:val="23"/>
          <w:b w:val="1"/>
          <w:bCs w:val="1"/>
          <w:color w:val="auto"/>
          <w:vertAlign w:val="superscript"/>
        </w:rPr>
        <w:t>TM</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consider certain metrics related to LendingTree Spring ("Spring") set forth below to help us evaluate our business and growth trends and assess operational efficiencies. We believe our Spring platform drives repeat user engagement resulting in lower acquisition costs and increases consumer lifetime value. The calculation of the metrics discussed below may differ from other similarly titled metrics used by other companies, securities analysts or investors.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added 0.8 million new users in the first quarter of 2025, bringing cumulative sign-ups to 32.1 million at March 31, 2025. We calculate the number of Spring users at a period end as the number of users that had an active account at any point during the quarter that includes the period end date. Users that deactivated their accounts prior to the most recent quarter are no longer considered in the user base at the end of the most recent quarter. We attribute approximately $3.7 million of revenue, or 2% of total revenue, in the first quarter of 2025 to registered Spring users who initiated their transaction from the Spring platform. During the first quarter of 2025, approximately 0.2 million Spring users initiated a transaction from the Spring platform that contributed to revenue.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Activity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2025, we drew $50.0 million on our 2024 Term Loan (as defined below) delayed draw facility and incurred fees of $0.5 million associated with the borrowing. Additionally, we repurchased $20.0 million in principal amount of our 0.50% Convertible Senior Notes due July 15, 2025 ("2025 Notes"), through individual privately-negotiated transactions with certain holders of such notes, for approximately $19.7 million in cash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2025 and 2024</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discussion within Revenue provides the details of consolidated revenue by segment and significant products. In this section, we describe overall changes in revenue in our segments and significant products within each segment and increases or decreases in revenue from the prior period. We also provide insight into how changes in price and volume in each significant product impacted product revenue.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Segment Profit is a discussion of profitability within each segment of the business. It is impacted by segment revenues as well as segment cost of revenue and marketing expenses. In Segment Profit, we provide a discussion of the business within each segment, addressing both Company and market impacts on the profitability of each segment in addition to a discussion of segment margin.</w:t>
      </w:r>
    </w:p>
    <w:p>
      <w:pPr>
        <w:spacing w:after="0" w:line="9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20"/>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7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i w:val="1"/>
                <w:iCs w:val="1"/>
                <w:color w:val="auto"/>
                <w:w w:val="96"/>
              </w:rPr>
              <w:t>(Dollars in thousands)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37,019</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30,443</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6,576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56,033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51,451</w:t>
            </w:r>
          </w:p>
        </w:tc>
        <w:tc>
          <w:tcPr>
            <w:tcW w:w="160" w:type="dxa"/>
            <w:vAlign w:val="bottom"/>
          </w:tcPr>
          <w:p>
            <w:pPr>
              <w:spacing w:after="0"/>
              <w:rPr>
                <w:sz w:val="18"/>
                <w:szCs w:val="18"/>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4,582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146,652</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85,872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60,780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22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239,728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167,768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71,960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43 %</w:t>
            </w:r>
          </w:p>
        </w:tc>
        <w:tc>
          <w:tcPr>
            <w:tcW w:w="0" w:type="dxa"/>
            <w:vAlign w:val="bottom"/>
          </w:tcPr>
          <w:p>
            <w:pPr>
              <w:spacing w:after="0"/>
              <w:rPr>
                <w:sz w:val="1"/>
                <w:szCs w:val="1"/>
                <w:color w:val="auto"/>
              </w:rPr>
            </w:pP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16"/>
                <w:szCs w:val="16"/>
                <w:i w:val="1"/>
                <w:iCs w:val="1"/>
                <w:color w:val="auto"/>
              </w:rPr>
              <w:t>(exclusive of depreciation and amortization shown separately below)</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9,908</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1,363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 expense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172,751</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108,176</w:t>
            </w:r>
          </w:p>
        </w:tc>
        <w:tc>
          <w:tcPr>
            <w:tcW w:w="160" w:type="dxa"/>
            <w:vAlign w:val="bottom"/>
          </w:tcPr>
          <w:p>
            <w:pPr>
              <w:spacing w:after="0"/>
              <w:rPr>
                <w:sz w:val="18"/>
                <w:szCs w:val="18"/>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64,575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30,660</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25,796</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4,864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11,904</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11,857</w:t>
            </w:r>
          </w:p>
        </w:tc>
        <w:tc>
          <w:tcPr>
            <w:tcW w:w="160" w:type="dxa"/>
            <w:vAlign w:val="bottom"/>
          </w:tcPr>
          <w:p>
            <w:pPr>
              <w:spacing w:after="0"/>
              <w:rPr>
                <w:sz w:val="18"/>
                <w:szCs w:val="18"/>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60" w:type="dxa"/>
            <w:vAlign w:val="bottom"/>
          </w:tcPr>
          <w:p>
            <w:pPr>
              <w:spacing w:after="0"/>
              <w:rPr>
                <w:sz w:val="18"/>
                <w:szCs w:val="18"/>
                <w:color w:val="auto"/>
              </w:rPr>
            </w:pP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(182)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775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15,212</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15,176</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42,156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246,837</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160,589</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86,248</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54 %</w:t>
            </w:r>
          </w:p>
        </w:tc>
        <w:tc>
          <w:tcPr>
            <w:tcW w:w="0" w:type="dxa"/>
            <w:vAlign w:val="bottom"/>
          </w:tcPr>
          <w:p>
            <w:pPr>
              <w:spacing w:after="0"/>
              <w:rPr>
                <w:sz w:val="1"/>
                <w:szCs w:val="1"/>
                <w:color w:val="auto"/>
              </w:rPr>
            </w:pPr>
          </w:p>
        </w:tc>
      </w:tr>
      <w:tr>
        <w:trPr>
          <w:trHeight w:val="210"/>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 income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(7,109)</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7,179</w:t>
            </w:r>
          </w:p>
        </w:tc>
        <w:tc>
          <w:tcPr>
            <w:tcW w:w="160" w:type="dxa"/>
            <w:vAlign w:val="bottom"/>
          </w:tcPr>
          <w:p>
            <w:pPr>
              <w:spacing w:after="0"/>
              <w:rPr>
                <w:sz w:val="18"/>
                <w:szCs w:val="18"/>
                <w:color w:val="auto"/>
              </w:rPr>
            </w:pP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(14,288)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(199)%</w:t>
            </w:r>
          </w:p>
        </w:tc>
        <w:tc>
          <w:tcPr>
            <w:tcW w:w="0" w:type="dxa"/>
            <w:vAlign w:val="bottom"/>
          </w:tcPr>
          <w:p>
            <w:pPr>
              <w:spacing w:after="0"/>
              <w:rPr>
                <w:sz w:val="1"/>
                <w:szCs w:val="1"/>
                <w:color w:val="auto"/>
              </w:rPr>
            </w:pPr>
          </w:p>
        </w:tc>
      </w:tr>
      <w:tr>
        <w:trPr>
          <w:trHeight w:val="21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(9,084)</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(6,638)</w:t>
            </w:r>
          </w:p>
        </w:tc>
        <w:tc>
          <w:tcPr>
            <w:tcW w:w="160" w:type="dxa"/>
            <w:vAlign w:val="bottom"/>
          </w:tcPr>
          <w:p>
            <w:pPr>
              <w:spacing w:after="0"/>
              <w:rPr>
                <w:sz w:val="18"/>
                <w:szCs w:val="18"/>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2,446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income before income taxes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(14,805)</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1,575</w:t>
            </w:r>
          </w:p>
        </w:tc>
        <w:tc>
          <w:tcPr>
            <w:tcW w:w="160" w:type="dxa"/>
            <w:vAlign w:val="bottom"/>
          </w:tcPr>
          <w:p>
            <w:pPr>
              <w:spacing w:after="0"/>
              <w:rPr>
                <w:sz w:val="18"/>
                <w:szCs w:val="18"/>
                <w:color w:val="auto"/>
              </w:rPr>
            </w:pP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(16,380)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(1,040)%</w:t>
            </w:r>
          </w:p>
        </w:tc>
        <w:tc>
          <w:tcPr>
            <w:tcW w:w="0" w:type="dxa"/>
            <w:vAlign w:val="bottom"/>
          </w:tcPr>
          <w:p>
            <w:pPr>
              <w:spacing w:after="0"/>
              <w:rPr>
                <w:sz w:val="1"/>
                <w:szCs w:val="1"/>
                <w:color w:val="auto"/>
              </w:rPr>
            </w:pPr>
          </w:p>
        </w:tc>
      </w:tr>
      <w:tr>
        <w:trPr>
          <w:trHeight w:val="215"/>
        </w:trPr>
        <w:tc>
          <w:tcPr>
            <w:tcW w:w="7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(2,989)</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 %</w:t>
            </w:r>
          </w:p>
        </w:tc>
        <w:tc>
          <w:tcPr>
            <w:tcW w:w="0" w:type="dxa"/>
            <w:vAlign w:val="bottom"/>
          </w:tcPr>
          <w:p>
            <w:pPr>
              <w:spacing w:after="0"/>
              <w:rPr>
                <w:sz w:val="1"/>
                <w:szCs w:val="1"/>
                <w:color w:val="auto"/>
              </w:rPr>
            </w:pPr>
          </w:p>
        </w:tc>
      </w:tr>
      <w:tr>
        <w:trPr>
          <w:trHeight w:val="211"/>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 and comprehensive (loss) income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(12,375)</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1,016</w:t>
            </w: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(13,391)</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(1,318)%</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increased in the first quarter of 2025 compared to the first quarter of 2024 due to increases in our Insurance, Home and Consumer segments.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from our Insurance segment increased $60.8 million, or 71%, to $146.7 million in the first quarter of 2025 from $85.9 million in the first quarter of 2024. The increase in revenue was due to a 41% increase in revenue earned per consumer, representing $34.8 million of the increase and a 22% increase in volume, representing $26.0 million of the increase. We measure volume for insurance product as the number of consumer request forms and in certain cases of re-engagement with a consumer, the number of subsequent consumer engagements through our platform.</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Home segment includes the following products: purchase mortgage, refinance mortgage, and home equity loans and lines of credit. Revenue from our Home segment increased $6.6 million, or 22%, in the first quarter of 2025 from the first quarter of 2024 due to increases in revenue from our home equity loans and mortgage products.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from our home equity loans and lines of credit product increased $5.0 million, or 24%, to $25.8 million in the first quarter of 2025 from $20.8 million in the first quarter of 2024. The increase in revenue was due to a 50% increase in volume,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representing an increase of $8.6 million, partially offset by a 17% decrease in revenue earner per consumer, representing a decrease of $3.6 million. We measure volume for our home equity loans and lines of credit as the number of consumers completing request forms.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from our mortgage products increased $1.6 million, or 16%, to $11.2 million in the first quarter of 2025 from $9.6 million in the first quarter of 2024. The increase in revenue was due to our refinance mortgage product which increased $1.6 million in the first quarter of 2025 compared to the first quarter of 2024 due to increases in the number of consumers completing request forms and an increase in revenue earned per consumer. While we experienced a slight increase in mortgage revenue, increased mortgage rates continue to cause reduced refinance volumes and continue to put pressure on purchase activity. We measure volume for our mortgage products as the number of consumers completing request forms.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Consumer segment includes the following products: credit cards, personal loans, small business loans, student loans, auto loans, deposit accounts, and other credit products. Many of our Consumer segment products are not individually significant to revenue. Revenue from our Consumer segment increased $4.6 million, or 9%, in the first quarter of 2025 from the first quarter of 2024 primarily due to increases in our personal loans and small business loans products, partially offset by decreases in our credit cards and other credit products.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from our personal loans product increased $3.3 million, or 16%, to $23.4 million in the first quarter of 2025 from $20.1 million in the first quarter of 2024. The increase in revenue was due to a 36% increase in volume, representing $6.2 million of an increase, partially offset by a 14% decrease in revenue earned per consumer, representing $2.9 million of a decrease. We measure volume for our personal loans product as the number of unique consumers completing request forms.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periods presented, no other products in our Consumer segment represented more than 10% of revenue; however, certain other Consumer products experienced notable changes. Revenue from small business increased $6.4 million, or 48%, in the first quarter of 2025 compared to the first quarter of 2024 due increases in the number of consumers completing request forms and in revenue earned per consumer. Revenue from credit cards decreased $3.7 million, or 48%, in the first quarter of 2025 compared to the first quarter of 2024 primarily due to decreases in the number of consumer clicks and revenue earned per click. Revenue from other credit products decreased $1.2 million, or 31%, in the first quarter of 2025 compared to the first quarter of 2024 due to a decrease in revenue earned per consumer.</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Cost of revenue increased in the first quarter of 2025 from the first quarter of 2024 by $1.4 million, primarily due to an increase in compensation and benefits of $0.9 million.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revenue as a percentage of revenue decreased to 4% in the first quarter of 2025 compared to 5% in the first quarter of 2024.</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Selling and marketing expense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 increased in the first quarter of 2025 compared to the first quarter 2024 by $64.6 million primarily due to the changes in advertising and promotional expense discussed below. Additionally, compensation and benefits increased $0.9 million in the first quarter of 2025 compared to the first quarter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Advertising and promotional expense is the largest component of selling and marketing expense, and is comprised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3"/>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1"/>
                <w:szCs w:val="11"/>
                <w:color w:val="auto"/>
              </w:rPr>
            </w:pPr>
          </w:p>
        </w:tc>
        <w:tc>
          <w:tcPr>
            <w:tcW w:w="9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1"/>
                <w:szCs w:val="11"/>
                <w:color w:val="auto"/>
              </w:rPr>
            </w:pPr>
          </w:p>
        </w:tc>
        <w:tc>
          <w:tcPr>
            <w:tcW w:w="1040" w:type="dxa"/>
            <w:vAlign w:val="bottom"/>
          </w:tcPr>
          <w:p>
            <w:pPr>
              <w:jc w:val="right"/>
              <w:ind w:right="596"/>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6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3"/>
          </w:tcPr>
          <w:p>
            <w:pPr>
              <w:jc w:val="center"/>
              <w:ind w:right="76"/>
              <w:spacing w:after="0"/>
              <w:rPr>
                <w:sz w:val="20"/>
                <w:szCs w:val="20"/>
                <w:color w:val="auto"/>
              </w:rPr>
            </w:pPr>
            <w:r>
              <w:rPr>
                <w:rFonts w:ascii="Times New Roman" w:cs="Times New Roman" w:eastAsia="Times New Roman" w:hAnsi="Times New Roman"/>
                <w:sz w:val="13"/>
                <w:szCs w:val="13"/>
                <w:b w:val="1"/>
                <w:bCs w:val="1"/>
                <w:i w:val="1"/>
                <w:iCs w:val="1"/>
                <w:color w:val="auto"/>
                <w:w w:val="97"/>
              </w:rPr>
              <w:t>(Dollars in thousands)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Online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97,515</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63,560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Broadcast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131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advertising expense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162,001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98,321</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63,680</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65 %</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 the periods presented, advertising and promotional expenses are equivalent to the non-GAAP measure variable marketing expense.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Variable Marketing Expense and Variable Marketing Margin below for additional information.</w:t>
      </w:r>
    </w:p>
    <w:p>
      <w:pPr>
        <w:spacing w:after="0" w:line="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adjusted our advertising expenditures in the first quarter of 2025 compared to the first quarter of 2024 in response to changes in Network Partner demand on our marketplace. We will continue to adjust selling and marketing expenditures dynamically in response to anticipated revenue opportunities.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$4.9 million in the first quarter of 2025 compared to the first quarter of 2024. Compensation and benefits increased in the first quarter of 2025 compared to the first quarter of 2024 by $4.8 million, primarily due to an increase in non-cash compensation of $3.0 million.</w:t>
      </w:r>
    </w:p>
    <w:p>
      <w:pPr>
        <w:spacing w:after="0" w:line="6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For additional information,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Note—9-Stock-Based Compensation in the notes to the consolidated financial statements included elsewhere in this report. Non-cash compensation expense is excluded from Adjusted Earnings Before Interest, Taxes, Depreciation, and Amortization (“Adjusted EBITDA”), as discussed below.</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 as a percentage of revenue in the first quarter of 2025 was 13% compared to 15% for the first quarter of 2024.</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Product development expense remained consistent in the first quarter of 2025 compared to the first quarter of 2024 as we continued to invest in internal development of new and enhanced features, functionality and business opportunities that we believe will enable us to better and more fully serve consumers and Network Partners.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Litigation Settlements and Contingencies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first quarter of 2025, we incurred $15.2 million of expenses for litigation contingencies due to the Mantha litigation. See Note 12— Contingencies in the notes to the consolidated financial statements for additional information on litigation matters.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March 2024 and March 2025, we drew $125.0 million and $50.0 million, respectively, on the 2024 Term Loan and incurred $3.4 million of interest expense in the first quarter of 2025 as a result of the 2024 Term Loan.</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the first quarter of 2025, we repurchased approximately $20.0 million in principal amount of our 0.50% Convertible Senior Notes due July 15, 2025 (the "2025 Notes") for $19.7 million plus accrued and unpaid interest. As a result of the repurchase, we recognized a gain on the extinguishment of $0.3 million, which is included in interest expense, net in the consolidated statement of operations and comprehensive income.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11—Debt for additional information.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primarily consists of dividend income.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first quarter of 2025 and 2024, the effective tax rate varied from the federal statutory rate of 21% primarily due to the change in the valuation allowance, net of the current period change in tax effected net indefinite-lived intangibles.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Segment Profit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3"/>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1"/>
                <w:szCs w:val="11"/>
                <w:color w:val="auto"/>
              </w:rPr>
            </w:pPr>
          </w:p>
        </w:tc>
        <w:tc>
          <w:tcPr>
            <w:tcW w:w="94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1"/>
                <w:szCs w:val="11"/>
                <w:color w:val="auto"/>
              </w:rPr>
            </w:pPr>
          </w:p>
        </w:tc>
        <w:tc>
          <w:tcPr>
            <w:tcW w:w="1080" w:type="dxa"/>
            <w:vAlign w:val="bottom"/>
          </w:tcPr>
          <w:p>
            <w:pPr>
              <w:jc w:val="right"/>
              <w:ind w:right="61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7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3"/>
          </w:tcPr>
          <w:p>
            <w:pPr>
              <w:jc w:val="center"/>
              <w:ind w:right="112"/>
              <w:spacing w:after="0"/>
              <w:rPr>
                <w:sz w:val="20"/>
                <w:szCs w:val="20"/>
                <w:color w:val="auto"/>
              </w:rPr>
            </w:pPr>
            <w:r>
              <w:rPr>
                <w:rFonts w:ascii="Times New Roman" w:cs="Times New Roman" w:eastAsia="Times New Roman" w:hAnsi="Times New Roman"/>
                <w:sz w:val="13"/>
                <w:szCs w:val="13"/>
                <w:b w:val="1"/>
                <w:bCs w:val="1"/>
                <w:i w:val="1"/>
                <w:iCs w:val="1"/>
                <w:color w:val="auto"/>
                <w:w w:val="96"/>
              </w:rPr>
              <w:t>(Dollars in thousands)</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Home</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30,443</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6,576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Segment marketing expense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20,833</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3,040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profit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9,610</w:t>
            </w:r>
          </w:p>
        </w:tc>
        <w:tc>
          <w:tcPr>
            <w:tcW w:w="22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3,536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i w:val="1"/>
                <w:iCs w:val="1"/>
                <w:color w:val="auto"/>
                <w:w w:val="96"/>
              </w:rPr>
              <w:t>36%</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8"/>
                <w:szCs w:val="18"/>
                <w:i w:val="1"/>
                <w:iCs w:val="1"/>
                <w:color w:val="auto"/>
              </w:rPr>
              <w:t>32%</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56,033</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51,451</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4,582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Segment marketing expense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28,896</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4,885</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profit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260" w:type="dxa"/>
            <w:vAlign w:val="bottom"/>
          </w:tcPr>
          <w:p>
            <w:pPr>
              <w:spacing w:after="0"/>
              <w:rPr>
                <w:sz w:val="19"/>
                <w:szCs w:val="19"/>
                <w:color w:val="auto"/>
              </w:rPr>
            </w:pPr>
          </w:p>
        </w:tc>
        <w:tc>
          <w:tcPr>
            <w:tcW w:w="860" w:type="dxa"/>
            <w:vAlign w:val="bottom"/>
          </w:tcPr>
          <w:p>
            <w:pPr>
              <w:jc w:val="center"/>
              <w:ind w:right="171"/>
              <w:spacing w:after="0"/>
              <w:rPr>
                <w:sz w:val="20"/>
                <w:szCs w:val="20"/>
                <w:color w:val="auto"/>
              </w:rPr>
            </w:pPr>
            <w:r>
              <w:rPr>
                <w:rFonts w:ascii="Times New Roman" w:cs="Times New Roman" w:eastAsia="Times New Roman" w:hAnsi="Times New Roman"/>
                <w:sz w:val="18"/>
                <w:szCs w:val="18"/>
                <w:i w:val="1"/>
                <w:iCs w:val="1"/>
                <w:color w:val="auto"/>
                <w:w w:val="96"/>
              </w:rPr>
              <w:t>48%</w:t>
            </w:r>
          </w:p>
        </w:tc>
        <w:tc>
          <w:tcPr>
            <w:tcW w:w="160" w:type="dxa"/>
            <w:vAlign w:val="bottom"/>
          </w:tcPr>
          <w:p>
            <w:pPr>
              <w:spacing w:after="0"/>
              <w:rPr>
                <w:sz w:val="19"/>
                <w:szCs w:val="19"/>
                <w:color w:val="auto"/>
              </w:rPr>
            </w:pPr>
          </w:p>
        </w:tc>
        <w:tc>
          <w:tcPr>
            <w:tcW w:w="940" w:type="dxa"/>
            <w:vAlign w:val="bottom"/>
          </w:tcPr>
          <w:p>
            <w:pPr>
              <w:jc w:val="center"/>
              <w:ind w:right="73"/>
              <w:spacing w:after="0"/>
              <w:rPr>
                <w:sz w:val="20"/>
                <w:szCs w:val="20"/>
                <w:color w:val="auto"/>
              </w:rPr>
            </w:pPr>
            <w:r>
              <w:rPr>
                <w:rFonts w:ascii="Times New Roman" w:cs="Times New Roman" w:eastAsia="Times New Roman" w:hAnsi="Times New Roman"/>
                <w:sz w:val="18"/>
                <w:szCs w:val="18"/>
                <w:i w:val="1"/>
                <w:iCs w:val="1"/>
                <w:color w:val="auto"/>
              </w:rPr>
              <w:t>53%</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146,652</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85,872</w:t>
            </w:r>
          </w:p>
        </w:tc>
        <w:tc>
          <w:tcPr>
            <w:tcW w:w="22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60,780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Segment marketing expense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107,942</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52,423</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55,519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profit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33,449</w:t>
            </w:r>
          </w:p>
        </w:tc>
        <w:tc>
          <w:tcPr>
            <w:tcW w:w="22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5,261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i w:val="1"/>
                <w:iCs w:val="1"/>
                <w:color w:val="auto"/>
                <w:w w:val="96"/>
              </w:rPr>
              <w:t>26%</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8"/>
                <w:szCs w:val="18"/>
                <w:i w:val="1"/>
                <w:iCs w:val="1"/>
                <w:color w:val="auto"/>
              </w:rPr>
              <w:t>39%</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Segment marketing expense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57</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profit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239,728</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167,768</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71,960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Segment marketing expense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160,747</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97,246</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63,501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78,981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70,522</w:t>
            </w:r>
          </w:p>
        </w:tc>
        <w:tc>
          <w:tcPr>
            <w:tcW w:w="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8,459</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0" w:type="dxa"/>
            <w:vAlign w:val="bottom"/>
          </w:tcPr>
          <w:p>
            <w:pPr>
              <w:spacing w:after="0"/>
              <w:rPr>
                <w:sz w:val="1"/>
                <w:szCs w:val="1"/>
                <w:color w:val="auto"/>
              </w:rPr>
            </w:pPr>
          </w:p>
        </w:tc>
      </w:tr>
      <w:tr>
        <w:trPr>
          <w:trHeight w:val="227"/>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260" w:type="dxa"/>
            <w:vAlign w:val="bottom"/>
          </w:tcPr>
          <w:p>
            <w:pPr>
              <w:spacing w:after="0"/>
              <w:rPr>
                <w:sz w:val="19"/>
                <w:szCs w:val="19"/>
                <w:color w:val="auto"/>
              </w:rPr>
            </w:pPr>
          </w:p>
        </w:tc>
        <w:tc>
          <w:tcPr>
            <w:tcW w:w="860" w:type="dxa"/>
            <w:vAlign w:val="bottom"/>
          </w:tcPr>
          <w:p>
            <w:pPr>
              <w:jc w:val="center"/>
              <w:ind w:right="171"/>
              <w:spacing w:after="0"/>
              <w:rPr>
                <w:sz w:val="20"/>
                <w:szCs w:val="20"/>
                <w:color w:val="auto"/>
              </w:rPr>
            </w:pPr>
            <w:r>
              <w:rPr>
                <w:rFonts w:ascii="Times New Roman" w:cs="Times New Roman" w:eastAsia="Times New Roman" w:hAnsi="Times New Roman"/>
                <w:sz w:val="18"/>
                <w:szCs w:val="18"/>
                <w:i w:val="1"/>
                <w:iCs w:val="1"/>
                <w:color w:val="auto"/>
                <w:w w:val="96"/>
              </w:rPr>
              <w:t>33%</w:t>
            </w:r>
          </w:p>
        </w:tc>
        <w:tc>
          <w:tcPr>
            <w:tcW w:w="160" w:type="dxa"/>
            <w:vAlign w:val="bottom"/>
          </w:tcPr>
          <w:p>
            <w:pPr>
              <w:spacing w:after="0"/>
              <w:rPr>
                <w:sz w:val="19"/>
                <w:szCs w:val="19"/>
                <w:color w:val="auto"/>
              </w:rPr>
            </w:pPr>
          </w:p>
        </w:tc>
        <w:tc>
          <w:tcPr>
            <w:tcW w:w="940" w:type="dxa"/>
            <w:vAlign w:val="bottom"/>
          </w:tcPr>
          <w:p>
            <w:pPr>
              <w:jc w:val="center"/>
              <w:ind w:right="73"/>
              <w:spacing w:after="0"/>
              <w:rPr>
                <w:sz w:val="20"/>
                <w:szCs w:val="20"/>
                <w:color w:val="auto"/>
              </w:rPr>
            </w:pPr>
            <w:r>
              <w:rPr>
                <w:rFonts w:ascii="Times New Roman" w:cs="Times New Roman" w:eastAsia="Times New Roman" w:hAnsi="Times New Roman"/>
                <w:sz w:val="18"/>
                <w:szCs w:val="18"/>
                <w:i w:val="1"/>
                <w:iCs w:val="1"/>
                <w:color w:val="auto"/>
              </w:rPr>
              <w:t>42%</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40" w:right="160"/>
        <w:spacing w:after="0" w:line="214"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Segment marketing expense represents the potion of selling and marketing expense attributable to variable costs paid for advertising, direct marketing and related expenses, that are directly attributable to the segments' products. This measure excludes overhead, fixed costs and personnel-related costs.</w:t>
      </w:r>
    </w:p>
    <w:p>
      <w:pPr>
        <w:spacing w:after="0" w:line="2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14— Segment Information in the notes to the consolidated financial statements for additional information on segments and a reconciliation of segment profit to pre-tax income.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Home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in the Home segment increased 22% to $37.0 in the first quarter of 2025 and segment profit increased 37% to $13.1 million in the first quarter of 2025 compared to the first quarter of 2024. Segment margin increased to 36% in the first quarter of 2025 compared to 32% in the first quarter of 2024, primarily due to a change in product mix.</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Home equity revenue of $25.8 million in the first quarter of 2025 increased $5.0 million from $20.8 million in the first quarter of 2024. Our outlook for home equity remains positive. According to TransUnion, at the end of 2024 total tappable home equity in the U.S. was $20.9 trillion, up 3% compared to 2023 and an increase of 63% since the end of 2017. The historically high level of home equity drove 10% loan origination growth in the fourth quarter of 2024 compared to the fourth quarter of 2023, as measured by number of new accounts.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Within Home, our core mortgage business generated revenue of $11.2 million in the first quarter of 2025, up 16% from the first quarter of 2024. Our refinance product within our mortgage business matches consumers in the market looking to refinance their existing mortgages with our network lenders. Our purchase product within our mortgage business matches consumers in the market looking to buy a new home with our network lenders. The environment for the purchase mortgage market is beginning to improve. According to the National Association of Realtors, inventory of existing homes for sale in the U.S. increased to 1.33 million units, or 20%, in March of 2025 compared to March of 2024, and has grown by a double-digit percentage each month dating back to March of 2024. Annual home price growth has slowed to 3% most recently, following several years of double-digit annual growth that began during the summer of 2020. Persistently higher mortgage rates and increased economic uncertainty stemming from U.S. policy are currently having an offsetting impact on the inventory and price benefits. Our mortgage business is directly impacted by the mortgage market in which we participate.</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Consumer</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Revenue in our Consumer segment increased 9% to $56.0 million in the first quarter of 2025 from the first quarter of 2024, and segment profit decreased 1% to $27.1 million in the first quarter of 2025 from the first quarter of 2024. Segment margin was 48% in the first quarter of 2025 compared to 53% in the first quarter of 2024 primarily due to decline in revenue earned per consumer on certain products as well as a change in mix shift in the product revenue. Underwriting criteria for lenders on our network was broadly stable in the first quarter, as a positive employment environment and lower pace of inflation compared to more recent periods presents an attractive underwriting environment for many loan types.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Personal loans revenue of $23.4 million in the first quarter of 2025 increased 16% from the first quarter of 2024 as consumers completing request forms increased 34%. In March last year we saw appetite from many personal loan originators begin to firm following a prolonged period of historically high consumer price inflation. We responded by leaning into targeted marketing spend for the product to capitalize on the improving fundamentals, which we credit for the recent consistent growth in the business. We remain optimistic that the combination of record consumer credit card debt outstanding and a stable underwriting backdrop will drive forward growth.</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Small business revenue increased 48% in the first quarter of 2025 from the first quarter of 2024 due to increases in the number of consumers completing request forms and in revenue earned per consumer. The investment to grow our concierge sales team has strengthened our renewal and lender bonus revenue streams. Improved unit economics from this investment has allowed us to increase our marketing spend to capture more high-intent small business owners searching for new loans. We forecast the small business product will generate record revenue in 2025.</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the section titled "Revenue" above for additional discussion of product revenues within the Consumer segment.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Insurance revenue increased 71% to $146.7 million in the first quarter of 2025 from the first quarter of 2024 and segment profit increased 16% to $38.7 million in the first quarter of 2025 from the first quarter of 2024. Carrier demand for new auto insurance customers has been strong, with volume increasing 22% in the first quarter of 2025 compared to the first quarter of 2024, as two years of compounded premium rate increases combined with declines in the price of used vehicles and replacement parts has created a favorable underwriting environment. Our Insurance segment was negatively impacted in the first quarter of 2025 by the implementation of changes to our consumer experience to comply with the FCC's one-to-one consent rule. However, following a Federal appeals court opinion that struck down the rule at the end of January of 2025, we were able to revert to our previous experience.</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Insurance segment margin decreased to 26% in the first quarter of 2025 compared to 39% in the first quarter of 2024. In the first quarter of 2024, we were able to exit from our highest cost marketing channels and continue to meet the decreased level of demand. Throughout 2024, we re-entered those marketing channels to fill the increase in carrier demand, which has resulted in lower segment profit margin.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the Insurance segment will return to a more normalized growth pattern in 2025 following a historic year of performance last year. As the pace of growth moderates, we are focused on optimizing our marketing mix and growing channels outside of internet search. Our goal is to retain the same level of quality, high-intent consumer traffic while seeking to lower our overall marketing cost to improve margin in this business.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Variable Marketing Expense and Variable Marketing Margin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report variable marketing expense and variable marketing margin as supplemental measures to accounting principles generally accepted in the United States of America ("GAAP"). These related measures are the primary metrics by which we measure the effectiveness of our marketing efforts. Variable marketing expense represents the portion of selling and marketing expense attributable to variable costs paid for advertising, direct marketing, and related expenses, and excludes overhead, fixed costs, and personnel-related expenses. Variable marketing margin is a measure of the efficiency of our operating model, measuring revenue after subtracting variable marketing expense. Our operating model is highly sensitive to the amount and efficiency of variable marketing expenditures, and our proprietary systems are able to make rapidly changing decisions concerning the deployment of variable marketing expenditures (primarily but not exclusively online and mobile advertising placement) based on proprietary and sophisticated analytics.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Variable marketing expense is defined as the expense attributable to variable costs paid for advertising, direct marketing and related expenses, and excluding overhead, fixed costs and personnel-related expenses. The majority of these variable advertising costs are expressly intended to drive traffic to our websites and these variable advertising costs are included in selling and marketing expense on our consolidated statements of operations and comprehensive income. Variable marketing margin is defined as revenue less variable marketing expense.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shows the calculation of variable marketing margin:</w:t>
      </w:r>
    </w:p>
    <w:p>
      <w:pPr>
        <w:spacing w:after="0" w:line="205"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13335</wp:posOffset>
            </wp:positionV>
            <wp:extent cx="1654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8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1"/>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Pr>
          <w:p>
            <w:pPr>
              <w:spacing w:after="0"/>
              <w:rPr>
                <w:sz w:val="16"/>
                <w:szCs w:val="16"/>
                <w:color w:val="auto"/>
              </w:rPr>
            </w:pPr>
          </w:p>
        </w:tc>
      </w:tr>
      <w:tr>
        <w:trPr>
          <w:trHeight w:val="235"/>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239,728</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167,768</w:t>
            </w:r>
          </w:p>
        </w:tc>
      </w:tr>
      <w:tr>
        <w:trPr>
          <w:trHeight w:val="229"/>
        </w:trPr>
        <w:tc>
          <w:tcPr>
            <w:tcW w:w="8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Variable marketing expense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162,001</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98,321</w:t>
            </w:r>
          </w:p>
        </w:tc>
      </w:tr>
      <w:tr>
        <w:trPr>
          <w:trHeight w:val="230"/>
        </w:trPr>
        <w:tc>
          <w:tcPr>
            <w:tcW w:w="8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margin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77,727</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69,447</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reconciliation of selling and marketing expense, the most directly comparable GAAP measure, to variable marketing expense:</w:t>
      </w:r>
    </w:p>
    <w:p>
      <w:pPr>
        <w:spacing w:after="0" w:line="197"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22225</wp:posOffset>
            </wp:positionV>
            <wp:extent cx="1654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8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4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1"/>
        </w:trPr>
        <w:tc>
          <w:tcPr>
            <w:tcW w:w="44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Pr>
          <w:p>
            <w:pPr>
              <w:spacing w:after="0"/>
              <w:rPr>
                <w:sz w:val="16"/>
                <w:szCs w:val="16"/>
                <w:color w:val="auto"/>
              </w:rPr>
            </w:pPr>
          </w:p>
        </w:tc>
      </w:tr>
      <w:tr>
        <w:trPr>
          <w:trHeight w:val="235"/>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4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172,751</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108,176</w:t>
            </w:r>
          </w:p>
        </w:tc>
      </w:tr>
      <w:tr>
        <w:trPr>
          <w:trHeight w:val="229"/>
        </w:trPr>
        <w:tc>
          <w:tcPr>
            <w:tcW w:w="4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Non-variable selling and marketing expense</w:t>
            </w:r>
          </w:p>
        </w:tc>
        <w:tc>
          <w:tcPr>
            <w:tcW w:w="4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(10,750)</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(9,855)</w:t>
            </w:r>
          </w:p>
        </w:tc>
      </w:tr>
      <w:tr>
        <w:trPr>
          <w:trHeight w:val="230"/>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expense</w:t>
            </w:r>
          </w:p>
        </w:tc>
        <w:tc>
          <w:tcPr>
            <w:tcW w:w="452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162,001</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98,321</w:t>
            </w:r>
          </w:p>
        </w:tc>
      </w:tr>
      <w:tr>
        <w:trPr>
          <w:trHeight w:val="891"/>
        </w:trPr>
        <w:tc>
          <w:tcPr>
            <w:tcW w:w="4420" w:type="dxa"/>
            <w:vAlign w:val="bottom"/>
          </w:tcPr>
          <w:p>
            <w:pPr>
              <w:spacing w:after="0"/>
              <w:rPr>
                <w:sz w:val="24"/>
                <w:szCs w:val="24"/>
                <w:color w:val="auto"/>
              </w:rPr>
            </w:pPr>
          </w:p>
        </w:tc>
        <w:tc>
          <w:tcPr>
            <w:tcW w:w="4220" w:type="dxa"/>
            <w:vAlign w:val="bottom"/>
          </w:tcPr>
          <w:p>
            <w:pPr>
              <w:jc w:val="right"/>
              <w:ind w:right="283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net (loss) income, the most directly comparable GAAP measure, to variable marketing margin:</w:t>
      </w:r>
    </w:p>
    <w:p>
      <w:pPr>
        <w:spacing w:after="0" w:line="205"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13335</wp:posOffset>
            </wp:positionV>
            <wp:extent cx="1654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82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1"/>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Pr>
          <w:p>
            <w:pPr>
              <w:spacing w:after="0"/>
              <w:rPr>
                <w:sz w:val="16"/>
                <w:szCs w:val="16"/>
                <w:color w:val="auto"/>
              </w:rPr>
            </w:pPr>
          </w:p>
        </w:tc>
      </w:tr>
      <w:tr>
        <w:trPr>
          <w:trHeight w:val="23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(12,375)</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1,016</w:t>
            </w:r>
          </w:p>
        </w:tc>
      </w:tr>
      <w:tr>
        <w:trPr>
          <w:trHeight w:val="257"/>
        </w:trPr>
        <w:tc>
          <w:tcPr>
            <w:tcW w:w="8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variable marketing margin: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9,908</w:t>
            </w:r>
          </w:p>
        </w:tc>
        <w:tc>
          <w:tcPr>
            <w:tcW w:w="52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8,545</w:t>
            </w:r>
          </w:p>
        </w:tc>
      </w:tr>
      <w:tr>
        <w:trPr>
          <w:trHeight w:val="230"/>
        </w:trPr>
        <w:tc>
          <w:tcPr>
            <w:tcW w:w="86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Non-variable selling and marketing expense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10,750</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9,855</w:t>
            </w:r>
          </w:p>
        </w:tc>
      </w:tr>
      <w:tr>
        <w:trPr>
          <w:trHeight w:val="229"/>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0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30,660</w:t>
            </w:r>
          </w:p>
        </w:tc>
        <w:tc>
          <w:tcPr>
            <w:tcW w:w="52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25,796</w:t>
            </w:r>
          </w:p>
        </w:tc>
      </w:tr>
      <w:tr>
        <w:trPr>
          <w:trHeight w:val="229"/>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11,904</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11,857</w:t>
            </w:r>
          </w:p>
        </w:tc>
      </w:tr>
      <w:tr>
        <w:trPr>
          <w:trHeight w:val="230"/>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4,297</w:t>
            </w:r>
          </w:p>
        </w:tc>
        <w:tc>
          <w:tcPr>
            <w:tcW w:w="52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4,667</w:t>
            </w:r>
          </w:p>
        </w:tc>
      </w:tr>
      <w:tr>
        <w:trPr>
          <w:trHeight w:val="229"/>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1,307</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1,489</w:t>
            </w:r>
          </w:p>
        </w:tc>
      </w:tr>
      <w:tr>
        <w:trPr>
          <w:trHeight w:val="230"/>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30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798</w:t>
            </w:r>
          </w:p>
        </w:tc>
        <w:tc>
          <w:tcPr>
            <w:tcW w:w="52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15,212</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9,084</w:t>
            </w:r>
          </w:p>
        </w:tc>
        <w:tc>
          <w:tcPr>
            <w:tcW w:w="52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6,638</w:t>
            </w:r>
          </w:p>
        </w:tc>
      </w:tr>
      <w:tr>
        <w:trPr>
          <w:trHeight w:val="230"/>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(1,388)</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(1,034)</w:t>
            </w:r>
          </w:p>
        </w:tc>
      </w:tr>
      <w:tr>
        <w:trPr>
          <w:trHeight w:val="229"/>
        </w:trPr>
        <w:tc>
          <w:tcPr>
            <w:tcW w:w="8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(2,430)</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559</w:t>
            </w:r>
          </w:p>
        </w:tc>
      </w:tr>
      <w:tr>
        <w:trPr>
          <w:trHeight w:val="223"/>
        </w:trPr>
        <w:tc>
          <w:tcPr>
            <w:tcW w:w="8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margin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77,727</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69,447</w:t>
            </w:r>
          </w:p>
        </w:tc>
      </w:tr>
    </w:tbl>
    <w:p>
      <w:pPr>
        <w:spacing w:after="0" w:line="265" w:lineRule="exact"/>
        <w:rPr>
          <w:sz w:val="20"/>
          <w:szCs w:val="20"/>
          <w:color w:val="auto"/>
        </w:rPr>
      </w:pPr>
    </w:p>
    <w:p>
      <w:pPr>
        <w:ind w:left="400" w:right="100" w:hanging="251"/>
        <w:spacing w:after="0" w:line="237" w:lineRule="auto"/>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selling and marketing expense not attributable to variable costs paid for advertising, direct marketing and related expenses. Includes overhead, fixed costs and personnel-related expenses.</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Definition of Adjusted EBITDA</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report Adjusted EBITDA as net income adjusted to exclude interest, income tax, amortization of intangibles and depreciation, and to further exclude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(8) contributions to the LendingTree Foundation, (9) dividend income, and (10)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One-Time Items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there are no adjustments for one-time items.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Non-Cash Expenses that are Excluded from Adjusted EBITDA</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Non-cash compensation expense consists principally of expense associated with grants of restricted stock, restricted stock units and stock options, some of which awards have performance-based vesting conditions. Non-cash compensation expense also includes expense associated with employee stock purchase plans.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is a reconciliation of net (loss) income, the most directly comparable GAAP measure, to Adjusted EBITDA.</w:t>
      </w:r>
    </w:p>
    <w:p>
      <w:pPr>
        <w:spacing w:after="0" w:line="151"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8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Pr>
          <w:p>
            <w:pPr>
              <w:spacing w:after="0"/>
              <w:rPr>
                <w:sz w:val="17"/>
                <w:szCs w:val="17"/>
                <w:color w:val="auto"/>
              </w:rPr>
            </w:pPr>
          </w:p>
        </w:tc>
      </w:tr>
      <w:tr>
        <w:trPr>
          <w:trHeight w:val="23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(12,375)</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to Adjusted EBITDA:</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1,307</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30"/>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4,297</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798</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impairments and disposal of assets</w:t>
            </w: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254</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9,867</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w:t>
            </w:r>
          </w:p>
        </w:tc>
      </w:tr>
      <w:tr>
        <w:trPr>
          <w:trHeight w:val="230"/>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15,212</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9,084</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w:t>
            </w:r>
          </w:p>
        </w:tc>
      </w:tr>
      <w:tr>
        <w:trPr>
          <w:trHeight w:val="230"/>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30"/>
        </w:trPr>
        <w:tc>
          <w:tcPr>
            <w:tcW w:w="8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30"/>
        </w:trPr>
        <w:tc>
          <w:tcPr>
            <w:tcW w:w="8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24,626</w:t>
            </w:r>
          </w:p>
        </w:tc>
        <w:tc>
          <w:tcPr>
            <w:tcW w:w="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21,551</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we had $126.4 million of cash and cash equivalents, compared to $106.6 million of cash and cash equivalents as of December 31, 2024.</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first quarter of 2025, we repurchased approximately $20.0 million in principal amount of our 2025 notes for $19.7 million resulting in a gain on the extinguishment of $0.3 million which is included in interest expense, net in the consolidated statement of operations and comprehensive income.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March 2025, we drew the remaining $50.0 million of the 2024 Term Loan delayed draw.</w:t>
      </w:r>
    </w:p>
    <w:p>
      <w:pPr>
        <w:spacing w:after="0" w:line="15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We expect our cash and cash equivalents and cash flows from operations to be sufficient to fund our operating needs for the next twelve months and beyond. We will continue to monitor the impact of the current economic conditions, including interest rates, and inflation on our liquidity and capital resources.</w:t>
      </w:r>
    </w:p>
    <w:p>
      <w:pPr>
        <w:spacing w:after="0" w:line="10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we have $95.3 million outstanding on the 2025 Notes. We intend to use cash on hand and future cash flows from operations for the repayment of the 2025 Notes, due July 15, 2025.</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see Note 11—Debt, in the notes to the consolidated financial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Equity Distribution Agreement</w:t>
      </w:r>
    </w:p>
    <w:p>
      <w:pPr>
        <w:spacing w:after="0" w:line="162"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July 2024, we entered into an Equity Distribution Agreement in connection with the establishment of an ATM Equity Program (as defined in the 2024 Term Loan agreement) under which we may sell up to an aggregate of $50.0 million of shares of the our common stock. No sales were made under the Equity Distribution Agreement during 2024 or in the first quarter of 2025.</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15, 2021, we entered into a credit agreement (the “Credit Agreement”), consisting of a $200.0 million revolving credit facility (the “Revolving Facility”), which matures on September 15, 2026, and a $250.0 million delayed draw term loan facility (the “2021 Term Loan” and together with the Revolving Facility, the “Credit Facility”), which matures on September 15, 2028. The proceeds of the Revolving Facility can be used to finance working capital, for general corporate purposes and any other purpose not prohibited by the Credit Agreement. We borrowed $250.0 million under the delayed draw term loan on May 31, 2022 and used $170.2 million of the proceeds to settle the Company’s 0.625% Convertible Senior Notes due June 1, 2022, including interest. The remaining proceeds of $79.8 million may be used for general corporate purposes and any other purposes not prohibited by the Credit Agreement.</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May 2, 2025, we have outstanding $243.1 million under the 2021 Term Loan. As of March 31, 2025, we have $20.0 million available for borrowing under the Revolving Facility.</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27, 2024, we entered a first lien term loan facility (the “2024 Term Loan”), consisting of $175.0 million which matures on March 27, 2031. We drew $125.0 million of the 2024 Term Loan upon closing and drew the remaining $50.0 million on March 27, 2025. The proceeds of the 2024 Term Loan can be used for working capital and general corporate purposes, which may include repayment of our 2025 Notes. The funding had a $3.1 million original issue discount and associated debt issuance costs of $4.8 million.</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filed an ATM Shelf Registration (as defined in the 2024 Term Loan agreement) with the SEC in the third quarter of 2024. In the event of a default in the minimum Consolidated EBITDA (as defined in the 2024 Term Loan agreement) covenant in the 2024 Term Loan, we are required to utilize the ATM Equity Program (as defined in the 2024 Term Loan agreement) to sell common stock and use the proceeds to cure the event of default in the minimum Consolidated EBITDA covenant. Additionally, we may use the ATM Equity Program to maintain the $40.0 million minimum cash balance requirement in the 2024 Term Loan.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May 2, 2025, the Company had $162.5 million borrowings outstanding under the 2024 Term Loan.</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11—Debt for additional information.</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cash flows are as follows:</w:t>
      </w:r>
    </w:p>
    <w:p>
      <w:pPr>
        <w:spacing w:after="0" w:line="124"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7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8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17"/>
                <w:szCs w:val="17"/>
                <w:color w:val="auto"/>
              </w:rPr>
            </w:pPr>
          </w:p>
        </w:tc>
      </w:tr>
      <w:tr>
        <w:trPr>
          <w:trHeight w:val="23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r>
      <w:tr>
        <w:trPr>
          <w:trHeight w:val="230"/>
        </w:trPr>
        <w:tc>
          <w:tcPr>
            <w:tcW w:w="8720" w:type="dxa"/>
            <w:vAlign w:val="bottom"/>
            <w:tcBorders>
              <w:bottom w:val="single" w:sz="8" w:color="999999"/>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999999"/>
            </w:tcBorders>
            <w:shd w:val="clear" w:color="auto" w:fill="CCEEFF"/>
          </w:tcPr>
          <w:p>
            <w:pPr>
              <w:spacing w:after="0"/>
              <w:rPr>
                <w:sz w:val="19"/>
                <w:szCs w:val="19"/>
                <w:color w:val="auto"/>
              </w:rPr>
            </w:pPr>
          </w:p>
        </w:tc>
        <w:tc>
          <w:tcPr>
            <w:tcW w:w="960" w:type="dxa"/>
            <w:vAlign w:val="bottom"/>
            <w:tcBorders>
              <w:bottom w:val="single" w:sz="8" w:color="999999"/>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23,420</w:t>
            </w:r>
          </w:p>
        </w:tc>
        <w:tc>
          <w:tcPr>
            <w:tcW w:w="480" w:type="dxa"/>
            <w:vAlign w:val="bottom"/>
            <w:tcBorders>
              <w:bottom w:val="single" w:sz="8" w:color="999999"/>
            </w:tcBorders>
            <w:shd w:val="clear" w:color="auto" w:fill="CCEEFF"/>
          </w:tcPr>
          <w:p>
            <w:pPr>
              <w:spacing w:after="0"/>
              <w:rPr>
                <w:sz w:val="19"/>
                <w:szCs w:val="19"/>
                <w:color w:val="auto"/>
              </w:rPr>
            </w:pPr>
          </w:p>
        </w:tc>
        <w:tc>
          <w:tcPr>
            <w:tcW w:w="780" w:type="dxa"/>
            <w:vAlign w:val="bottom"/>
            <w:tcBorders>
              <w:bottom w:val="single" w:sz="8" w:color="999999"/>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115,743</w:t>
            </w: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and income taxes.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provided by operating activities decreased in the first three months of 2025 from the first three months of 2024 primarily due to unfavorable changes in accounts payable, accrued expenses and other current liabilities, prepaid expenses and other current assets, and income taxes, partially offset by favorable changes in accounts receivable.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the first three months of 2025 and 2024 of $3.4 million and $2.7 million, respectively, consisted of capital expenditures primarily related to internally developed software.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 the first three months of 2025 of $23.4 million consisted primarily of the $49.5 million net proceeds from the 2024 Term Loan delayed draw partially offset by repurchases of our 2025 Notes for $19.7 million, term loan repayments of $3.8 million and $2.6 million in withholding taxes paid upon surrender of shares to satisfy obligations on equity awards, net of proceeds from the exercise of stock options.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 the first three months of 2024 of $115.7 million consisted primarily of the $117.8 million net proceeds for the 2024 Term Loan partially offset by $1.4 million in withholding taxes paid upon surrender of shares to satisfy obligations on equity awards, net of proceeds from the exercise of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71" w:lineRule="exact"/>
        <w:rPr>
          <w:sz w:val="20"/>
          <w:szCs w:val="20"/>
          <w:color w:val="auto"/>
        </w:rPr>
      </w:pPr>
    </w:p>
    <w:p>
      <w:pPr>
        <w:ind w:right="420" w:firstLine="324"/>
        <w:spacing w:after="0" w:line="286" w:lineRule="auto"/>
        <w:rPr>
          <w:sz w:val="20"/>
          <w:szCs w:val="20"/>
          <w:color w:val="auto"/>
        </w:rPr>
      </w:pPr>
      <w:r>
        <w:rPr>
          <w:rFonts w:ascii="Times New Roman" w:cs="Times New Roman" w:eastAsia="Times New Roman" w:hAnsi="Times New Roman"/>
          <w:sz w:val="18"/>
          <w:szCs w:val="18"/>
          <w:color w:val="auto"/>
        </w:rPr>
        <w:t xml:space="preserve">For information regarding new accounting pronouncements,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Significant Accounting Policies, in Part I, Item 1 consolidated financial statements of this Quarterly Report on Form 10-Q.</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than our Credit Facility and the 2024 Term Loan,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 $2.4 million annual effect on the interest paid on borrowings under the Credit Facility and a $1.6 million annual effect on the interest paid on borrowings under the 2024 Term Loan. As of May 2, 2025, the Company had $243.1 million outstanding on its 2021 Term Loan Facility, and there were no outstanding borrowings under its Revolving Facility. As of May 2, 2025, the Company had $162.5 million outstanding on its 2024 Term Loan.</w:t>
      </w:r>
    </w:p>
    <w:p>
      <w:pPr>
        <w:spacing w:after="0" w:line="21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under the Exchange Act is accumulated and communicated to a company’s management, including its principal executive officer and principal financial officer, as appropriate to allow timely decisions regarding required disclosure. Based upon that evaluation, our Chief Executive Officer and Chief Financial Officer concluded that our disclosure controls and procedures are effective, as of March 31, 2025,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March 31, 2025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party to litigation involving property, contract, intellectual property, data privacy and security, and a variety of other claims. The amounts that may be recovered in such matters may be subject to insurance coverage. We have provided information about certain legal proceedings in which we are involved in Part I, Item 3.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our 2024 Annual Report and updated that information in Note 12— Contingencies to the consolidated financial statements included elsewhere in this Quarterly Report on Form 10-Q.</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Risk factors that affect our business and financial results are discussed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2024 Annual Report. There have been no material changes to the risk factors included in our 2024 Annual Report.</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risks described in our 2024 Annual Report, which could materially affect our business, financial condition or future results. The risks described in our 2024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 stock repurchase program authorized for the repurchase of LendingTree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Our 2024 Term Loan limits stock repurchases. During the quarter ended March 31, 2025, no shares of common stock were repurchased under the stock repurchase program. As of May 2, 2025, approximately $96.7 million remains authorized for share repurchase.</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the LendingTree 2023 Stock Plan and LendingTree 2023 Inducement Grant Plan allows employees to elect for us to withhold (or take back, with respect to restricted stock awards) shares of our common stock to satisfy federal and state withholding obligations upon the exercise of stock options, the settlement of restricted stock unit awards and the vesting of restricted stock awards granted to those individuals under the plans. During the quarter ended March 31, 2025, 65,511 shares were withheld related to these obligations under the LendingTree 2023 Stock Plan. The withholding of those shares does not affect the dollar amount or number of shares that may be purchased under the stock repurchase program described above.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during the quarter ended March 31,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37"/>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jc w:val="center"/>
              <w:ind w:left="168"/>
              <w:spacing w:after="0" w:line="137"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2"/>
                <w:szCs w:val="12"/>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4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 May Yet Be</w:t>
            </w:r>
          </w:p>
        </w:tc>
        <w:tc>
          <w:tcPr>
            <w:tcW w:w="0" w:type="dxa"/>
            <w:vAlign w:val="bottom"/>
          </w:tcPr>
          <w:p>
            <w:pPr>
              <w:spacing w:after="0"/>
              <w:rPr>
                <w:sz w:val="1"/>
                <w:szCs w:val="1"/>
                <w:color w:val="auto"/>
              </w:rPr>
            </w:pPr>
          </w:p>
        </w:tc>
      </w:tr>
      <w:tr>
        <w:trPr>
          <w:trHeight w:val="146"/>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40" w:type="dxa"/>
            <w:vAlign w:val="bottom"/>
          </w:tcPr>
          <w:p>
            <w:pPr>
              <w:jc w:val="center"/>
              <w:ind w:left="18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6"/>
        </w:trPr>
        <w:tc>
          <w:tcPr>
            <w:tcW w:w="3860" w:type="dxa"/>
            <w:vAlign w:val="bottom"/>
            <w:gridSpan w:val="2"/>
            <w:vMerge w:val="continue"/>
          </w:tcPr>
          <w:p>
            <w:pPr>
              <w:spacing w:after="0"/>
              <w:rPr>
                <w:sz w:val="17"/>
                <w:szCs w:val="17"/>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5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9"/>
                <w:szCs w:val="9"/>
                <w:b w:val="1"/>
                <w:bCs w:val="1"/>
                <w:color w:val="auto"/>
              </w:rPr>
              <w:t>(2)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97"/>
        </w:trPr>
        <w:tc>
          <w:tcPr>
            <w:tcW w:w="3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1/1/2025 - 1/31/2025</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96,655</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2/1/2025 - 2/28/2025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96,655</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3/1/2025 - 3/31/2025</w:t>
            </w:r>
          </w:p>
        </w:tc>
        <w:tc>
          <w:tcPr>
            <w:tcW w:w="1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64,759</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96,655</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65,511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40.43</w:t>
            </w: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96,655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60" w:hanging="328"/>
        <w:spacing w:after="0" w:line="266"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January 2025, February 2025 and March 2025, 603 shares, 149 shares and 64,759 shares, respectively (totaling 65,511 shares), were purchased to satisfy federal and state withholding obligations of our employees upon the settlement of restricted stock units, all in accordance with our 2023 Stock Plan, as described above.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See the narrative disclosure above the table for further description of our publicly announced stock repurchase program.</w:t>
      </w:r>
    </w:p>
    <w:p>
      <w:pPr>
        <w:spacing w:after="0" w:line="27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fiscal quarter ended March 31,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Further, during the fiscal quarter ended March 31, 2025, the Company did not adopt or terminate a Rule 10b5-1 trading arrangement.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16"/>
                <w:szCs w:val="16"/>
                <w:color w:val="auto"/>
              </w:rPr>
            </w:pPr>
          </w:p>
        </w:tc>
        <w:tc>
          <w:tcPr>
            <w:tcW w:w="6540" w:type="dxa"/>
            <w:vAlign w:val="bottom"/>
            <w:gridSpan w:val="8"/>
          </w:tcPr>
          <w:p>
            <w:pPr>
              <w:ind w:left="2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4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23"/>
        </w:trPr>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34"/>
        </w:trPr>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7140" w:type="dxa"/>
            <w:vAlign w:val="bottom"/>
            <w:gridSpan w:val="9"/>
            <w:shd w:val="clear" w:color="auto" w:fill="CCEEFF"/>
          </w:tcPr>
          <w:p>
            <w:pPr>
              <w:spacing w:after="0" w:line="18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Amended and Restated Certificate of Incorporation of LendingTree, Inc.</w:t>
              </w:r>
            </w:hyperlink>
          </w:p>
        </w:tc>
        <w:tc>
          <w:tcPr>
            <w:tcW w:w="294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Exhibit 3.1 to the Registrant's Current</w:t>
            </w:r>
          </w:p>
        </w:tc>
      </w:tr>
      <w:tr>
        <w:trPr>
          <w:trHeight w:val="142"/>
        </w:trPr>
        <w:tc>
          <w:tcPr>
            <w:tcW w:w="1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0000FF"/>
            </w:tcBorders>
            <w:shd w:val="clear" w:color="auto" w:fill="CCEEFF"/>
          </w:tcPr>
          <w:p>
            <w:pPr>
              <w:spacing w:after="0"/>
              <w:rPr>
                <w:sz w:val="12"/>
                <w:szCs w:val="12"/>
                <w:color w:val="auto"/>
              </w:rPr>
            </w:pPr>
          </w:p>
        </w:tc>
        <w:tc>
          <w:tcPr>
            <w:tcW w:w="370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860" w:type="dxa"/>
            <w:vAlign w:val="bottom"/>
            <w:tcBorders>
              <w:top w:val="single" w:sz="8" w:color="0000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940" w:type="dxa"/>
            <w:vAlign w:val="bottom"/>
            <w:tcBorders>
              <w:top w:val="single" w:sz="8" w:color="CCEEFF"/>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6"/>
                <w:szCs w:val="16"/>
                <w:color w:val="auto"/>
              </w:rPr>
              <w:t>Report on Form 8-K filed August 25,</w:t>
            </w:r>
          </w:p>
        </w:tc>
      </w:tr>
      <w:tr>
        <w:trPr>
          <w:trHeight w:val="243"/>
        </w:trPr>
        <w:tc>
          <w:tcPr>
            <w:tcW w:w="1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2008</w:t>
            </w:r>
          </w:p>
        </w:tc>
      </w:tr>
      <w:tr>
        <w:trPr>
          <w:trHeight w:val="189"/>
        </w:trPr>
        <w:tc>
          <w:tcPr>
            <w:tcW w:w="1160" w:type="dxa"/>
            <w:vAlign w:val="bottom"/>
          </w:tcPr>
          <w:p>
            <w:pPr>
              <w:jc w:val="right"/>
              <w:ind w:right="111"/>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7140" w:type="dxa"/>
            <w:vAlign w:val="bottom"/>
            <w:gridSpan w:val="9"/>
          </w:tcPr>
          <w:p>
            <w:pPr>
              <w:spacing w:after="0" w:line="18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Fourth Amended and Restated By-laws of LendingTree, Inc.</w:t>
              </w:r>
            </w:hyperlink>
          </w:p>
        </w:tc>
        <w:tc>
          <w:tcPr>
            <w:tcW w:w="29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Exhibit 3.1 to the Registrant's Current</w:t>
            </w:r>
          </w:p>
        </w:tc>
      </w:tr>
      <w:tr>
        <w:trPr>
          <w:trHeight w:val="142"/>
        </w:trPr>
        <w:tc>
          <w:tcPr>
            <w:tcW w:w="1160" w:type="dxa"/>
            <w:vAlign w:val="bottom"/>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37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tcPr>
          <w:p>
            <w:pPr>
              <w:ind w:left="60"/>
              <w:spacing w:after="0" w:line="142" w:lineRule="exact"/>
              <w:rPr>
                <w:sz w:val="20"/>
                <w:szCs w:val="20"/>
                <w:color w:val="auto"/>
              </w:rPr>
            </w:pPr>
            <w:r>
              <w:rPr>
                <w:rFonts w:ascii="Times New Roman" w:cs="Times New Roman" w:eastAsia="Times New Roman" w:hAnsi="Times New Roman"/>
                <w:sz w:val="16"/>
                <w:szCs w:val="16"/>
                <w:color w:val="auto"/>
              </w:rPr>
              <w:t>Report on Form 8-K filed November</w:t>
            </w:r>
          </w:p>
        </w:tc>
      </w:tr>
      <w:tr>
        <w:trPr>
          <w:trHeight w:val="239"/>
        </w:trPr>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15, 2017</w:t>
            </w:r>
          </w:p>
        </w:tc>
      </w:tr>
      <w:tr>
        <w:trPr>
          <w:trHeight w:val="193"/>
        </w:trPr>
        <w:tc>
          <w:tcPr>
            <w:tcW w:w="1160" w:type="dxa"/>
            <w:vAlign w:val="bottom"/>
            <w:shd w:val="clear" w:color="auto" w:fill="CCEEFF"/>
          </w:tcPr>
          <w:p>
            <w:pPr>
              <w:jc w:val="right"/>
              <w:ind w:right="111"/>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7140" w:type="dxa"/>
            <w:vAlign w:val="bottom"/>
            <w:gridSpan w:val="9"/>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Certification of the Chief Executive Officer pursuant to Rule 13a-14(a) or Rule 15d-14(a) of the</w:t>
            </w:r>
          </w:p>
        </w:tc>
        <w:tc>
          <w:tcPr>
            <w:tcW w:w="2940" w:type="dxa"/>
            <w:vAlign w:val="bottom"/>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rPr>
              <w:t>†</w:t>
            </w:r>
          </w:p>
        </w:tc>
      </w:tr>
      <w:tr>
        <w:trPr>
          <w:trHeight w:val="156"/>
        </w:trPr>
        <w:tc>
          <w:tcPr>
            <w:tcW w:w="1160" w:type="dxa"/>
            <w:vAlign w:val="bottom"/>
            <w:tcBorders>
              <w:top w:val="single" w:sz="8" w:color="CCEEFF"/>
              <w:bottom w:val="single" w:sz="8" w:color="CCEEFF"/>
            </w:tcBorders>
            <w:shd w:val="clear" w:color="auto" w:fill="CCEEFF"/>
          </w:tcPr>
          <w:p>
            <w:pPr>
              <w:spacing w:after="0"/>
              <w:rPr>
                <w:sz w:val="13"/>
                <w:szCs w:val="13"/>
                <w:color w:val="auto"/>
              </w:rPr>
            </w:pPr>
          </w:p>
        </w:tc>
        <w:tc>
          <w:tcPr>
            <w:tcW w:w="7100" w:type="dxa"/>
            <w:vAlign w:val="bottom"/>
            <w:tcBorders>
              <w:top w:val="single" w:sz="8" w:color="0000FF"/>
              <w:bottom w:val="single" w:sz="8" w:color="0000FF"/>
            </w:tcBorders>
            <w:gridSpan w:val="7"/>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 as adopted pursuant to Section 302 of the Sarbanes-Oxley Act</w:t>
            </w: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9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90"/>
        </w:trPr>
        <w:tc>
          <w:tcPr>
            <w:tcW w:w="1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0000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6"/>
              </w:rPr>
              <w:t>of 2002.</w:t>
            </w:r>
          </w:p>
        </w:tc>
        <w:tc>
          <w:tcPr>
            <w:tcW w:w="6520" w:type="dxa"/>
            <w:vAlign w:val="bottom"/>
            <w:tcBorders>
              <w:bottom w:val="single" w:sz="8" w:color="CCEEFF"/>
            </w:tcBorders>
            <w:gridSpan w:val="7"/>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940" w:type="dxa"/>
            <w:vAlign w:val="bottom"/>
            <w:tcBorders>
              <w:bottom w:val="single" w:sz="8" w:color="CCEEFF"/>
            </w:tcBorders>
            <w:shd w:val="clear" w:color="auto" w:fill="CCEEFF"/>
          </w:tcPr>
          <w:p>
            <w:pPr>
              <w:spacing w:after="0"/>
              <w:rPr>
                <w:sz w:val="16"/>
                <w:szCs w:val="16"/>
                <w:color w:val="auto"/>
              </w:rPr>
            </w:pPr>
          </w:p>
        </w:tc>
      </w:tr>
      <w:tr>
        <w:trPr>
          <w:trHeight w:val="189"/>
        </w:trPr>
        <w:tc>
          <w:tcPr>
            <w:tcW w:w="1160" w:type="dxa"/>
            <w:vAlign w:val="bottom"/>
          </w:tcPr>
          <w:p>
            <w:pPr>
              <w:jc w:val="right"/>
              <w:ind w:right="111"/>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7140" w:type="dxa"/>
            <w:vAlign w:val="bottom"/>
            <w:tcBorders>
              <w:bottom w:val="single" w:sz="8" w:color="0000FF"/>
            </w:tcBorders>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Rule 13a-14(a) or Rule 15d-14(a) of the</w:t>
            </w:r>
          </w:p>
        </w:tc>
        <w:tc>
          <w:tcPr>
            <w:tcW w:w="29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55"/>
        </w:trPr>
        <w:tc>
          <w:tcPr>
            <w:tcW w:w="1160" w:type="dxa"/>
            <w:vAlign w:val="bottom"/>
          </w:tcPr>
          <w:p>
            <w:pPr>
              <w:spacing w:after="0"/>
              <w:rPr>
                <w:sz w:val="13"/>
                <w:szCs w:val="13"/>
                <w:color w:val="auto"/>
              </w:rPr>
            </w:pPr>
          </w:p>
        </w:tc>
        <w:tc>
          <w:tcPr>
            <w:tcW w:w="714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 as adopted pursuant to Section 302 of the Sarbanes-Oxley Act</w:t>
            </w:r>
          </w:p>
        </w:tc>
        <w:tc>
          <w:tcPr>
            <w:tcW w:w="294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712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34"/>
        </w:trPr>
        <w:tc>
          <w:tcPr>
            <w:tcW w:w="11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714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pursuant to 18 U.S.C. Section 1350 as adopted</w:t>
            </w:r>
          </w:p>
        </w:tc>
        <w:tc>
          <w:tcPr>
            <w:tcW w:w="294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56"/>
        </w:trPr>
        <w:tc>
          <w:tcPr>
            <w:tcW w:w="1160" w:type="dxa"/>
            <w:vAlign w:val="bottom"/>
            <w:tcBorders>
              <w:top w:val="single" w:sz="8" w:color="CCEEFF"/>
            </w:tcBorders>
            <w:shd w:val="clear" w:color="auto" w:fill="CCEEFF"/>
          </w:tcPr>
          <w:p>
            <w:pPr>
              <w:spacing w:after="0"/>
              <w:rPr>
                <w:sz w:val="13"/>
                <w:szCs w:val="13"/>
                <w:color w:val="auto"/>
              </w:rPr>
            </w:pPr>
          </w:p>
        </w:tc>
        <w:tc>
          <w:tcPr>
            <w:tcW w:w="7060" w:type="dxa"/>
            <w:vAlign w:val="bottom"/>
            <w:tcBorders>
              <w:top w:val="single" w:sz="8" w:color="0000FF"/>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940" w:type="dxa"/>
            <w:vAlign w:val="bottom"/>
            <w:tcBorders>
              <w:top w:val="single" w:sz="8" w:color="CCEEFF"/>
            </w:tcBorders>
            <w:shd w:val="clear" w:color="auto" w:fill="CCEEFF"/>
          </w:tcPr>
          <w:p>
            <w:pPr>
              <w:spacing w:after="0"/>
              <w:rPr>
                <w:sz w:val="13"/>
                <w:szCs w:val="13"/>
                <w:color w:val="auto"/>
              </w:rPr>
            </w:pPr>
          </w:p>
        </w:tc>
      </w:tr>
      <w:tr>
        <w:trPr>
          <w:trHeight w:val="34"/>
        </w:trPr>
        <w:tc>
          <w:tcPr>
            <w:tcW w:w="1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7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r>
      <w:tr>
        <w:trPr>
          <w:trHeight w:val="189"/>
        </w:trPr>
        <w:tc>
          <w:tcPr>
            <w:tcW w:w="1160" w:type="dxa"/>
            <w:vAlign w:val="bottom"/>
          </w:tcPr>
          <w:p>
            <w:pPr>
              <w:jc w:val="right"/>
              <w:ind w:right="111"/>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714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18 U.S.C. Section 1350 as adopted</w:t>
            </w:r>
          </w:p>
        </w:tc>
        <w:tc>
          <w:tcPr>
            <w:tcW w:w="29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55"/>
        </w:trPr>
        <w:tc>
          <w:tcPr>
            <w:tcW w:w="1160" w:type="dxa"/>
            <w:vAlign w:val="bottom"/>
          </w:tcPr>
          <w:p>
            <w:pPr>
              <w:spacing w:after="0"/>
              <w:rPr>
                <w:sz w:val="13"/>
                <w:szCs w:val="13"/>
                <w:color w:val="auto"/>
              </w:rPr>
            </w:pPr>
          </w:p>
        </w:tc>
        <w:tc>
          <w:tcPr>
            <w:tcW w:w="70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60" w:type="dxa"/>
            <w:vAlign w:val="bottom"/>
            <w:gridSpan w:val="3"/>
          </w:tcPr>
          <w:p>
            <w:pPr>
              <w:spacing w:after="0"/>
              <w:rPr>
                <w:sz w:val="13"/>
                <w:szCs w:val="13"/>
                <w:color w:val="auto"/>
              </w:rPr>
            </w:pPr>
          </w:p>
        </w:tc>
        <w:tc>
          <w:tcPr>
            <w:tcW w:w="2940" w:type="dxa"/>
            <w:vAlign w:val="bottom"/>
          </w:tcPr>
          <w:p>
            <w:pPr>
              <w:spacing w:after="0"/>
              <w:rPr>
                <w:sz w:val="13"/>
                <w:szCs w:val="13"/>
                <w:color w:val="auto"/>
              </w:rPr>
            </w:pPr>
          </w:p>
        </w:tc>
      </w:tr>
      <w:tr>
        <w:trPr>
          <w:trHeight w:val="34"/>
        </w:trPr>
        <w:tc>
          <w:tcPr>
            <w:tcW w:w="11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7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75"/>
        </w:trPr>
        <w:tc>
          <w:tcPr>
            <w:tcW w:w="1160" w:type="dxa"/>
            <w:vAlign w:val="bottom"/>
            <w:shd w:val="clear" w:color="auto" w:fill="CCEEFF"/>
          </w:tcPr>
          <w:p>
            <w:pPr>
              <w:jc w:val="right"/>
              <w:ind w:right="51"/>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71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Inline XBRL Instance Document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instance document does not appear in the Interactive</w:t>
            </w:r>
          </w:p>
        </w:tc>
        <w:tc>
          <w:tcPr>
            <w:tcW w:w="29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243"/>
        </w:trPr>
        <w:tc>
          <w:tcPr>
            <w:tcW w:w="1160" w:type="dxa"/>
            <w:vAlign w:val="bottom"/>
            <w:shd w:val="clear" w:color="auto" w:fill="CCEEFF"/>
          </w:tcPr>
          <w:p>
            <w:pPr>
              <w:spacing w:after="0"/>
              <w:rPr>
                <w:sz w:val="21"/>
                <w:szCs w:val="21"/>
                <w:color w:val="auto"/>
              </w:rPr>
            </w:pPr>
          </w:p>
        </w:tc>
        <w:tc>
          <w:tcPr>
            <w:tcW w:w="71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 XBRL document.</w:t>
            </w:r>
          </w:p>
        </w:tc>
        <w:tc>
          <w:tcPr>
            <w:tcW w:w="2940" w:type="dxa"/>
            <w:vAlign w:val="bottom"/>
            <w:shd w:val="clear" w:color="auto" w:fill="CCEEFF"/>
          </w:tcPr>
          <w:p>
            <w:pPr>
              <w:spacing w:after="0"/>
              <w:rPr>
                <w:sz w:val="21"/>
                <w:szCs w:val="21"/>
                <w:color w:val="auto"/>
              </w:rPr>
            </w:pPr>
          </w:p>
        </w:tc>
      </w:tr>
      <w:tr>
        <w:trPr>
          <w:trHeight w:val="229"/>
        </w:trPr>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101.SCH</w:t>
            </w:r>
          </w:p>
        </w:tc>
        <w:tc>
          <w:tcPr>
            <w:tcW w:w="7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101.CAL</w:t>
            </w:r>
          </w:p>
        </w:tc>
        <w:tc>
          <w:tcPr>
            <w:tcW w:w="71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101.DEF</w:t>
            </w:r>
          </w:p>
        </w:tc>
        <w:tc>
          <w:tcPr>
            <w:tcW w:w="7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101.LAB</w:t>
            </w:r>
          </w:p>
        </w:tc>
        <w:tc>
          <w:tcPr>
            <w:tcW w:w="71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101.PRE</w:t>
            </w:r>
          </w:p>
        </w:tc>
        <w:tc>
          <w:tcPr>
            <w:tcW w:w="7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65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160" w:hanging="414"/>
        <w:spacing w:after="0" w:line="215"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contained in  †††</w:t>
      </w: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w:t>
      </w:r>
    </w:p>
    <w:p>
      <w:pPr>
        <w:spacing w:after="0" w:line="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________________________________________________________________________________________________________________________________</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44" w:lineRule="exact"/>
        <w:rPr>
          <w:sz w:val="20"/>
          <w:szCs w:val="20"/>
          <w:color w:val="auto"/>
        </w:rPr>
      </w:pPr>
    </w:p>
    <w:p>
      <w:pPr>
        <w:jc w:val="both"/>
        <w:ind w:firstLine="8"/>
        <w:spacing w:after="0" w:line="266" w:lineRule="auto"/>
        <w:tabs>
          <w:tab w:leader="none" w:pos="2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108" w:lineRule="exact"/>
        <w:rPr>
          <w:sz w:val="20"/>
          <w:szCs w:val="20"/>
          <w:color w:val="auto"/>
        </w:rPr>
      </w:pPr>
    </w:p>
    <w:p>
      <w:pPr>
        <w:jc w:val="both"/>
        <w:ind w:firstLine="8"/>
        <w:spacing w:after="0" w:line="266" w:lineRule="auto"/>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Exchange Act, and otherwise are not subject to liability under those sections.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2025</w:t>
      </w:r>
    </w:p>
    <w:p>
      <w:pPr>
        <w:spacing w:after="0" w:line="36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LENDINGTREE, INC.</w:t>
      </w:r>
    </w:p>
    <w:p>
      <w:pPr>
        <w:spacing w:after="0" w:line="248" w:lineRule="exact"/>
        <w:rPr>
          <w:sz w:val="20"/>
          <w:szCs w:val="20"/>
          <w:color w:val="auto"/>
        </w:rPr>
      </w:pPr>
    </w:p>
    <w:p>
      <w:pPr>
        <w:ind w:left="462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JASON BENGEL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19685</wp:posOffset>
            </wp:positionV>
            <wp:extent cx="37630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Jason Bengel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 and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R. Lebda, certify that:</w:t>
      </w:r>
    </w:p>
    <w:p>
      <w:pPr>
        <w:spacing w:after="0" w:line="104"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2025 of LendingTree,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2025</w:t>
      </w:r>
    </w:p>
    <w:p>
      <w:pPr>
        <w:spacing w:after="0" w:line="144"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8658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Douglas R. Lebda</w:t>
      </w:r>
    </w:p>
    <w:p>
      <w:pPr>
        <w:spacing w:after="0" w:line="27"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3"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8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Bengel, certify that:</w:t>
      </w:r>
    </w:p>
    <w:p>
      <w:pPr>
        <w:spacing w:after="0" w:line="104"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2025 of LendingTree,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2025</w:t>
      </w:r>
    </w:p>
    <w:p>
      <w:pPr>
        <w:spacing w:after="0" w:line="14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Jason Bengel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8658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Jason Bengel</w:t>
      </w:r>
    </w:p>
    <w:p>
      <w:pPr>
        <w:spacing w:after="0" w:line="27"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8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7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6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 Douglas R. Lebda, certify, pursuant to 18 U.S.C. Section 1350, as adopted pursuant to Section 906 of the Sarbanes-Oxley Act of 2002, that to my knowledge:</w:t>
      </w:r>
    </w:p>
    <w:p>
      <w:pPr>
        <w:spacing w:after="0" w:line="40" w:lineRule="exact"/>
        <w:rPr>
          <w:sz w:val="20"/>
          <w:szCs w:val="20"/>
          <w:color w:val="auto"/>
        </w:rPr>
      </w:pPr>
    </w:p>
    <w:p>
      <w:pPr>
        <w:ind w:left="340" w:right="80" w:hanging="332"/>
        <w:spacing w:after="0" w:line="282"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fiscal quarter ended March 31, 2025 of LendingTree, Inc. (the “Report”) which this statement accompanies fully complies with the requirements of Section 13(a) or 15(d) of the Securities Exchange Act of 1934 (15 U.S.C. 78m or 78o(d)); and</w:t>
      </w:r>
    </w:p>
    <w:p>
      <w:pPr>
        <w:spacing w:after="0" w:line="40" w:lineRule="exact"/>
        <w:rPr>
          <w:rFonts w:ascii="Times New Roman" w:cs="Times New Roman" w:eastAsia="Times New Roman" w:hAnsi="Times New Roman"/>
          <w:sz w:val="18"/>
          <w:szCs w:val="18"/>
          <w:color w:val="auto"/>
        </w:rPr>
      </w:pPr>
    </w:p>
    <w:p>
      <w:pPr>
        <w:ind w:right="240" w:firstLine="8"/>
        <w:spacing w:after="0" w:line="375" w:lineRule="auto"/>
        <w:tabs>
          <w:tab w:leader="none" w:pos="3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LendingTree, Inc. Date: May 2, 2025</w:t>
      </w:r>
    </w:p>
    <w:p>
      <w:pPr>
        <w:spacing w:after="0" w:line="1"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8658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16"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Douglas R. Lebda</w:t>
      </w:r>
    </w:p>
    <w:p>
      <w:pPr>
        <w:spacing w:after="0" w:line="27"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3"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8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7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Bengel, certify, pursuant to 18 U.S.C. Section 1350, as adopted pursuant to Section 906 of the Sarbanes-Oxley Act of 2002, that to my knowledge:</w:t>
      </w:r>
    </w:p>
    <w:p>
      <w:pPr>
        <w:spacing w:after="0" w:line="104" w:lineRule="exact"/>
        <w:rPr>
          <w:sz w:val="20"/>
          <w:szCs w:val="20"/>
          <w:color w:val="auto"/>
        </w:rPr>
      </w:pPr>
    </w:p>
    <w:p>
      <w:pPr>
        <w:ind w:left="340" w:right="80" w:hanging="332"/>
        <w:spacing w:after="0" w:line="282"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fiscal quarter ended March 31, 2025 of LendingTree, Inc. (the “Report”) which this statement accompanies fully complies with the requirements of Section 13(a) or 15(d) of the Securities Exchange Act of 1934 (15 U.S.C. 78m or 78o(d)); and</w:t>
      </w:r>
    </w:p>
    <w:p>
      <w:pPr>
        <w:spacing w:after="0" w:line="40" w:lineRule="exact"/>
        <w:rPr>
          <w:rFonts w:ascii="Times New Roman" w:cs="Times New Roman" w:eastAsia="Times New Roman" w:hAnsi="Times New Roman"/>
          <w:sz w:val="18"/>
          <w:szCs w:val="18"/>
          <w:color w:val="auto"/>
        </w:rPr>
      </w:pPr>
    </w:p>
    <w:p>
      <w:pPr>
        <w:ind w:right="240" w:firstLine="8"/>
        <w:spacing w:after="0" w:line="375" w:lineRule="auto"/>
        <w:tabs>
          <w:tab w:leader="none" w:pos="3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LendingTree, Inc. Date: May 2, 2025</w:t>
      </w:r>
    </w:p>
    <w:p>
      <w:pPr>
        <w:spacing w:after="0" w:line="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Jason Bengel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8658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Jason Bengel</w:t>
      </w:r>
    </w:p>
    <w:p>
      <w:pPr>
        <w:spacing w:after="0" w:line="27"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4"/>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04"/>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61" Type="http://schemas.openxmlformats.org/officeDocument/2006/relationships/hyperlink" Target="https://www.sec.gov/Archives/edgar/data/1434621/000110465908054882/a08-22125_1ex3d1.htm" TargetMode="External"/><Relationship Id="rId62" Type="http://schemas.openxmlformats.org/officeDocument/2006/relationships/hyperlink" Target="https://www.sec.gov/Archives/edgar/data/1434621/000143462117000080/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2025-05-05T05:13:56Z</dcterms:created>
  <dcterms:modified xsi:type="dcterms:W3CDTF">2025-05-05T05:13:56Z</dcterms:modified>
</cp:coreProperties>
</file>