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169545</wp:posOffset>
            </wp:positionV>
            <wp:extent cx="32315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5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183515</wp:posOffset>
            </wp:positionV>
            <wp:extent cx="32315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left="3720" w:right="1160" w:hanging="3341"/>
        <w:spacing w:after="0" w:line="266" w:lineRule="auto"/>
        <w:tabs>
          <w:tab w:leader="none" w:pos="94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7"/>
          <w:szCs w:val="17"/>
          <w:b w:val="1"/>
          <w:bCs w:val="1"/>
          <w:color w:val="auto"/>
        </w:rPr>
        <w:t>For the Quarterly Period Ended September 30, 2020</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or</w:t>
      </w:r>
    </w:p>
    <w:p>
      <w:pPr>
        <w:spacing w:after="0" w:line="155" w:lineRule="exact"/>
        <w:rPr>
          <w:sz w:val="24"/>
          <w:szCs w:val="24"/>
          <w:color w:val="auto"/>
        </w:rPr>
      </w:pPr>
    </w:p>
    <w:p>
      <w:pPr>
        <w:ind w:left="940" w:hanging="561"/>
        <w:spacing w:after="0"/>
        <w:tabs>
          <w:tab w:leader="none" w:pos="9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sz w:val="24"/>
          <w:szCs w:val="24"/>
          <w:color w:val="auto"/>
        </w:rPr>
      </w:pPr>
    </w:p>
    <w:p>
      <w:pPr>
        <w:ind w:left="3620"/>
        <w:spacing w:after="0"/>
        <w:tabs>
          <w:tab w:leader="none" w:pos="67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104140</wp:posOffset>
            </wp:positionV>
            <wp:extent cx="32315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1515" cy="1714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335280</wp:posOffset>
            </wp:positionV>
            <wp:extent cx="113982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2080" w:type="dxa"/>
            <w:vAlign w:val="bottom"/>
            <w:gridSpan w:val="3"/>
          </w:tcPr>
          <w:p>
            <w:pPr>
              <w:ind w:left="1100"/>
              <w:spacing w:after="0"/>
              <w:rPr>
                <w:sz w:val="20"/>
                <w:szCs w:val="20"/>
                <w:color w:val="auto"/>
              </w:rPr>
            </w:pPr>
            <w:r>
              <w:rPr>
                <w:rFonts w:ascii="Arial" w:cs="Arial" w:eastAsia="Arial" w:hAnsi="Arial"/>
                <w:sz w:val="16"/>
                <w:szCs w:val="16"/>
                <w:b w:val="1"/>
                <w:bCs w:val="1"/>
                <w:color w:val="auto"/>
              </w:rPr>
              <w:t>Delaware</w:t>
            </w: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0" w:type="dxa"/>
            <w:vAlign w:val="bottom"/>
            <w:gridSpan w:val="3"/>
          </w:tcPr>
          <w:p>
            <w:pPr>
              <w:jc w:val="right"/>
              <w:ind w:right="1620"/>
              <w:spacing w:after="0"/>
              <w:rPr>
                <w:sz w:val="20"/>
                <w:szCs w:val="20"/>
                <w:color w:val="auto"/>
              </w:rPr>
            </w:pPr>
            <w:r>
              <w:rPr>
                <w:rFonts w:ascii="Arial" w:cs="Arial" w:eastAsia="Arial" w:hAnsi="Arial"/>
                <w:sz w:val="16"/>
                <w:szCs w:val="16"/>
                <w:b w:val="1"/>
                <w:bCs w:val="1"/>
                <w:color w:val="auto"/>
              </w:rPr>
              <w:t>26-2414818</w:t>
            </w:r>
          </w:p>
        </w:tc>
      </w:tr>
      <w:tr>
        <w:trPr>
          <w:trHeight w:val="270"/>
        </w:trPr>
        <w:tc>
          <w:tcPr>
            <w:tcW w:w="7420" w:type="dxa"/>
            <w:vAlign w:val="bottom"/>
            <w:gridSpan w:val="7"/>
          </w:tcPr>
          <w:p>
            <w:pPr>
              <w:ind w:left="820"/>
              <w:spacing w:after="0"/>
              <w:rPr>
                <w:sz w:val="20"/>
                <w:szCs w:val="20"/>
                <w:color w:val="auto"/>
              </w:rPr>
            </w:pPr>
            <w:r>
              <w:rPr>
                <w:rFonts w:ascii="Arial" w:cs="Arial" w:eastAsia="Arial" w:hAnsi="Arial"/>
                <w:sz w:val="16"/>
                <w:szCs w:val="16"/>
                <w:color w:val="auto"/>
              </w:rPr>
              <w:t>(State or other jurisdiction of incorporation or organization)</w:t>
            </w:r>
          </w:p>
        </w:tc>
        <w:tc>
          <w:tcPr>
            <w:tcW w:w="3200" w:type="dxa"/>
            <w:vAlign w:val="bottom"/>
            <w:gridSpan w:val="3"/>
          </w:tcPr>
          <w:p>
            <w:pPr>
              <w:jc w:val="center"/>
              <w:ind w:right="840"/>
              <w:spacing w:after="0"/>
              <w:rPr>
                <w:sz w:val="20"/>
                <w:szCs w:val="20"/>
                <w:color w:val="auto"/>
              </w:rPr>
            </w:pPr>
            <w:r>
              <w:rPr>
                <w:rFonts w:ascii="Arial" w:cs="Arial" w:eastAsia="Arial" w:hAnsi="Arial"/>
                <w:sz w:val="16"/>
                <w:szCs w:val="16"/>
                <w:color w:val="auto"/>
                <w:w w:val="95"/>
              </w:rPr>
              <w:t>(I.R.S. Employer Identification No.)</w:t>
            </w:r>
          </w:p>
        </w:tc>
      </w:tr>
      <w:tr>
        <w:trPr>
          <w:trHeight w:val="339"/>
        </w:trPr>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80" w:type="dxa"/>
            <w:vAlign w:val="bottom"/>
            <w:gridSpan w:val="6"/>
          </w:tcPr>
          <w:p>
            <w:pPr>
              <w:ind w:left="40"/>
              <w:spacing w:after="0"/>
              <w:rPr>
                <w:sz w:val="20"/>
                <w:szCs w:val="20"/>
                <w:color w:val="auto"/>
              </w:rPr>
            </w:pPr>
            <w:r>
              <w:rPr>
                <w:rFonts w:ascii="Arial" w:cs="Arial" w:eastAsia="Arial" w:hAnsi="Arial"/>
                <w:sz w:val="18"/>
                <w:szCs w:val="18"/>
                <w:b w:val="1"/>
                <w:bCs w:val="1"/>
                <w:color w:val="auto"/>
              </w:rPr>
              <w:t>11115 Rushmore Drive, Charlotte, North Carolina 28277</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80" w:type="dxa"/>
            <w:vAlign w:val="bottom"/>
            <w:gridSpan w:val="3"/>
          </w:tcPr>
          <w:p>
            <w:pPr>
              <w:jc w:val="center"/>
              <w:ind w:left="312"/>
              <w:spacing w:after="0"/>
              <w:rPr>
                <w:sz w:val="20"/>
                <w:szCs w:val="20"/>
                <w:color w:val="auto"/>
              </w:rPr>
            </w:pPr>
            <w:r>
              <w:rPr>
                <w:rFonts w:ascii="Arial" w:cs="Arial" w:eastAsia="Arial" w:hAnsi="Arial"/>
                <w:sz w:val="17"/>
                <w:szCs w:val="17"/>
                <w:color w:val="auto"/>
                <w:w w:val="93"/>
              </w:rPr>
              <w:t>(Address of principal executive offices)(Zip Code)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10"/>
        </w:trPr>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80" w:type="dxa"/>
            <w:vAlign w:val="bottom"/>
            <w:gridSpan w:val="3"/>
          </w:tcPr>
          <w:p>
            <w:pPr>
              <w:jc w:val="center"/>
              <w:ind w:left="292"/>
              <w:spacing w:after="0"/>
              <w:rPr>
                <w:sz w:val="20"/>
                <w:szCs w:val="20"/>
                <w:color w:val="auto"/>
              </w:rPr>
            </w:pPr>
            <w:r>
              <w:rPr>
                <w:rFonts w:ascii="Arial" w:cs="Arial" w:eastAsia="Arial" w:hAnsi="Arial"/>
                <w:sz w:val="18"/>
                <w:szCs w:val="18"/>
                <w:b w:val="1"/>
                <w:bCs w:val="1"/>
                <w:color w:val="auto"/>
                <w:w w:val="90"/>
              </w:rPr>
              <w:t>(704) 541-5351</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80" w:type="dxa"/>
            <w:vAlign w:val="bottom"/>
            <w:gridSpan w:val="3"/>
          </w:tcPr>
          <w:p>
            <w:pPr>
              <w:jc w:val="center"/>
              <w:ind w:left="292"/>
              <w:spacing w:after="0"/>
              <w:rPr>
                <w:sz w:val="20"/>
                <w:szCs w:val="20"/>
                <w:color w:val="auto"/>
              </w:rPr>
            </w:pPr>
            <w:r>
              <w:rPr>
                <w:rFonts w:ascii="Arial" w:cs="Arial" w:eastAsia="Arial" w:hAnsi="Arial"/>
                <w:sz w:val="17"/>
                <w:szCs w:val="17"/>
                <w:color w:val="auto"/>
                <w:w w:val="90"/>
              </w:rPr>
              <w:t>(Registrant's telephone number, including area code)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146"/>
        </w:trPr>
        <w:tc>
          <w:tcPr>
            <w:tcW w:w="1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tcBorders>
              <w:bottom w:val="single" w:sz="8" w:color="auto"/>
            </w:tcBorders>
            <w:gridSpan w:val="2"/>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40" w:type="dxa"/>
            <w:vAlign w:val="bottom"/>
          </w:tcPr>
          <w:p>
            <w:pPr>
              <w:spacing w:after="0"/>
              <w:rPr>
                <w:sz w:val="12"/>
                <w:szCs w:val="12"/>
                <w:color w:val="auto"/>
              </w:rPr>
            </w:pPr>
          </w:p>
        </w:tc>
      </w:tr>
      <w:tr>
        <w:trPr>
          <w:trHeight w:val="320"/>
        </w:trPr>
        <w:tc>
          <w:tcPr>
            <w:tcW w:w="7420" w:type="dxa"/>
            <w:vAlign w:val="bottom"/>
            <w:gridSpan w:val="7"/>
          </w:tcPr>
          <w:p>
            <w:pPr>
              <w:jc w:val="center"/>
              <w:ind w:right="3480"/>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8"/>
        </w:trPr>
        <w:tc>
          <w:tcPr>
            <w:tcW w:w="13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Title of each class</w:t>
            </w:r>
          </w:p>
        </w:tc>
        <w:tc>
          <w:tcPr>
            <w:tcW w:w="84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2600" w:type="dxa"/>
            <w:vAlign w:val="bottom"/>
            <w:gridSpan w:val="2"/>
          </w:tcPr>
          <w:p>
            <w:pPr>
              <w:jc w:val="center"/>
              <w:ind w:right="1320"/>
              <w:spacing w:after="0"/>
              <w:rPr>
                <w:sz w:val="20"/>
                <w:szCs w:val="20"/>
                <w:color w:val="auto"/>
              </w:rPr>
            </w:pPr>
            <w:r>
              <w:rPr>
                <w:rFonts w:ascii="Arial" w:cs="Arial" w:eastAsia="Arial" w:hAnsi="Arial"/>
                <w:sz w:val="17"/>
                <w:szCs w:val="17"/>
                <w:color w:val="auto"/>
                <w:w w:val="92"/>
              </w:rPr>
              <w:t>Trading Symbol(s)</w:t>
            </w:r>
          </w:p>
        </w:tc>
        <w:tc>
          <w:tcPr>
            <w:tcW w:w="180" w:type="dxa"/>
            <w:vAlign w:val="bottom"/>
          </w:tcPr>
          <w:p>
            <w:pPr>
              <w:spacing w:after="0"/>
              <w:rPr>
                <w:sz w:val="24"/>
                <w:szCs w:val="24"/>
                <w:color w:val="auto"/>
              </w:rPr>
            </w:pPr>
          </w:p>
        </w:tc>
        <w:tc>
          <w:tcPr>
            <w:tcW w:w="3020" w:type="dxa"/>
            <w:vAlign w:val="bottom"/>
            <w:gridSpan w:val="2"/>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2"/>
            <w:shd w:val="clear" w:color="auto" w:fill="000000"/>
          </w:tcPr>
          <w:p>
            <w:pPr>
              <w:spacing w:after="0" w:line="20" w:lineRule="exact"/>
              <w:rPr>
                <w:sz w:val="1"/>
                <w:szCs w:val="1"/>
                <w:color w:val="auto"/>
              </w:rPr>
            </w:pPr>
          </w:p>
        </w:tc>
      </w:tr>
      <w:tr>
        <w:trPr>
          <w:trHeight w:val="273"/>
        </w:trPr>
        <w:tc>
          <w:tcPr>
            <w:tcW w:w="3440" w:type="dxa"/>
            <w:vAlign w:val="bottom"/>
            <w:gridSpan w:val="4"/>
          </w:tcPr>
          <w:p>
            <w:pPr>
              <w:jc w:val="center"/>
              <w:ind w:left="436"/>
              <w:spacing w:after="0"/>
              <w:rPr>
                <w:sz w:val="20"/>
                <w:szCs w:val="20"/>
                <w:color w:val="auto"/>
              </w:rPr>
            </w:pPr>
            <w:r>
              <w:rPr>
                <w:rFonts w:ascii="Arial" w:cs="Arial" w:eastAsia="Arial" w:hAnsi="Arial"/>
                <w:sz w:val="17"/>
                <w:szCs w:val="17"/>
                <w:color w:val="auto"/>
                <w:w w:val="90"/>
              </w:rPr>
              <w:t>Common Stock, $0.01 par value per share</w:t>
            </w:r>
          </w:p>
        </w:tc>
        <w:tc>
          <w:tcPr>
            <w:tcW w:w="1380" w:type="dxa"/>
            <w:vAlign w:val="bottom"/>
          </w:tcPr>
          <w:p>
            <w:pPr>
              <w:spacing w:after="0"/>
              <w:rPr>
                <w:sz w:val="23"/>
                <w:szCs w:val="23"/>
                <w:color w:val="auto"/>
              </w:rPr>
            </w:pPr>
          </w:p>
        </w:tc>
        <w:tc>
          <w:tcPr>
            <w:tcW w:w="2600" w:type="dxa"/>
            <w:vAlign w:val="bottom"/>
            <w:gridSpan w:val="2"/>
          </w:tcPr>
          <w:p>
            <w:pPr>
              <w:jc w:val="center"/>
              <w:ind w:right="1320"/>
              <w:spacing w:after="0"/>
              <w:rPr>
                <w:sz w:val="20"/>
                <w:szCs w:val="20"/>
                <w:color w:val="auto"/>
              </w:rPr>
            </w:pPr>
            <w:r>
              <w:rPr>
                <w:rFonts w:ascii="Arial" w:cs="Arial" w:eastAsia="Arial" w:hAnsi="Arial"/>
                <w:sz w:val="17"/>
                <w:szCs w:val="17"/>
                <w:color w:val="auto"/>
                <w:w w:val="96"/>
              </w:rPr>
              <w:t>TREE</w:t>
            </w:r>
          </w:p>
        </w:tc>
        <w:tc>
          <w:tcPr>
            <w:tcW w:w="180" w:type="dxa"/>
            <w:vAlign w:val="bottom"/>
          </w:tcPr>
          <w:p>
            <w:pPr>
              <w:spacing w:after="0"/>
              <w:rPr>
                <w:sz w:val="23"/>
                <w:szCs w:val="23"/>
                <w:color w:val="auto"/>
              </w:rPr>
            </w:pPr>
          </w:p>
        </w:tc>
        <w:tc>
          <w:tcPr>
            <w:tcW w:w="3020" w:type="dxa"/>
            <w:vAlign w:val="bottom"/>
            <w:gridSpan w:val="2"/>
          </w:tcPr>
          <w:p>
            <w:pPr>
              <w:jc w:val="center"/>
              <w:spacing w:after="0"/>
              <w:rPr>
                <w:sz w:val="20"/>
                <w:szCs w:val="20"/>
                <w:color w:val="auto"/>
              </w:rPr>
            </w:pPr>
            <w:r>
              <w:rPr>
                <w:rFonts w:ascii="Arial" w:cs="Arial" w:eastAsia="Arial" w:hAnsi="Arial"/>
                <w:sz w:val="17"/>
                <w:szCs w:val="17"/>
                <w:color w:val="auto"/>
                <w:w w:val="92"/>
              </w:rPr>
              <w:t>The Nasdaq Stock Market LLC</w:t>
            </w:r>
          </w:p>
        </w:tc>
      </w:tr>
    </w:tbl>
    <w:p>
      <w:pPr>
        <w:spacing w:after="0" w:line="94"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1960" w:type="dxa"/>
        <w:tblCellMar>
          <w:top w:w="0" w:type="dxa"/>
          <w:left w:w="0" w:type="dxa"/>
          <w:bottom w:w="0" w:type="dxa"/>
          <w:right w:w="0" w:type="dxa"/>
        </w:tblCellMar>
      </w:tblPr>
      <w:tr>
        <w:trPr>
          <w:trHeight w:val="269"/>
        </w:trPr>
        <w:tc>
          <w:tcPr>
            <w:tcW w:w="2020" w:type="dxa"/>
            <w:vAlign w:val="bottom"/>
          </w:tcPr>
          <w:p>
            <w:pPr>
              <w:jc w:val="center"/>
              <w:ind w:right="415"/>
              <w:spacing w:after="0"/>
              <w:rPr>
                <w:sz w:val="20"/>
                <w:szCs w:val="20"/>
                <w:color w:val="auto"/>
              </w:rPr>
            </w:pPr>
            <w:r>
              <w:rPr>
                <w:rFonts w:ascii="Arial" w:cs="Arial" w:eastAsia="Arial" w:hAnsi="Arial"/>
                <w:sz w:val="17"/>
                <w:szCs w:val="17"/>
                <w:color w:val="auto"/>
                <w:w w:val="90"/>
              </w:rPr>
              <w:t>Large accelerated filer</w:t>
            </w:r>
          </w:p>
        </w:tc>
        <w:tc>
          <w:tcPr>
            <w:tcW w:w="130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3080" w:type="dxa"/>
            <w:vAlign w:val="bottom"/>
          </w:tcPr>
          <w:p>
            <w:pPr>
              <w:ind w:left="660"/>
              <w:spacing w:after="0"/>
              <w:rPr>
                <w:sz w:val="20"/>
                <w:szCs w:val="20"/>
                <w:color w:val="auto"/>
              </w:rPr>
            </w:pPr>
            <w:r>
              <w:rPr>
                <w:rFonts w:ascii="Arial" w:cs="Arial" w:eastAsia="Arial" w:hAnsi="Arial"/>
                <w:sz w:val="17"/>
                <w:szCs w:val="17"/>
                <w:color w:val="auto"/>
              </w:rPr>
              <w:t>Accelerated filer</w:t>
            </w:r>
          </w:p>
        </w:tc>
        <w:tc>
          <w:tcPr>
            <w:tcW w:w="7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0"/>
        </w:trPr>
        <w:tc>
          <w:tcPr>
            <w:tcW w:w="2020" w:type="dxa"/>
            <w:vAlign w:val="bottom"/>
          </w:tcPr>
          <w:p>
            <w:pPr>
              <w:jc w:val="center"/>
              <w:ind w:right="395"/>
              <w:spacing w:after="0"/>
              <w:rPr>
                <w:sz w:val="20"/>
                <w:szCs w:val="20"/>
                <w:color w:val="auto"/>
              </w:rPr>
            </w:pPr>
            <w:r>
              <w:rPr>
                <w:rFonts w:ascii="Arial" w:cs="Arial" w:eastAsia="Arial" w:hAnsi="Arial"/>
                <w:sz w:val="17"/>
                <w:szCs w:val="17"/>
                <w:color w:val="auto"/>
                <w:w w:val="93"/>
              </w:rPr>
              <w:t>Non-accelerated filer</w:t>
            </w:r>
          </w:p>
        </w:tc>
        <w:tc>
          <w:tcPr>
            <w:tcW w:w="130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3080" w:type="dxa"/>
            <w:vAlign w:val="bottom"/>
          </w:tcPr>
          <w:p>
            <w:pPr>
              <w:ind w:left="660"/>
              <w:spacing w:after="0"/>
              <w:rPr>
                <w:sz w:val="20"/>
                <w:szCs w:val="20"/>
                <w:color w:val="auto"/>
              </w:rPr>
            </w:pPr>
            <w:r>
              <w:rPr>
                <w:rFonts w:ascii="Arial" w:cs="Arial" w:eastAsia="Arial" w:hAnsi="Arial"/>
                <w:sz w:val="17"/>
                <w:szCs w:val="17"/>
                <w:color w:val="auto"/>
              </w:rPr>
              <w:t>Smaller reporting company</w:t>
            </w:r>
          </w:p>
        </w:tc>
        <w:tc>
          <w:tcPr>
            <w:tcW w:w="7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0"/>
        </w:trPr>
        <w:tc>
          <w:tcPr>
            <w:tcW w:w="20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80" w:type="dxa"/>
            <w:vAlign w:val="bottom"/>
          </w:tcPr>
          <w:p>
            <w:pPr>
              <w:ind w:left="660"/>
              <w:spacing w:after="0"/>
              <w:rPr>
                <w:sz w:val="20"/>
                <w:szCs w:val="20"/>
                <w:color w:val="auto"/>
              </w:rPr>
            </w:pPr>
            <w:r>
              <w:rPr>
                <w:rFonts w:ascii="Arial" w:cs="Arial" w:eastAsia="Arial" w:hAnsi="Arial"/>
                <w:sz w:val="17"/>
                <w:szCs w:val="17"/>
                <w:color w:val="auto"/>
              </w:rPr>
              <w:t>Emerging growth company</w:t>
            </w:r>
          </w:p>
        </w:tc>
        <w:tc>
          <w:tcPr>
            <w:tcW w:w="7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74" w:lineRule="exact"/>
        <w:rPr>
          <w:sz w:val="24"/>
          <w:szCs w:val="24"/>
          <w:color w:val="auto"/>
        </w:rPr>
      </w:pPr>
    </w:p>
    <w:p>
      <w:pPr>
        <w:ind w:right="20" w:firstLine="162"/>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 w:lineRule="exact"/>
        <w:rPr>
          <w:sz w:val="24"/>
          <w:szCs w:val="24"/>
          <w:color w:val="auto"/>
        </w:rPr>
      </w:pPr>
    </w:p>
    <w:p>
      <w:pPr>
        <w:ind w:left="1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October 30, 2020, there were 13,122,650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9120" w:type="dxa"/>
            <w:vAlign w:val="bottom"/>
          </w:tcPr>
          <w:p>
            <w:pPr>
              <w:spacing w:after="0"/>
              <w:rPr>
                <w:sz w:val="16"/>
                <w:szCs w:val="16"/>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29"/>
        </w:trPr>
        <w:tc>
          <w:tcPr>
            <w:tcW w:w="1060" w:type="dxa"/>
            <w:vAlign w:val="bottom"/>
            <w:vMerge w:val="restart"/>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Item 1.</w:t>
              </w:r>
            </w:hyperlink>
          </w:p>
        </w:tc>
        <w:tc>
          <w:tcPr>
            <w:tcW w:w="9120" w:type="dxa"/>
            <w:vAlign w:val="bottom"/>
          </w:tcPr>
          <w:p>
            <w:pPr>
              <w:jc w:val="center"/>
              <w:ind w:right="1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I—FINANCIAL INFORMATION</w:t>
              </w:r>
            </w:hyperlink>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60" w:type="dxa"/>
            <w:vAlign w:val="bottom"/>
            <w:vMerge w:val="continue"/>
          </w:tcPr>
          <w:p>
            <w:pPr>
              <w:spacing w:after="0"/>
              <w:rPr>
                <w:sz w:val="23"/>
                <w:szCs w:val="23"/>
                <w:color w:val="auto"/>
              </w:rPr>
            </w:pPr>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3">
              <w:r>
                <w:rPr>
                  <w:rFonts w:ascii="Arial" w:cs="Arial" w:eastAsia="Arial" w:hAnsi="Arial"/>
                  <w:sz w:val="18"/>
                  <w:szCs w:val="18"/>
                  <w:b w:val="1"/>
                  <w:bCs w:val="1"/>
                  <w:i w:val="1"/>
                  <w:iCs w:val="1"/>
                  <w:u w:val="single" w:color="auto"/>
                  <w:color w:val="0000FF"/>
                </w:rPr>
                <w:t>Financial Statements</w:t>
              </w:r>
            </w:hyperlink>
          </w:p>
        </w:tc>
        <w:tc>
          <w:tcPr>
            <w:tcW w:w="10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Item 2.</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EE"/>
              </w:rPr>
            </w:pPr>
            <w:hyperlink w:anchor="page35">
              <w:r>
                <w:rPr>
                  <w:rFonts w:ascii="Arial" w:cs="Arial" w:eastAsia="Arial" w:hAnsi="Arial"/>
                  <w:sz w:val="18"/>
                  <w:szCs w:val="18"/>
                  <w:b w:val="1"/>
                  <w:bCs w:val="1"/>
                  <w:i w:val="1"/>
                  <w:iCs w:val="1"/>
                  <w:u w:val="single" w:color="auto"/>
                  <w:color w:val="0000EE"/>
                </w:rPr>
                <w:t>Management's Discussion and Analysis of Financial Condition and Results of Operations</w:t>
              </w:r>
            </w:hyperlink>
          </w:p>
        </w:tc>
        <w:tc>
          <w:tcPr>
            <w:tcW w:w="100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47">
              <w:r>
                <w:rPr>
                  <w:rFonts w:ascii="Arial" w:cs="Arial" w:eastAsia="Arial" w:hAnsi="Arial"/>
                  <w:sz w:val="18"/>
                  <w:szCs w:val="18"/>
                  <w:b w:val="1"/>
                  <w:bCs w:val="1"/>
                  <w:u w:val="single" w:color="auto"/>
                  <w:color w:val="0000FF"/>
                </w:rPr>
                <w:t>Item 3.</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47">
              <w:r>
                <w:rPr>
                  <w:rFonts w:ascii="Arial" w:cs="Arial" w:eastAsia="Arial" w:hAnsi="Arial"/>
                  <w:sz w:val="18"/>
                  <w:szCs w:val="18"/>
                  <w:b w:val="1"/>
                  <w:bCs w:val="1"/>
                  <w:i w:val="1"/>
                  <w:iCs w:val="1"/>
                  <w:u w:val="single" w:color="auto"/>
                  <w:color w:val="0000FF"/>
                </w:rPr>
                <w:t>Quantitative and Qualitative Disclosures About Market Risk</w:t>
              </w:r>
            </w:hyperlink>
          </w:p>
        </w:tc>
        <w:tc>
          <w:tcPr>
            <w:tcW w:w="100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47">
              <w:r>
                <w:rPr>
                  <w:rFonts w:ascii="Arial" w:cs="Arial" w:eastAsia="Arial" w:hAnsi="Arial"/>
                  <w:sz w:val="18"/>
                  <w:szCs w:val="18"/>
                  <w:b w:val="1"/>
                  <w:bCs w:val="1"/>
                  <w:u w:val="single" w:color="auto"/>
                  <w:color w:val="0000FF"/>
                </w:rPr>
                <w:t>Item 4.</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47">
              <w:r>
                <w:rPr>
                  <w:rFonts w:ascii="Arial" w:cs="Arial" w:eastAsia="Arial" w:hAnsi="Arial"/>
                  <w:sz w:val="18"/>
                  <w:szCs w:val="18"/>
                  <w:b w:val="1"/>
                  <w:bCs w:val="1"/>
                  <w:i w:val="1"/>
                  <w:iCs w:val="1"/>
                  <w:u w:val="single" w:color="auto"/>
                  <w:color w:val="0000FF"/>
                </w:rPr>
                <w:t>Controls and Procedures</w:t>
              </w:r>
            </w:hyperlink>
          </w:p>
        </w:tc>
        <w:tc>
          <w:tcPr>
            <w:tcW w:w="100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540"/>
        </w:trPr>
        <w:tc>
          <w:tcPr>
            <w:tcW w:w="1060" w:type="dxa"/>
            <w:vAlign w:val="bottom"/>
          </w:tcPr>
          <w:p>
            <w:pPr>
              <w:spacing w:after="0"/>
              <w:rPr>
                <w:sz w:val="24"/>
                <w:szCs w:val="24"/>
                <w:color w:val="auto"/>
              </w:rPr>
            </w:pPr>
          </w:p>
        </w:tc>
        <w:tc>
          <w:tcPr>
            <w:tcW w:w="9120" w:type="dxa"/>
            <w:vAlign w:val="bottom"/>
          </w:tcPr>
          <w:p>
            <w:pPr>
              <w:jc w:val="center"/>
              <w:ind w:right="10"/>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PART II—OTHER INFORMATION</w:t>
              </w:r>
            </w:hyperlink>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060" w:type="dxa"/>
            <w:vAlign w:val="bottom"/>
          </w:tcPr>
          <w:p>
            <w:pPr>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Item 1.</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49">
              <w:r>
                <w:rPr>
                  <w:rFonts w:ascii="Arial" w:cs="Arial" w:eastAsia="Arial" w:hAnsi="Arial"/>
                  <w:sz w:val="18"/>
                  <w:szCs w:val="18"/>
                  <w:b w:val="1"/>
                  <w:bCs w:val="1"/>
                  <w:i w:val="1"/>
                  <w:iCs w:val="1"/>
                  <w:u w:val="single" w:color="auto"/>
                  <w:color w:val="0000FF"/>
                </w:rPr>
                <w:t>Legal Proceedings</w:t>
              </w:r>
            </w:hyperlink>
          </w:p>
        </w:tc>
        <w:tc>
          <w:tcPr>
            <w:tcW w:w="100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Item 1A.</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49">
              <w:r>
                <w:rPr>
                  <w:rFonts w:ascii="Arial" w:cs="Arial" w:eastAsia="Arial" w:hAnsi="Arial"/>
                  <w:sz w:val="18"/>
                  <w:szCs w:val="18"/>
                  <w:b w:val="1"/>
                  <w:bCs w:val="1"/>
                  <w:i w:val="1"/>
                  <w:iCs w:val="1"/>
                  <w:u w:val="single" w:color="auto"/>
                  <w:color w:val="0000FF"/>
                </w:rPr>
                <w:t>Risk Factors</w:t>
              </w:r>
            </w:hyperlink>
          </w:p>
        </w:tc>
        <w:tc>
          <w:tcPr>
            <w:tcW w:w="100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Item 2.</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49">
              <w:r>
                <w:rPr>
                  <w:rFonts w:ascii="Arial" w:cs="Arial" w:eastAsia="Arial" w:hAnsi="Arial"/>
                  <w:sz w:val="18"/>
                  <w:szCs w:val="18"/>
                  <w:b w:val="1"/>
                  <w:bCs w:val="1"/>
                  <w:i w:val="1"/>
                  <w:iCs w:val="1"/>
                  <w:u w:val="single" w:color="auto"/>
                  <w:color w:val="0000FF"/>
                </w:rPr>
                <w:t>Unregistered Sales of Equity Securities and Use of Proceeds</w:t>
              </w:r>
            </w:hyperlink>
          </w:p>
        </w:tc>
        <w:tc>
          <w:tcPr>
            <w:tcW w:w="100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EE"/>
              </w:rPr>
            </w:pPr>
            <w:hyperlink w:anchor="page50">
              <w:r>
                <w:rPr>
                  <w:rFonts w:ascii="Arial" w:cs="Arial" w:eastAsia="Arial" w:hAnsi="Arial"/>
                  <w:sz w:val="18"/>
                  <w:szCs w:val="18"/>
                  <w:b w:val="1"/>
                  <w:bCs w:val="1"/>
                  <w:u w:val="single" w:color="auto"/>
                  <w:color w:val="0000EE"/>
                </w:rPr>
                <w:t>Item 5.</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50">
              <w:r>
                <w:rPr>
                  <w:rFonts w:ascii="Arial" w:cs="Arial" w:eastAsia="Arial" w:hAnsi="Arial"/>
                  <w:sz w:val="18"/>
                  <w:szCs w:val="18"/>
                  <w:b w:val="1"/>
                  <w:bCs w:val="1"/>
                  <w:i w:val="1"/>
                  <w:iCs w:val="1"/>
                  <w:u w:val="single" w:color="auto"/>
                  <w:color w:val="0000FF"/>
                </w:rPr>
                <w:t>Other Information</w:t>
              </w:r>
            </w:hyperlink>
          </w:p>
        </w:tc>
        <w:tc>
          <w:tcPr>
            <w:tcW w:w="100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70"/>
        </w:trPr>
        <w:tc>
          <w:tcPr>
            <w:tcW w:w="1060" w:type="dxa"/>
            <w:vAlign w:val="bottom"/>
          </w:tcPr>
          <w:p>
            <w:pPr>
              <w:spacing w:after="0"/>
              <w:rPr>
                <w:rFonts w:ascii="Arial" w:cs="Arial" w:eastAsia="Arial" w:hAnsi="Arial"/>
                <w:sz w:val="18"/>
                <w:szCs w:val="18"/>
                <w:b w:val="1"/>
                <w:bCs w:val="1"/>
                <w:u w:val="single" w:color="auto"/>
                <w:color w:val="0000FF"/>
              </w:rPr>
            </w:pPr>
            <w:hyperlink w:anchor="page51">
              <w:r>
                <w:rPr>
                  <w:rFonts w:ascii="Arial" w:cs="Arial" w:eastAsia="Arial" w:hAnsi="Arial"/>
                  <w:sz w:val="18"/>
                  <w:szCs w:val="18"/>
                  <w:b w:val="1"/>
                  <w:bCs w:val="1"/>
                  <w:u w:val="single" w:color="auto"/>
                  <w:color w:val="0000FF"/>
                </w:rPr>
                <w:t>Item 6.</w:t>
              </w:r>
            </w:hyperlink>
          </w:p>
        </w:tc>
        <w:tc>
          <w:tcPr>
            <w:tcW w:w="9120" w:type="dxa"/>
            <w:vAlign w:val="bottom"/>
          </w:tcPr>
          <w:p>
            <w:pPr>
              <w:ind w:left="400"/>
              <w:spacing w:after="0"/>
              <w:rPr>
                <w:rFonts w:ascii="Arial" w:cs="Arial" w:eastAsia="Arial" w:hAnsi="Arial"/>
                <w:sz w:val="18"/>
                <w:szCs w:val="18"/>
                <w:b w:val="1"/>
                <w:bCs w:val="1"/>
                <w:i w:val="1"/>
                <w:iCs w:val="1"/>
                <w:u w:val="single" w:color="auto"/>
                <w:color w:val="0000FF"/>
              </w:rPr>
            </w:pPr>
            <w:hyperlink w:anchor="page51">
              <w:r>
                <w:rPr>
                  <w:rFonts w:ascii="Arial" w:cs="Arial" w:eastAsia="Arial" w:hAnsi="Arial"/>
                  <w:sz w:val="18"/>
                  <w:szCs w:val="18"/>
                  <w:b w:val="1"/>
                  <w:bCs w:val="1"/>
                  <w:i w:val="1"/>
                  <w:iCs w:val="1"/>
                  <w:u w:val="single" w:color="auto"/>
                  <w:color w:val="0000FF"/>
                </w:rPr>
                <w:t>Exhibits</w:t>
              </w:r>
            </w:hyperlink>
          </w:p>
        </w:tc>
        <w:tc>
          <w:tcPr>
            <w:tcW w:w="100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459"/>
        </w:trPr>
        <w:tc>
          <w:tcPr>
            <w:tcW w:w="1060" w:type="dxa"/>
            <w:vAlign w:val="bottom"/>
          </w:tcPr>
          <w:p>
            <w:pPr>
              <w:spacing w:after="0"/>
              <w:rPr>
                <w:sz w:val="24"/>
                <w:szCs w:val="24"/>
                <w:color w:val="auto"/>
              </w:rPr>
            </w:pPr>
          </w:p>
        </w:tc>
        <w:tc>
          <w:tcPr>
            <w:tcW w:w="91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553"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6"/>
        </w:trPr>
        <w:tc>
          <w:tcPr>
            <w:tcW w:w="6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2019</w:t>
            </w:r>
          </w:p>
        </w:tc>
      </w:tr>
      <w:tr>
        <w:trPr>
          <w:trHeight w:val="196"/>
        </w:trPr>
        <w:tc>
          <w:tcPr>
            <w:tcW w:w="6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40" w:type="dxa"/>
            <w:vAlign w:val="bottom"/>
            <w:gridSpan w:val="5"/>
          </w:tcPr>
          <w:p>
            <w:pPr>
              <w:jc w:val="right"/>
              <w:spacing w:after="0"/>
              <w:rPr>
                <w:sz w:val="20"/>
                <w:szCs w:val="20"/>
                <w:color w:val="auto"/>
              </w:rPr>
            </w:pPr>
            <w:r>
              <w:rPr>
                <w:rFonts w:ascii="Arial" w:cs="Arial" w:eastAsia="Arial" w:hAnsi="Arial"/>
                <w:sz w:val="14"/>
                <w:szCs w:val="14"/>
                <w:b w:val="1"/>
                <w:bCs w:val="1"/>
                <w:i w:val="1"/>
                <w:iCs w:val="1"/>
                <w:color w:val="auto"/>
                <w:w w:val="89"/>
              </w:rPr>
              <w:t>(in thousands, except per share amounts)</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220,251</w:t>
            </w:r>
          </w:p>
        </w:tc>
        <w:tc>
          <w:tcPr>
            <w:tcW w:w="5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2"/>
              </w:rPr>
              <w:t>310,605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687,661</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2"/>
              </w:rPr>
              <w:t>851,416</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 xml:space="preserve">Cost of revenue </w:t>
            </w:r>
            <w:r>
              <w:rPr>
                <w:rFonts w:ascii="Arial" w:cs="Arial" w:eastAsia="Arial" w:hAnsi="Arial"/>
                <w:sz w:val="18"/>
                <w:szCs w:val="18"/>
                <w:i w:val="1"/>
                <w:iCs w:val="1"/>
                <w:color w:val="auto"/>
                <w:w w:val="91"/>
              </w:rPr>
              <w:t>(exclusive of depreciation and amortization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13,220</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40,936</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51,651</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154,670</w:t>
            </w:r>
          </w:p>
        </w:tc>
        <w:tc>
          <w:tcPr>
            <w:tcW w:w="5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200,818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464,129</w:t>
            </w: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567,338</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33,705</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94,276</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89,391</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11,477</w:t>
            </w:r>
          </w:p>
        </w:tc>
        <w:tc>
          <w:tcPr>
            <w:tcW w:w="5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10,200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33,252</w:t>
            </w: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30,541</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3,535</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10,463</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7,737</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13,090</w:t>
            </w:r>
          </w:p>
        </w:tc>
        <w:tc>
          <w:tcPr>
            <w:tcW w:w="5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13,778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40,603</w:t>
            </w: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41,485</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6,658</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7,711</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21,221</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Severance</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636</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(983)</w:t>
            </w: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6"/>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236,368</w:t>
            </w:r>
          </w:p>
        </w:tc>
        <w:tc>
          <w:tcPr>
            <w:tcW w:w="5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2"/>
              </w:rPr>
              <w:t>279,412</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690,577</w:t>
            </w: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2"/>
              </w:rPr>
              <w:t>809,709</w:t>
            </w:r>
          </w:p>
        </w:tc>
      </w:tr>
      <w:tr>
        <w:trPr>
          <w:trHeight w:val="27"/>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(16,117)</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31,193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(2,916)</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41,707</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(16,617)</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(26,406)</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(15,408)</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(32,734)</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26,352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(29,315)</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26,442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7,925</w:t>
            </w: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14,866</w:t>
            </w: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11,552</w:t>
            </w:r>
          </w:p>
        </w:tc>
      </w:tr>
      <w:tr>
        <w:trPr>
          <w:trHeight w:val="27"/>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(24,809)</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24,463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(14,449)</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37,994</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(20,199)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(25,550)</w:t>
            </w: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(22,024)</w:t>
            </w:r>
          </w:p>
        </w:tc>
      </w:tr>
      <w:tr>
        <w:trPr>
          <w:trHeight w:val="27"/>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and comprehensive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(24,643)</w:t>
            </w:r>
          </w:p>
        </w:tc>
        <w:tc>
          <w:tcPr>
            <w:tcW w:w="5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(39,999)</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15,970</w:t>
            </w:r>
          </w:p>
        </w:tc>
      </w:tr>
      <w:tr>
        <w:trPr>
          <w:trHeight w:val="270"/>
        </w:trPr>
        <w:tc>
          <w:tcPr>
            <w:tcW w:w="64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13,033</w:t>
            </w:r>
          </w:p>
        </w:tc>
        <w:tc>
          <w:tcPr>
            <w:tcW w:w="5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12,890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12,992</w:t>
            </w: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12,805</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13,033</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12,992</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14,629</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(Loss) income per share from continuing operations: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(1.11)</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w:t>
            </w:r>
          </w:p>
        </w:tc>
        <w:tc>
          <w:tcPr>
            <w:tcW w:w="5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(1.11)</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2.60</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0.01</w:t>
            </w:r>
          </w:p>
        </w:tc>
        <w:tc>
          <w:tcPr>
            <w:tcW w:w="5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(1.97)</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5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(1.97)</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Net (loss) income per share:</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5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(3.08)</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(1.89)</w:t>
            </w:r>
          </w:p>
        </w:tc>
        <w:tc>
          <w:tcPr>
            <w:tcW w:w="5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(3.08)</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1.09</w:t>
            </w:r>
          </w:p>
        </w:tc>
      </w:tr>
      <w:tr>
        <w:trPr>
          <w:trHeight w:val="27"/>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52"/>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156"/>
        </w:trPr>
        <w:tc>
          <w:tcPr>
            <w:tcW w:w="8660" w:type="dxa"/>
            <w:vAlign w:val="bottom"/>
          </w:tcPr>
          <w:p>
            <w:pPr>
              <w:spacing w:after="0"/>
              <w:rPr>
                <w:sz w:val="13"/>
                <w:szCs w:val="13"/>
                <w:color w:val="auto"/>
              </w:rPr>
            </w:pPr>
          </w:p>
        </w:tc>
        <w:tc>
          <w:tcPr>
            <w:tcW w:w="2580" w:type="dxa"/>
            <w:vAlign w:val="bottom"/>
            <w:gridSpan w:val="4"/>
          </w:tcPr>
          <w:p>
            <w:pPr>
              <w:jc w:val="right"/>
              <w:spacing w:after="0" w:line="156" w:lineRule="exact"/>
              <w:rPr>
                <w:sz w:val="20"/>
                <w:szCs w:val="20"/>
                <w:color w:val="auto"/>
              </w:rPr>
            </w:pPr>
            <w:r>
              <w:rPr>
                <w:rFonts w:ascii="Arial" w:cs="Arial" w:eastAsia="Arial" w:hAnsi="Arial"/>
                <w:sz w:val="14"/>
                <w:szCs w:val="14"/>
                <w:b w:val="1"/>
                <w:bCs w:val="1"/>
                <w:i w:val="1"/>
                <w:iCs w:val="1"/>
                <w:color w:val="auto"/>
                <w:w w:val="90"/>
              </w:rPr>
              <w:t>(in thousands, except par value and share</w:t>
            </w:r>
          </w:p>
        </w:tc>
      </w:tr>
      <w:tr>
        <w:trPr>
          <w:trHeight w:val="188"/>
        </w:trPr>
        <w:tc>
          <w:tcPr>
            <w:tcW w:w="8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3"/>
          </w:tcPr>
          <w:p>
            <w:pPr>
              <w:jc w:val="right"/>
              <w:ind w:right="911"/>
              <w:spacing w:after="0"/>
              <w:rPr>
                <w:sz w:val="20"/>
                <w:szCs w:val="20"/>
                <w:color w:val="auto"/>
              </w:rPr>
            </w:pPr>
            <w:r>
              <w:rPr>
                <w:rFonts w:ascii="Arial" w:cs="Arial" w:eastAsia="Arial" w:hAnsi="Arial"/>
                <w:sz w:val="14"/>
                <w:szCs w:val="14"/>
                <w:b w:val="1"/>
                <w:bCs w:val="1"/>
                <w:i w:val="1"/>
                <w:iCs w:val="1"/>
                <w:color w:val="auto"/>
              </w:rPr>
              <w:t>amounts)</w:t>
            </w:r>
          </w:p>
        </w:tc>
      </w:tr>
      <w:tr>
        <w:trPr>
          <w:trHeight w:val="25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187,261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60,243</w:t>
            </w: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$1,638 and $1,466, respectively)</w:t>
            </w:r>
          </w:p>
        </w:tc>
        <w:tc>
          <w:tcPr>
            <w:tcW w:w="1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96,631</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113,487</w:t>
            </w: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27,585</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15,516</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1,172</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w:t>
            </w:r>
          </w:p>
        </w:tc>
      </w:tr>
      <w:tr>
        <w:trPr>
          <w:trHeight w:val="27"/>
        </w:trPr>
        <w:tc>
          <w:tcPr>
            <w:tcW w:w="8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312,761</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189,426</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$22,318 and $17,979, respectively)</w:t>
            </w:r>
          </w:p>
        </w:tc>
        <w:tc>
          <w:tcPr>
            <w:tcW w:w="1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48,877</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31,363</w:t>
            </w: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86,193</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25,519</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420,139</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420,139</w:t>
            </w: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140,977</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181,580</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Deferred income tax assets</w:t>
            </w:r>
          </w:p>
        </w:tc>
        <w:tc>
          <w:tcPr>
            <w:tcW w:w="1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92,649</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87,664</w:t>
            </w: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(Note 7)</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80,000</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5,262</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4,330</w:t>
            </w: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16,731</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7,948</w:t>
            </w:r>
          </w:p>
        </w:tc>
      </w:tr>
      <w:tr>
        <w:trPr>
          <w:trHeight w:val="237"/>
        </w:trPr>
        <w:tc>
          <w:tcPr>
            <w:tcW w:w="8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1,203,589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947,969</w:t>
            </w:r>
          </w:p>
        </w:tc>
      </w:tr>
      <w:tr>
        <w:trPr>
          <w:trHeight w:val="34"/>
        </w:trPr>
        <w:tc>
          <w:tcPr>
            <w:tcW w:w="8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0"/>
        </w:trPr>
        <w:tc>
          <w:tcPr>
            <w:tcW w:w="8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75,000</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Accounts payable, trade</w:t>
            </w:r>
          </w:p>
        </w:tc>
        <w:tc>
          <w:tcPr>
            <w:tcW w:w="1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4,895</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2,873</w:t>
            </w: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106,333</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112,755</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Current contingent consideration</w:t>
            </w:r>
          </w:p>
        </w:tc>
        <w:tc>
          <w:tcPr>
            <w:tcW w:w="1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25,068</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9,028</w:t>
            </w: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300</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31,050</w:t>
            </w:r>
          </w:p>
        </w:tc>
      </w:tr>
      <w:tr>
        <w:trPr>
          <w:trHeight w:val="237"/>
        </w:trPr>
        <w:tc>
          <w:tcPr>
            <w:tcW w:w="8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136,596</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230,706</w:t>
            </w: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603,520</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264,391</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87,597</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21,358</w:t>
            </w: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10,107</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24,436</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4,760</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4,752</w:t>
            </w:r>
          </w:p>
        </w:tc>
      </w:tr>
      <w:tr>
        <w:trPr>
          <w:trHeight w:val="27"/>
        </w:trPr>
        <w:tc>
          <w:tcPr>
            <w:tcW w:w="8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842,580</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545,643</w:t>
            </w:r>
          </w:p>
        </w:tc>
      </w:tr>
      <w:tr>
        <w:trPr>
          <w:trHeight w:val="237"/>
        </w:trPr>
        <w:tc>
          <w:tcPr>
            <w:tcW w:w="8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 15)</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Common stock $.01 par value; 50,000,000 shares authorized; 15,759,235 and 15,676,819 shares issued, respectively,</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13,117,917 and 13,035,501 shares outstanding,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158</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1,176,664</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1,177,984</w:t>
            </w: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(632,652)</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(592,654)</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Treasury stock; 2,641,318 shares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(183,161)</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(183,161)</w:t>
            </w:r>
          </w:p>
        </w:tc>
      </w:tr>
      <w:tr>
        <w:trPr>
          <w:trHeight w:val="27"/>
        </w:trPr>
        <w:tc>
          <w:tcPr>
            <w:tcW w:w="8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361,009</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402,326</w:t>
            </w:r>
          </w:p>
        </w:tc>
      </w:tr>
      <w:tr>
        <w:trPr>
          <w:trHeight w:val="236"/>
        </w:trPr>
        <w:tc>
          <w:tcPr>
            <w:tcW w:w="8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1,203,589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947,969</w:t>
            </w:r>
          </w:p>
        </w:tc>
      </w:tr>
      <w:tr>
        <w:trPr>
          <w:trHeight w:val="34"/>
        </w:trPr>
        <w:tc>
          <w:tcPr>
            <w:tcW w:w="8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60" w:type="dxa"/>
            <w:vAlign w:val="bottom"/>
            <w:tcBorders>
              <w:bottom w:val="single" w:sz="8" w:color="auto"/>
            </w:tcBorders>
            <w:gridSpan w:val="3"/>
          </w:tcPr>
          <w:p>
            <w:pPr>
              <w:jc w:val="right"/>
              <w:ind w:right="524"/>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504"/>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125"/>
              <w:spacing w:after="0" w:line="139" w:lineRule="exact"/>
              <w:rPr>
                <w:sz w:val="20"/>
                <w:szCs w:val="20"/>
                <w:color w:val="auto"/>
              </w:rPr>
            </w:pPr>
            <w:r>
              <w:rPr>
                <w:rFonts w:ascii="Arial" w:cs="Arial" w:eastAsia="Arial" w:hAnsi="Arial"/>
                <w:sz w:val="14"/>
                <w:szCs w:val="14"/>
                <w:b w:val="1"/>
                <w:bCs w:val="1"/>
                <w:color w:val="auto"/>
                <w:w w:val="99"/>
              </w:rPr>
              <w:t>Additional</w:t>
            </w:r>
          </w:p>
        </w:tc>
        <w:tc>
          <w:tcPr>
            <w:tcW w:w="220" w:type="dxa"/>
            <w:vAlign w:val="bottom"/>
          </w:tcPr>
          <w:p>
            <w:pPr>
              <w:spacing w:after="0"/>
              <w:rPr>
                <w:sz w:val="12"/>
                <w:szCs w:val="12"/>
                <w:color w:val="auto"/>
              </w:rPr>
            </w:pPr>
          </w:p>
        </w:tc>
        <w:tc>
          <w:tcPr>
            <w:tcW w:w="118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w w:val="95"/>
              </w:rPr>
              <w:t>Accumulated</w:t>
            </w:r>
          </w:p>
        </w:tc>
        <w:tc>
          <w:tcPr>
            <w:tcW w:w="100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Total</w:t>
            </w: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900" w:type="dxa"/>
            <w:vAlign w:val="bottom"/>
          </w:tcPr>
          <w:p>
            <w:pPr>
              <w:jc w:val="right"/>
              <w:ind w:right="245"/>
              <w:spacing w:after="0" w:line="14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Deficit</w:t>
            </w:r>
          </w:p>
        </w:tc>
        <w:tc>
          <w:tcPr>
            <w:tcW w:w="10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Arial" w:cs="Arial" w:eastAsia="Arial" w:hAnsi="Arial"/>
                <w:sz w:val="13"/>
                <w:szCs w:val="13"/>
                <w:b w:val="1"/>
                <w:bCs w:val="1"/>
                <w:i w:val="1"/>
                <w:iCs w:val="1"/>
                <w:color w:val="auto"/>
                <w:w w:val="87"/>
              </w:rPr>
              <w:t>(in thousands)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2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2019</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402,326</w:t>
            </w: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15,677</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157</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rPr>
              <w:t>1,177,984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(592,654)</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2,641</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(183,161)</w:t>
            </w:r>
          </w:p>
        </w:tc>
        <w:tc>
          <w:tcPr>
            <w:tcW w:w="0" w:type="dxa"/>
            <w:vAlign w:val="bottom"/>
          </w:tcPr>
          <w:p>
            <w:pPr>
              <w:spacing w:after="0"/>
              <w:rPr>
                <w:sz w:val="1"/>
                <w:szCs w:val="1"/>
                <w:color w:val="auto"/>
              </w:rPr>
            </w:pPr>
          </w:p>
        </w:tc>
      </w:tr>
      <w:tr>
        <w:trPr>
          <w:trHeight w:val="208"/>
        </w:trPr>
        <w:tc>
          <w:tcPr>
            <w:tcW w:w="3280" w:type="dxa"/>
            <w:vAlign w:val="bottom"/>
          </w:tcPr>
          <w:p>
            <w:pPr>
              <w:ind w:left="180"/>
              <w:spacing w:after="0"/>
              <w:rPr>
                <w:sz w:val="20"/>
                <w:szCs w:val="20"/>
                <w:color w:val="auto"/>
              </w:rPr>
            </w:pPr>
            <w:r>
              <w:rPr>
                <w:rFonts w:ascii="Arial" w:cs="Arial" w:eastAsia="Arial" w:hAnsi="Arial"/>
                <w:sz w:val="15"/>
                <w:szCs w:val="15"/>
                <w:color w:val="auto"/>
              </w:rPr>
              <w:t>Net income and comprehensive income</w:t>
            </w:r>
          </w:p>
        </w:tc>
        <w:tc>
          <w:tcPr>
            <w:tcW w:w="220" w:type="dxa"/>
            <w:vAlign w:val="bottom"/>
          </w:tcPr>
          <w:p>
            <w:pPr>
              <w:spacing w:after="0"/>
              <w:rPr>
                <w:sz w:val="18"/>
                <w:szCs w:val="18"/>
                <w:color w:val="auto"/>
              </w:rPr>
            </w:pPr>
          </w:p>
        </w:tc>
        <w:tc>
          <w:tcPr>
            <w:tcW w:w="940" w:type="dxa"/>
            <w:vAlign w:val="bottom"/>
            <w:vMerge w:val="restart"/>
          </w:tcPr>
          <w:p>
            <w:pPr>
              <w:jc w:val="right"/>
              <w:ind w:right="164"/>
              <w:spacing w:after="0"/>
              <w:rPr>
                <w:sz w:val="20"/>
                <w:szCs w:val="20"/>
                <w:color w:val="auto"/>
              </w:rPr>
            </w:pPr>
            <w:r>
              <w:rPr>
                <w:rFonts w:ascii="Arial" w:cs="Arial" w:eastAsia="Arial" w:hAnsi="Arial"/>
                <w:sz w:val="15"/>
                <w:szCs w:val="15"/>
                <w:color w:val="auto"/>
              </w:rPr>
              <w:t>14,401</w:t>
            </w:r>
          </w:p>
        </w:tc>
        <w:tc>
          <w:tcPr>
            <w:tcW w:w="104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80" w:type="dxa"/>
            <w:vAlign w:val="bottom"/>
            <w:vMerge w:val="restart"/>
          </w:tcPr>
          <w:p>
            <w:pPr>
              <w:jc w:val="right"/>
              <w:ind w:right="144"/>
              <w:spacing w:after="0"/>
              <w:rPr>
                <w:sz w:val="20"/>
                <w:szCs w:val="20"/>
                <w:color w:val="auto"/>
              </w:rPr>
            </w:pPr>
            <w:r>
              <w:rPr>
                <w:rFonts w:ascii="Arial" w:cs="Arial" w:eastAsia="Arial" w:hAnsi="Arial"/>
                <w:sz w:val="15"/>
                <w:szCs w:val="15"/>
                <w:color w:val="auto"/>
              </w:rPr>
              <w:t>14,401</w:t>
            </w:r>
          </w:p>
        </w:tc>
        <w:tc>
          <w:tcPr>
            <w:tcW w:w="10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11,917</w:t>
            </w:r>
          </w:p>
        </w:tc>
        <w:tc>
          <w:tcPr>
            <w:tcW w:w="10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11,917</w:t>
            </w:r>
          </w:p>
        </w:tc>
        <w:tc>
          <w:tcPr>
            <w:tcW w:w="2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32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180"/>
              <w:spacing w:after="0"/>
              <w:rPr>
                <w:sz w:val="20"/>
                <w:szCs w:val="20"/>
                <w:color w:val="auto"/>
              </w:rPr>
            </w:pPr>
            <w:r>
              <w:rPr>
                <w:rFonts w:ascii="Arial" w:cs="Arial" w:eastAsia="Arial" w:hAnsi="Arial"/>
                <w:sz w:val="15"/>
                <w:szCs w:val="15"/>
                <w:color w:val="auto"/>
              </w:rPr>
              <w:t>Issuance of common stock for stock options,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80"/>
              <w:spacing w:after="0" w:line="162" w:lineRule="exact"/>
              <w:rPr>
                <w:sz w:val="20"/>
                <w:szCs w:val="20"/>
                <w:color w:val="auto"/>
              </w:rPr>
            </w:pPr>
            <w:r>
              <w:rPr>
                <w:rFonts w:ascii="Arial" w:cs="Arial" w:eastAsia="Arial" w:hAnsi="Arial"/>
                <w:sz w:val="15"/>
                <w:szCs w:val="15"/>
                <w:color w:val="auto"/>
                <w:w w:val="93"/>
              </w:rPr>
              <w:t>restricted stock awards and restricted stock units,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rPr>
                <w:sz w:val="20"/>
                <w:szCs w:val="20"/>
                <w:color w:val="auto"/>
              </w:rPr>
            </w:pPr>
            <w:r>
              <w:rPr>
                <w:rFonts w:ascii="Arial" w:cs="Arial" w:eastAsia="Arial" w:hAnsi="Arial"/>
                <w:sz w:val="15"/>
                <w:szCs w:val="15"/>
                <w:color w:val="auto"/>
              </w:rPr>
              <w:t>net of withholding taxes</w:t>
            </w:r>
          </w:p>
        </w:tc>
        <w:tc>
          <w:tcPr>
            <w:tcW w:w="220" w:type="dxa"/>
            <w:vAlign w:val="bottom"/>
          </w:tcPr>
          <w:p>
            <w:pPr>
              <w:spacing w:after="0"/>
              <w:rPr>
                <w:sz w:val="17"/>
                <w:szCs w:val="17"/>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(5,087)</w:t>
            </w: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27</w:t>
            </w:r>
          </w:p>
        </w:tc>
        <w:tc>
          <w:tcPr>
            <w:tcW w:w="28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(5,087)</w:t>
            </w:r>
          </w:p>
        </w:tc>
        <w:tc>
          <w:tcPr>
            <w:tcW w:w="220" w:type="dxa"/>
            <w:vAlign w:val="bottom"/>
          </w:tcPr>
          <w:p>
            <w:pPr>
              <w:spacing w:after="0"/>
              <w:rPr>
                <w:sz w:val="17"/>
                <w:szCs w:val="17"/>
                <w:color w:val="auto"/>
              </w:rPr>
            </w:pPr>
          </w:p>
        </w:tc>
        <w:tc>
          <w:tcPr>
            <w:tcW w:w="118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8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rPr>
              <w:t>1</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3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March 31, 2020</w:t>
            </w: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423,557</w:t>
            </w:r>
          </w:p>
        </w:tc>
        <w:tc>
          <w:tcPr>
            <w:tcW w:w="10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15,704</w:t>
            </w:r>
          </w:p>
        </w:tc>
        <w:tc>
          <w:tcPr>
            <w:tcW w:w="2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157</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1,184,813</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(578,252)</w:t>
            </w:r>
          </w:p>
        </w:tc>
        <w:tc>
          <w:tcPr>
            <w:tcW w:w="10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2,641</w:t>
            </w:r>
          </w:p>
        </w:tc>
        <w:tc>
          <w:tcPr>
            <w:tcW w:w="2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(183,161)</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loss and comprehensive loss</w:t>
            </w:r>
          </w:p>
        </w:tc>
        <w:tc>
          <w:tcPr>
            <w:tcW w:w="2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(29,757)</w:t>
            </w:r>
          </w:p>
        </w:tc>
        <w:tc>
          <w:tcPr>
            <w:tcW w:w="10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(29,757)</w:t>
            </w:r>
          </w:p>
        </w:tc>
        <w:tc>
          <w:tcPr>
            <w:tcW w:w="10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32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280" w:type="dxa"/>
            <w:vAlign w:val="bottom"/>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tcPr>
          <w:p>
            <w:pPr>
              <w:spacing w:after="0"/>
              <w:rPr>
                <w:sz w:val="18"/>
                <w:szCs w:val="18"/>
                <w:color w:val="auto"/>
              </w:rPr>
            </w:pPr>
          </w:p>
        </w:tc>
        <w:tc>
          <w:tcPr>
            <w:tcW w:w="940" w:type="dxa"/>
            <w:vAlign w:val="bottom"/>
            <w:vMerge w:val="restart"/>
          </w:tcPr>
          <w:p>
            <w:pPr>
              <w:jc w:val="right"/>
              <w:ind w:right="164"/>
              <w:spacing w:after="0"/>
              <w:rPr>
                <w:sz w:val="20"/>
                <w:szCs w:val="20"/>
                <w:color w:val="auto"/>
              </w:rPr>
            </w:pPr>
            <w:r>
              <w:rPr>
                <w:rFonts w:ascii="Arial" w:cs="Arial" w:eastAsia="Arial" w:hAnsi="Arial"/>
                <w:sz w:val="15"/>
                <w:szCs w:val="15"/>
                <w:color w:val="auto"/>
              </w:rPr>
              <w:t>13,158</w:t>
            </w:r>
          </w:p>
        </w:tc>
        <w:tc>
          <w:tcPr>
            <w:tcW w:w="104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vMerge w:val="restart"/>
          </w:tcPr>
          <w:p>
            <w:pPr>
              <w:jc w:val="right"/>
              <w:ind w:right="65"/>
              <w:spacing w:after="0"/>
              <w:rPr>
                <w:sz w:val="20"/>
                <w:szCs w:val="20"/>
                <w:color w:val="auto"/>
              </w:rPr>
            </w:pPr>
            <w:r>
              <w:rPr>
                <w:rFonts w:ascii="Arial" w:cs="Arial" w:eastAsia="Arial" w:hAnsi="Arial"/>
                <w:sz w:val="15"/>
                <w:szCs w:val="15"/>
                <w:color w:val="auto"/>
              </w:rPr>
              <w:t>13,158</w:t>
            </w:r>
          </w:p>
        </w:tc>
        <w:tc>
          <w:tcPr>
            <w:tcW w:w="220" w:type="dxa"/>
            <w:vAlign w:val="bottom"/>
          </w:tcPr>
          <w:p>
            <w:pPr>
              <w:spacing w:after="0"/>
              <w:rPr>
                <w:sz w:val="18"/>
                <w:szCs w:val="18"/>
                <w:color w:val="auto"/>
              </w:rPr>
            </w:pPr>
          </w:p>
        </w:tc>
        <w:tc>
          <w:tcPr>
            <w:tcW w:w="118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Issuance of common stock for stock options,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w w:val="93"/>
              </w:rPr>
              <w:t>restricted stock awards and restricted stock units,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net of withholding taxes</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(981)</w:t>
            </w: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27</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(981)</w:t>
            </w: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June 30, 2020</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405,977</w:t>
            </w: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15,731</w:t>
            </w:r>
          </w:p>
        </w:tc>
        <w:tc>
          <w:tcPr>
            <w:tcW w:w="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1,196,990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(608,009)</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2,641</w:t>
            </w:r>
          </w:p>
        </w:tc>
        <w:tc>
          <w:tcPr>
            <w:tcW w:w="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(183,161)</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loss and comprehensive loss</w:t>
            </w:r>
          </w:p>
        </w:tc>
        <w:tc>
          <w:tcPr>
            <w:tcW w:w="2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(24,643)</w:t>
            </w:r>
          </w:p>
        </w:tc>
        <w:tc>
          <w:tcPr>
            <w:tcW w:w="10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(24,643)</w:t>
            </w:r>
          </w:p>
        </w:tc>
        <w:tc>
          <w:tcPr>
            <w:tcW w:w="10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32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280" w:type="dxa"/>
            <w:vAlign w:val="bottom"/>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tcPr>
          <w:p>
            <w:pPr>
              <w:spacing w:after="0"/>
              <w:rPr>
                <w:sz w:val="18"/>
                <w:szCs w:val="18"/>
                <w:color w:val="auto"/>
              </w:rPr>
            </w:pPr>
          </w:p>
        </w:tc>
        <w:tc>
          <w:tcPr>
            <w:tcW w:w="940" w:type="dxa"/>
            <w:vAlign w:val="bottom"/>
            <w:vMerge w:val="restart"/>
          </w:tcPr>
          <w:p>
            <w:pPr>
              <w:jc w:val="right"/>
              <w:ind w:right="164"/>
              <w:spacing w:after="0"/>
              <w:rPr>
                <w:sz w:val="20"/>
                <w:szCs w:val="20"/>
                <w:color w:val="auto"/>
              </w:rPr>
            </w:pPr>
            <w:r>
              <w:rPr>
                <w:rFonts w:ascii="Arial" w:cs="Arial" w:eastAsia="Arial" w:hAnsi="Arial"/>
                <w:sz w:val="15"/>
                <w:szCs w:val="15"/>
                <w:color w:val="auto"/>
              </w:rPr>
              <w:t>14,161</w:t>
            </w:r>
          </w:p>
        </w:tc>
        <w:tc>
          <w:tcPr>
            <w:tcW w:w="104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vMerge w:val="restart"/>
          </w:tcPr>
          <w:p>
            <w:pPr>
              <w:jc w:val="right"/>
              <w:ind w:right="65"/>
              <w:spacing w:after="0"/>
              <w:rPr>
                <w:sz w:val="20"/>
                <w:szCs w:val="20"/>
                <w:color w:val="auto"/>
              </w:rPr>
            </w:pPr>
            <w:r>
              <w:rPr>
                <w:rFonts w:ascii="Arial" w:cs="Arial" w:eastAsia="Arial" w:hAnsi="Arial"/>
                <w:sz w:val="15"/>
                <w:szCs w:val="15"/>
                <w:color w:val="auto"/>
              </w:rPr>
              <w:t>14,161</w:t>
            </w:r>
          </w:p>
        </w:tc>
        <w:tc>
          <w:tcPr>
            <w:tcW w:w="220" w:type="dxa"/>
            <w:vAlign w:val="bottom"/>
          </w:tcPr>
          <w:p>
            <w:pPr>
              <w:spacing w:after="0"/>
              <w:rPr>
                <w:sz w:val="18"/>
                <w:szCs w:val="18"/>
                <w:color w:val="auto"/>
              </w:rPr>
            </w:pPr>
          </w:p>
        </w:tc>
        <w:tc>
          <w:tcPr>
            <w:tcW w:w="118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Issuance of common stock for stock options,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w w:val="93"/>
              </w:rPr>
              <w:t>restricted stock awards and restricted stock units,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of withholding taxes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4,646</w:t>
            </w: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28</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4,645</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3280" w:type="dxa"/>
            <w:vAlign w:val="bottom"/>
          </w:tcPr>
          <w:p>
            <w:pPr>
              <w:ind w:left="180"/>
              <w:spacing w:after="0"/>
              <w:rPr>
                <w:sz w:val="20"/>
                <w:szCs w:val="20"/>
                <w:color w:val="auto"/>
              </w:rPr>
            </w:pPr>
            <w:r>
              <w:rPr>
                <w:rFonts w:ascii="Arial" w:cs="Arial" w:eastAsia="Arial" w:hAnsi="Arial"/>
                <w:sz w:val="15"/>
                <w:szCs w:val="15"/>
                <w:color w:val="auto"/>
                <w:w w:val="95"/>
              </w:rPr>
              <w:t>Issuance of 0.50% Convertible Senior Notes, net</w:t>
            </w:r>
          </w:p>
        </w:tc>
        <w:tc>
          <w:tcPr>
            <w:tcW w:w="220" w:type="dxa"/>
            <w:vAlign w:val="bottom"/>
          </w:tcPr>
          <w:p>
            <w:pPr>
              <w:spacing w:after="0"/>
              <w:rPr>
                <w:sz w:val="18"/>
                <w:szCs w:val="18"/>
                <w:color w:val="auto"/>
              </w:rPr>
            </w:pPr>
          </w:p>
        </w:tc>
        <w:tc>
          <w:tcPr>
            <w:tcW w:w="940" w:type="dxa"/>
            <w:vAlign w:val="bottom"/>
            <w:vMerge w:val="restart"/>
          </w:tcPr>
          <w:p>
            <w:pPr>
              <w:jc w:val="right"/>
              <w:ind w:right="164"/>
              <w:spacing w:after="0"/>
              <w:rPr>
                <w:sz w:val="20"/>
                <w:szCs w:val="20"/>
                <w:color w:val="auto"/>
              </w:rPr>
            </w:pPr>
            <w:r>
              <w:rPr>
                <w:rFonts w:ascii="Arial" w:cs="Arial" w:eastAsia="Arial" w:hAnsi="Arial"/>
                <w:sz w:val="15"/>
                <w:szCs w:val="15"/>
                <w:color w:val="auto"/>
              </w:rPr>
              <w:t>116,300</w:t>
            </w:r>
          </w:p>
        </w:tc>
        <w:tc>
          <w:tcPr>
            <w:tcW w:w="104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vMerge w:val="restart"/>
          </w:tcPr>
          <w:p>
            <w:pPr>
              <w:jc w:val="right"/>
              <w:ind w:right="65"/>
              <w:spacing w:after="0"/>
              <w:rPr>
                <w:sz w:val="20"/>
                <w:szCs w:val="20"/>
                <w:color w:val="auto"/>
              </w:rPr>
            </w:pPr>
            <w:r>
              <w:rPr>
                <w:rFonts w:ascii="Arial" w:cs="Arial" w:eastAsia="Arial" w:hAnsi="Arial"/>
                <w:sz w:val="15"/>
                <w:szCs w:val="15"/>
                <w:color w:val="auto"/>
              </w:rPr>
              <w:t>116,300</w:t>
            </w:r>
          </w:p>
        </w:tc>
        <w:tc>
          <w:tcPr>
            <w:tcW w:w="220" w:type="dxa"/>
            <w:vAlign w:val="bottom"/>
          </w:tcPr>
          <w:p>
            <w:pPr>
              <w:spacing w:after="0"/>
              <w:rPr>
                <w:sz w:val="18"/>
                <w:szCs w:val="18"/>
                <w:color w:val="auto"/>
              </w:rPr>
            </w:pPr>
          </w:p>
        </w:tc>
        <w:tc>
          <w:tcPr>
            <w:tcW w:w="118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3"/>
              </w:rPr>
              <w:t>Repurchase of 0.625% Convertible Senior Notes,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(107,882)</w:t>
            </w: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(107,882)</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3280" w:type="dxa"/>
            <w:vAlign w:val="bottom"/>
          </w:tcPr>
          <w:p>
            <w:pPr>
              <w:ind w:left="180"/>
              <w:spacing w:after="0"/>
              <w:rPr>
                <w:sz w:val="20"/>
                <w:szCs w:val="20"/>
                <w:color w:val="auto"/>
              </w:rPr>
            </w:pPr>
            <w:r>
              <w:rPr>
                <w:rFonts w:ascii="Arial" w:cs="Arial" w:eastAsia="Arial" w:hAnsi="Arial"/>
                <w:sz w:val="15"/>
                <w:szCs w:val="15"/>
                <w:color w:val="auto"/>
              </w:rPr>
              <w:t>Convertible note hedge transactions</w:t>
            </w:r>
          </w:p>
        </w:tc>
        <w:tc>
          <w:tcPr>
            <w:tcW w:w="220" w:type="dxa"/>
            <w:vAlign w:val="bottom"/>
          </w:tcPr>
          <w:p>
            <w:pPr>
              <w:spacing w:after="0"/>
              <w:rPr>
                <w:sz w:val="18"/>
                <w:szCs w:val="18"/>
                <w:color w:val="auto"/>
              </w:rPr>
            </w:pPr>
          </w:p>
        </w:tc>
        <w:tc>
          <w:tcPr>
            <w:tcW w:w="940" w:type="dxa"/>
            <w:vAlign w:val="bottom"/>
            <w:vMerge w:val="restart"/>
          </w:tcPr>
          <w:p>
            <w:pPr>
              <w:jc w:val="right"/>
              <w:ind w:right="124"/>
              <w:spacing w:after="0"/>
              <w:rPr>
                <w:sz w:val="20"/>
                <w:szCs w:val="20"/>
                <w:color w:val="auto"/>
              </w:rPr>
            </w:pPr>
            <w:r>
              <w:rPr>
                <w:rFonts w:ascii="Arial" w:cs="Arial" w:eastAsia="Arial" w:hAnsi="Arial"/>
                <w:sz w:val="15"/>
                <w:szCs w:val="15"/>
                <w:color w:val="auto"/>
              </w:rPr>
              <w:t>(14,379)</w:t>
            </w:r>
          </w:p>
        </w:tc>
        <w:tc>
          <w:tcPr>
            <w:tcW w:w="104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vMerge w:val="restart"/>
          </w:tcPr>
          <w:p>
            <w:pPr>
              <w:jc w:val="right"/>
              <w:ind w:right="25"/>
              <w:spacing w:after="0"/>
              <w:rPr>
                <w:sz w:val="20"/>
                <w:szCs w:val="20"/>
                <w:color w:val="auto"/>
              </w:rPr>
            </w:pPr>
            <w:r>
              <w:rPr>
                <w:rFonts w:ascii="Arial" w:cs="Arial" w:eastAsia="Arial" w:hAnsi="Arial"/>
                <w:sz w:val="15"/>
                <w:szCs w:val="15"/>
                <w:color w:val="auto"/>
              </w:rPr>
              <w:t>(14,379)</w:t>
            </w:r>
          </w:p>
        </w:tc>
        <w:tc>
          <w:tcPr>
            <w:tcW w:w="220" w:type="dxa"/>
            <w:vAlign w:val="bottom"/>
          </w:tcPr>
          <w:p>
            <w:pPr>
              <w:spacing w:after="0"/>
              <w:rPr>
                <w:sz w:val="18"/>
                <w:szCs w:val="18"/>
                <w:color w:val="auto"/>
              </w:rPr>
            </w:pPr>
          </w:p>
        </w:tc>
        <w:tc>
          <w:tcPr>
            <w:tcW w:w="118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Warrant transactions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rPr>
              <w:t>(33,171)</w:t>
            </w:r>
          </w:p>
        </w:tc>
        <w:tc>
          <w:tcPr>
            <w:tcW w:w="10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(33,171)</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3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September 30, 2020</w:t>
            </w: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361,009</w:t>
            </w:r>
          </w:p>
        </w:tc>
        <w:tc>
          <w:tcPr>
            <w:tcW w:w="10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15,759</w:t>
            </w:r>
          </w:p>
        </w:tc>
        <w:tc>
          <w:tcPr>
            <w:tcW w:w="2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158</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1,176,664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(632,652)</w:t>
            </w:r>
          </w:p>
        </w:tc>
        <w:tc>
          <w:tcPr>
            <w:tcW w:w="10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2,641</w:t>
            </w:r>
          </w:p>
        </w:tc>
        <w:tc>
          <w:tcPr>
            <w:tcW w:w="2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(183,161)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60" w:type="dxa"/>
            <w:vAlign w:val="bottom"/>
            <w:tcBorders>
              <w:bottom w:val="single" w:sz="8" w:color="auto"/>
            </w:tcBorders>
            <w:gridSpan w:val="3"/>
          </w:tcPr>
          <w:p>
            <w:pPr>
              <w:jc w:val="right"/>
              <w:ind w:right="524"/>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504"/>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125"/>
              <w:spacing w:after="0" w:line="139" w:lineRule="exact"/>
              <w:rPr>
                <w:sz w:val="20"/>
                <w:szCs w:val="20"/>
                <w:color w:val="auto"/>
              </w:rPr>
            </w:pPr>
            <w:r>
              <w:rPr>
                <w:rFonts w:ascii="Arial" w:cs="Arial" w:eastAsia="Arial" w:hAnsi="Arial"/>
                <w:sz w:val="14"/>
                <w:szCs w:val="14"/>
                <w:b w:val="1"/>
                <w:bCs w:val="1"/>
                <w:color w:val="auto"/>
                <w:w w:val="99"/>
              </w:rPr>
              <w:t>Additional</w:t>
            </w:r>
          </w:p>
        </w:tc>
        <w:tc>
          <w:tcPr>
            <w:tcW w:w="220" w:type="dxa"/>
            <w:vAlign w:val="bottom"/>
          </w:tcPr>
          <w:p>
            <w:pPr>
              <w:spacing w:after="0"/>
              <w:rPr>
                <w:sz w:val="12"/>
                <w:szCs w:val="12"/>
                <w:color w:val="auto"/>
              </w:rPr>
            </w:pPr>
          </w:p>
        </w:tc>
        <w:tc>
          <w:tcPr>
            <w:tcW w:w="118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w w:val="95"/>
              </w:rPr>
              <w:t>Accumulated</w:t>
            </w:r>
          </w:p>
        </w:tc>
        <w:tc>
          <w:tcPr>
            <w:tcW w:w="100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Total</w:t>
            </w: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900" w:type="dxa"/>
            <w:vAlign w:val="bottom"/>
          </w:tcPr>
          <w:p>
            <w:pPr>
              <w:jc w:val="right"/>
              <w:ind w:right="245"/>
              <w:spacing w:after="0" w:line="14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Deficit</w:t>
            </w:r>
          </w:p>
        </w:tc>
        <w:tc>
          <w:tcPr>
            <w:tcW w:w="10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Arial" w:cs="Arial" w:eastAsia="Arial" w:hAnsi="Arial"/>
                <w:sz w:val="13"/>
                <w:szCs w:val="13"/>
                <w:b w:val="1"/>
                <w:bCs w:val="1"/>
                <w:i w:val="1"/>
                <w:iCs w:val="1"/>
                <w:color w:val="auto"/>
                <w:w w:val="87"/>
              </w:rPr>
              <w:t>(in thousands)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2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2018</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346,208</w:t>
            </w: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15,428</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154</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rPr>
              <w:t>1,134,227</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(610,482)</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2,618</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(177,691)</w:t>
            </w:r>
          </w:p>
        </w:tc>
        <w:tc>
          <w:tcPr>
            <w:tcW w:w="0" w:type="dxa"/>
            <w:vAlign w:val="bottom"/>
          </w:tcPr>
          <w:p>
            <w:pPr>
              <w:spacing w:after="0"/>
              <w:rPr>
                <w:sz w:val="1"/>
                <w:szCs w:val="1"/>
                <w:color w:val="auto"/>
              </w:rPr>
            </w:pPr>
          </w:p>
        </w:tc>
      </w:tr>
      <w:tr>
        <w:trPr>
          <w:trHeight w:val="208"/>
        </w:trPr>
        <w:tc>
          <w:tcPr>
            <w:tcW w:w="3280" w:type="dxa"/>
            <w:vAlign w:val="bottom"/>
          </w:tcPr>
          <w:p>
            <w:pPr>
              <w:ind w:left="180"/>
              <w:spacing w:after="0"/>
              <w:rPr>
                <w:sz w:val="20"/>
                <w:szCs w:val="20"/>
                <w:color w:val="auto"/>
              </w:rPr>
            </w:pPr>
            <w:r>
              <w:rPr>
                <w:rFonts w:ascii="Arial" w:cs="Arial" w:eastAsia="Arial" w:hAnsi="Arial"/>
                <w:sz w:val="15"/>
                <w:szCs w:val="15"/>
                <w:color w:val="auto"/>
              </w:rPr>
              <w:t>Net loss and comprehensive loss</w:t>
            </w:r>
          </w:p>
        </w:tc>
        <w:tc>
          <w:tcPr>
            <w:tcW w:w="220" w:type="dxa"/>
            <w:vAlign w:val="bottom"/>
          </w:tcPr>
          <w:p>
            <w:pPr>
              <w:spacing w:after="0"/>
              <w:rPr>
                <w:sz w:val="18"/>
                <w:szCs w:val="18"/>
                <w:color w:val="auto"/>
              </w:rPr>
            </w:pPr>
          </w:p>
        </w:tc>
        <w:tc>
          <w:tcPr>
            <w:tcW w:w="940" w:type="dxa"/>
            <w:vAlign w:val="bottom"/>
            <w:vMerge w:val="restart"/>
          </w:tcPr>
          <w:p>
            <w:pPr>
              <w:jc w:val="right"/>
              <w:ind w:right="124"/>
              <w:spacing w:after="0"/>
              <w:rPr>
                <w:sz w:val="20"/>
                <w:szCs w:val="20"/>
                <w:color w:val="auto"/>
              </w:rPr>
            </w:pPr>
            <w:r>
              <w:rPr>
                <w:rFonts w:ascii="Arial" w:cs="Arial" w:eastAsia="Arial" w:hAnsi="Arial"/>
                <w:sz w:val="15"/>
                <w:szCs w:val="15"/>
                <w:color w:val="auto"/>
              </w:rPr>
              <w:t>(512)</w:t>
            </w:r>
          </w:p>
        </w:tc>
        <w:tc>
          <w:tcPr>
            <w:tcW w:w="104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80" w:type="dxa"/>
            <w:vAlign w:val="bottom"/>
            <w:vMerge w:val="restart"/>
          </w:tcPr>
          <w:p>
            <w:pPr>
              <w:jc w:val="right"/>
              <w:ind w:right="104"/>
              <w:spacing w:after="0"/>
              <w:rPr>
                <w:sz w:val="20"/>
                <w:szCs w:val="20"/>
                <w:color w:val="auto"/>
              </w:rPr>
            </w:pPr>
            <w:r>
              <w:rPr>
                <w:rFonts w:ascii="Arial" w:cs="Arial" w:eastAsia="Arial" w:hAnsi="Arial"/>
                <w:sz w:val="15"/>
                <w:szCs w:val="15"/>
                <w:color w:val="auto"/>
              </w:rPr>
              <w:t>(512)</w:t>
            </w:r>
          </w:p>
        </w:tc>
        <w:tc>
          <w:tcPr>
            <w:tcW w:w="10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14,053</w:t>
            </w:r>
          </w:p>
        </w:tc>
        <w:tc>
          <w:tcPr>
            <w:tcW w:w="10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14,053</w:t>
            </w:r>
          </w:p>
        </w:tc>
        <w:tc>
          <w:tcPr>
            <w:tcW w:w="2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32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280" w:type="dxa"/>
            <w:vAlign w:val="bottom"/>
          </w:tcPr>
          <w:p>
            <w:pPr>
              <w:ind w:left="180"/>
              <w:spacing w:after="0"/>
              <w:rPr>
                <w:sz w:val="20"/>
                <w:szCs w:val="20"/>
                <w:color w:val="auto"/>
              </w:rPr>
            </w:pPr>
            <w:r>
              <w:rPr>
                <w:rFonts w:ascii="Arial" w:cs="Arial" w:eastAsia="Arial" w:hAnsi="Arial"/>
                <w:sz w:val="15"/>
                <w:szCs w:val="15"/>
                <w:color w:val="auto"/>
              </w:rPr>
              <w:t>Purchase of treasury stock</w:t>
            </w:r>
          </w:p>
        </w:tc>
        <w:tc>
          <w:tcPr>
            <w:tcW w:w="220" w:type="dxa"/>
            <w:vAlign w:val="bottom"/>
          </w:tcPr>
          <w:p>
            <w:pPr>
              <w:spacing w:after="0"/>
              <w:rPr>
                <w:sz w:val="18"/>
                <w:szCs w:val="18"/>
                <w:color w:val="auto"/>
              </w:rPr>
            </w:pPr>
          </w:p>
        </w:tc>
        <w:tc>
          <w:tcPr>
            <w:tcW w:w="940" w:type="dxa"/>
            <w:vAlign w:val="bottom"/>
            <w:vMerge w:val="restart"/>
          </w:tcPr>
          <w:p>
            <w:pPr>
              <w:jc w:val="right"/>
              <w:ind w:right="124"/>
              <w:spacing w:after="0"/>
              <w:rPr>
                <w:sz w:val="20"/>
                <w:szCs w:val="20"/>
                <w:color w:val="auto"/>
              </w:rPr>
            </w:pPr>
            <w:r>
              <w:rPr>
                <w:rFonts w:ascii="Arial" w:cs="Arial" w:eastAsia="Arial" w:hAnsi="Arial"/>
                <w:sz w:val="15"/>
                <w:szCs w:val="15"/>
                <w:color w:val="auto"/>
              </w:rPr>
              <w:t>(3,976)</w:t>
            </w:r>
          </w:p>
        </w:tc>
        <w:tc>
          <w:tcPr>
            <w:tcW w:w="104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8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ind w:right="44"/>
              <w:spacing w:after="0"/>
              <w:rPr>
                <w:sz w:val="20"/>
                <w:szCs w:val="20"/>
                <w:color w:val="auto"/>
              </w:rPr>
            </w:pPr>
            <w:r>
              <w:rPr>
                <w:rFonts w:ascii="Arial" w:cs="Arial" w:eastAsia="Arial" w:hAnsi="Arial"/>
                <w:sz w:val="15"/>
                <w:szCs w:val="15"/>
                <w:color w:val="auto"/>
              </w:rPr>
              <w:t>18</w:t>
            </w:r>
          </w:p>
        </w:tc>
        <w:tc>
          <w:tcPr>
            <w:tcW w:w="2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(3,976)</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Issuance of common stock for stock options,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w w:val="93"/>
              </w:rPr>
              <w:t>restricted stock awards and restricted stock units,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net of withholding taxes</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(3,585)</w:t>
            </w: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87</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(3,586)</w:t>
            </w: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March 31, 2019</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352,188</w:t>
            </w: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15,515</w:t>
            </w:r>
          </w:p>
        </w:tc>
        <w:tc>
          <w:tcPr>
            <w:tcW w:w="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1,144,694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(610,994)</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2,636</w:t>
            </w:r>
          </w:p>
        </w:tc>
        <w:tc>
          <w:tcPr>
            <w:tcW w:w="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(181,667)</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 and comprehensive income</w:t>
            </w:r>
          </w:p>
        </w:tc>
        <w:tc>
          <w:tcPr>
            <w:tcW w:w="2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12,218</w:t>
            </w:r>
          </w:p>
        </w:tc>
        <w:tc>
          <w:tcPr>
            <w:tcW w:w="10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12,218</w:t>
            </w:r>
          </w:p>
        </w:tc>
        <w:tc>
          <w:tcPr>
            <w:tcW w:w="10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32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280" w:type="dxa"/>
            <w:vAlign w:val="bottom"/>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tcPr>
          <w:p>
            <w:pPr>
              <w:spacing w:after="0"/>
              <w:rPr>
                <w:sz w:val="18"/>
                <w:szCs w:val="18"/>
                <w:color w:val="auto"/>
              </w:rPr>
            </w:pPr>
          </w:p>
        </w:tc>
        <w:tc>
          <w:tcPr>
            <w:tcW w:w="940" w:type="dxa"/>
            <w:vAlign w:val="bottom"/>
            <w:vMerge w:val="restart"/>
          </w:tcPr>
          <w:p>
            <w:pPr>
              <w:jc w:val="right"/>
              <w:ind w:right="164"/>
              <w:spacing w:after="0"/>
              <w:rPr>
                <w:sz w:val="20"/>
                <w:szCs w:val="20"/>
                <w:color w:val="auto"/>
              </w:rPr>
            </w:pPr>
            <w:r>
              <w:rPr>
                <w:rFonts w:ascii="Arial" w:cs="Arial" w:eastAsia="Arial" w:hAnsi="Arial"/>
                <w:sz w:val="15"/>
                <w:szCs w:val="15"/>
                <w:color w:val="auto"/>
              </w:rPr>
              <w:t>15,982</w:t>
            </w:r>
          </w:p>
        </w:tc>
        <w:tc>
          <w:tcPr>
            <w:tcW w:w="104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vMerge w:val="restart"/>
          </w:tcPr>
          <w:p>
            <w:pPr>
              <w:jc w:val="right"/>
              <w:ind w:right="65"/>
              <w:spacing w:after="0"/>
              <w:rPr>
                <w:sz w:val="20"/>
                <w:szCs w:val="20"/>
                <w:color w:val="auto"/>
              </w:rPr>
            </w:pPr>
            <w:r>
              <w:rPr>
                <w:rFonts w:ascii="Arial" w:cs="Arial" w:eastAsia="Arial" w:hAnsi="Arial"/>
                <w:sz w:val="15"/>
                <w:szCs w:val="15"/>
                <w:color w:val="auto"/>
              </w:rPr>
              <w:t>15,982</w:t>
            </w:r>
          </w:p>
        </w:tc>
        <w:tc>
          <w:tcPr>
            <w:tcW w:w="220" w:type="dxa"/>
            <w:vAlign w:val="bottom"/>
          </w:tcPr>
          <w:p>
            <w:pPr>
              <w:spacing w:after="0"/>
              <w:rPr>
                <w:sz w:val="18"/>
                <w:szCs w:val="18"/>
                <w:color w:val="auto"/>
              </w:rPr>
            </w:pPr>
          </w:p>
        </w:tc>
        <w:tc>
          <w:tcPr>
            <w:tcW w:w="118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Issuance of common stock for stock options,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w w:val="93"/>
              </w:rPr>
              <w:t>restricted stock awards and restricted stock units,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net of withholding taxes</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(6,501)</w:t>
            </w: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89</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(6,502)</w:t>
            </w: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June 30, 2019</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373,887</w:t>
            </w: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15,604</w:t>
            </w:r>
          </w:p>
        </w:tc>
        <w:tc>
          <w:tcPr>
            <w:tcW w:w="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1,154,174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(598,776)</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2,636</w:t>
            </w:r>
          </w:p>
        </w:tc>
        <w:tc>
          <w:tcPr>
            <w:tcW w:w="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(181,667)</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 and comprehensive income</w:t>
            </w:r>
          </w:p>
        </w:tc>
        <w:tc>
          <w:tcPr>
            <w:tcW w:w="2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4,264</w:t>
            </w:r>
          </w:p>
        </w:tc>
        <w:tc>
          <w:tcPr>
            <w:tcW w:w="10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4,264</w:t>
            </w:r>
          </w:p>
        </w:tc>
        <w:tc>
          <w:tcPr>
            <w:tcW w:w="10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32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280" w:type="dxa"/>
            <w:vAlign w:val="bottom"/>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tcPr>
          <w:p>
            <w:pPr>
              <w:spacing w:after="0"/>
              <w:rPr>
                <w:sz w:val="18"/>
                <w:szCs w:val="18"/>
                <w:color w:val="auto"/>
              </w:rPr>
            </w:pPr>
          </w:p>
        </w:tc>
        <w:tc>
          <w:tcPr>
            <w:tcW w:w="940" w:type="dxa"/>
            <w:vAlign w:val="bottom"/>
            <w:vMerge w:val="restart"/>
          </w:tcPr>
          <w:p>
            <w:pPr>
              <w:jc w:val="right"/>
              <w:ind w:right="164"/>
              <w:spacing w:after="0"/>
              <w:rPr>
                <w:sz w:val="20"/>
                <w:szCs w:val="20"/>
                <w:color w:val="auto"/>
              </w:rPr>
            </w:pPr>
            <w:r>
              <w:rPr>
                <w:rFonts w:ascii="Arial" w:cs="Arial" w:eastAsia="Arial" w:hAnsi="Arial"/>
                <w:sz w:val="15"/>
                <w:szCs w:val="15"/>
                <w:color w:val="auto"/>
              </w:rPr>
              <w:t>10,797</w:t>
            </w:r>
          </w:p>
        </w:tc>
        <w:tc>
          <w:tcPr>
            <w:tcW w:w="104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vMerge w:val="restart"/>
          </w:tcPr>
          <w:p>
            <w:pPr>
              <w:jc w:val="right"/>
              <w:ind w:right="65"/>
              <w:spacing w:after="0"/>
              <w:rPr>
                <w:sz w:val="20"/>
                <w:szCs w:val="20"/>
                <w:color w:val="auto"/>
              </w:rPr>
            </w:pPr>
            <w:r>
              <w:rPr>
                <w:rFonts w:ascii="Arial" w:cs="Arial" w:eastAsia="Arial" w:hAnsi="Arial"/>
                <w:sz w:val="15"/>
                <w:szCs w:val="15"/>
                <w:color w:val="auto"/>
              </w:rPr>
              <w:t>10,797</w:t>
            </w:r>
          </w:p>
        </w:tc>
        <w:tc>
          <w:tcPr>
            <w:tcW w:w="220" w:type="dxa"/>
            <w:vAlign w:val="bottom"/>
          </w:tcPr>
          <w:p>
            <w:pPr>
              <w:spacing w:after="0"/>
              <w:rPr>
                <w:sz w:val="18"/>
                <w:szCs w:val="18"/>
                <w:color w:val="auto"/>
              </w:rPr>
            </w:pPr>
          </w:p>
        </w:tc>
        <w:tc>
          <w:tcPr>
            <w:tcW w:w="118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Purchase of treasury stock</w:t>
            </w:r>
          </w:p>
        </w:tc>
        <w:tc>
          <w:tcPr>
            <w:tcW w:w="2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(310)</w:t>
            </w:r>
          </w:p>
        </w:tc>
        <w:tc>
          <w:tcPr>
            <w:tcW w:w="10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0" w:type="dxa"/>
            <w:vAlign w:val="bottom"/>
          </w:tcPr>
          <w:p>
            <w:pPr>
              <w:spacing w:after="0"/>
              <w:rPr>
                <w:sz w:val="1"/>
                <w:szCs w:val="1"/>
                <w:color w:val="auto"/>
              </w:rPr>
            </w:pPr>
          </w:p>
        </w:tc>
      </w:tr>
      <w:tr>
        <w:trPr>
          <w:trHeight w:val="62"/>
        </w:trPr>
        <w:tc>
          <w:tcPr>
            <w:tcW w:w="32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180"/>
              <w:spacing w:after="0"/>
              <w:rPr>
                <w:sz w:val="20"/>
                <w:szCs w:val="20"/>
                <w:color w:val="auto"/>
              </w:rPr>
            </w:pPr>
            <w:r>
              <w:rPr>
                <w:rFonts w:ascii="Arial" w:cs="Arial" w:eastAsia="Arial" w:hAnsi="Arial"/>
                <w:sz w:val="15"/>
                <w:szCs w:val="15"/>
                <w:color w:val="auto"/>
              </w:rPr>
              <w:t>Issuance of common stock for stock options,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80"/>
              <w:spacing w:after="0" w:line="162" w:lineRule="exact"/>
              <w:rPr>
                <w:sz w:val="20"/>
                <w:szCs w:val="20"/>
                <w:color w:val="auto"/>
              </w:rPr>
            </w:pPr>
            <w:r>
              <w:rPr>
                <w:rFonts w:ascii="Arial" w:cs="Arial" w:eastAsia="Arial" w:hAnsi="Arial"/>
                <w:sz w:val="15"/>
                <w:szCs w:val="15"/>
                <w:color w:val="auto"/>
                <w:w w:val="93"/>
              </w:rPr>
              <w:t>restricted stock awards and restricted stock units,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8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net of withholding taxes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626</w:t>
            </w: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31</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626</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3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September 30, 2019</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389,264</w:t>
            </w: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15,635</w:t>
            </w:r>
          </w:p>
        </w:tc>
        <w:tc>
          <w:tcPr>
            <w:tcW w:w="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rPr>
              <w:t>1,165,597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(594,512)</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2,637</w:t>
            </w:r>
          </w:p>
        </w:tc>
        <w:tc>
          <w:tcPr>
            <w:tcW w:w="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(181,977)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b w:val="1"/>
                <w:bCs w:val="1"/>
                <w:color w:val="auto"/>
              </w:rPr>
              <w:t>Net (loss) income and comprehensive (loss) income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(39,999)</w:t>
            </w:r>
          </w:p>
        </w:tc>
        <w:tc>
          <w:tcPr>
            <w:tcW w:w="5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15,970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Loss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25,550</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22,024</w:t>
            </w:r>
          </w:p>
        </w:tc>
      </w:tr>
      <w:tr>
        <w:trPr>
          <w:trHeight w:val="237"/>
        </w:trPr>
        <w:tc>
          <w:tcPr>
            <w:tcW w:w="82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(Loss) income from continuing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(14,449)</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37,994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income from continuing operations to net cash provided by operating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 attributable to continuing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Loss (gain) on impairments and disposal of assets</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686</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40,603</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41,485</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10,463</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7,737</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39,236</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40,832</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(15,489)</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(11,532)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7,711</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21,221</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Bad debt expense</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1,314</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1,865</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2,241</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Amortization of convertible debt discount</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12,429</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8,959</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7,768</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Reduction in carrying amount of ROU asset, offset by change in operating lease liabilities</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2,490</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15,541</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(50,030)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(9,733)</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11,047</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(2,670)</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Income taxes receivable</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65</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4,513</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(1,655)</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provided by operating activities attributable to continuing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96,216</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110,880</w:t>
            </w:r>
          </w:p>
        </w:tc>
      </w:tr>
      <w:tr>
        <w:trPr>
          <w:trHeight w:val="27"/>
        </w:trPr>
        <w:tc>
          <w:tcPr>
            <w:tcW w:w="8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 attributable to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(20,386)</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(15,151)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fixed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24,060</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Equity investment</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(80,000)</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ValuePenguin,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(105,578)</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Acquisition of QuoteWizard, net of cash acquired</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482</w:t>
            </w:r>
          </w:p>
        </w:tc>
      </w:tr>
      <w:tr>
        <w:trPr>
          <w:trHeight w:val="27"/>
        </w:trPr>
        <w:tc>
          <w:tcPr>
            <w:tcW w:w="8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(100,386)</w:t>
            </w:r>
          </w:p>
        </w:tc>
        <w:tc>
          <w:tcPr>
            <w:tcW w:w="5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(96,187)</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financing activities attributable to continuing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Payments related to net-share settlement of stock-based compensation, net of proceeds from exercise of stock</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w:t>
            </w:r>
          </w:p>
        </w:tc>
        <w:tc>
          <w:tcPr>
            <w:tcW w:w="5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(9,459)</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Proceeds from the issuance of 0.50% Convertible Senior Notes</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575,000</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0.625% Convertible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(233,862)</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Payment for convertible note hedge on the 0.50% Convertible Senior Notes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(124,200)</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Termination of convertible note hedge on the 0.625% Convertible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109,881</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Proceeds from the sale of warrants related to the 0.50% Convertible Senior Notes</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61,180</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Termination of warrants related to the 0.625% Convertible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(94,292)</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Net repayment of revolving credit facility</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(75,000)</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(16,398)</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Contingent consideration payments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(3,330)</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Other financing activities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197,375</w:t>
            </w:r>
          </w:p>
        </w:tc>
        <w:tc>
          <w:tcPr>
            <w:tcW w:w="5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(56,779)</w:t>
            </w:r>
          </w:p>
        </w:tc>
      </w:tr>
      <w:tr>
        <w:trPr>
          <w:trHeight w:val="236"/>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cash provided by (used in) continuing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193,205</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(42,086)</w:t>
            </w:r>
          </w:p>
        </w:tc>
      </w:tr>
      <w:tr>
        <w:trPr>
          <w:trHeight w:val="27"/>
        </w:trPr>
        <w:tc>
          <w:tcPr>
            <w:tcW w:w="8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Net cash used in operating activities attributable to discontinued operations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(66,171)</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(12,316)</w:t>
            </w:r>
          </w:p>
        </w:tc>
      </w:tr>
      <w:tr>
        <w:trPr>
          <w:trHeight w:val="27"/>
        </w:trPr>
        <w:tc>
          <w:tcPr>
            <w:tcW w:w="8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used in discontinued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(66,171)</w:t>
            </w:r>
          </w:p>
        </w:tc>
        <w:tc>
          <w:tcPr>
            <w:tcW w:w="5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(12,316)</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7"/>
              </w:rPr>
              <w:t>Net increase (decrease) in cash, cash equivalents, restricted cash and restricted cash equivalents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127,034</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(54,402)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restricted cash and restricted cash equivalents at beginning of period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60,339</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105,158</w:t>
            </w:r>
          </w:p>
        </w:tc>
      </w:tr>
      <w:tr>
        <w:trPr>
          <w:trHeight w:val="20"/>
        </w:trPr>
        <w:tc>
          <w:tcPr>
            <w:tcW w:w="8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w w:val="98"/>
              </w:rPr>
              <w:t>Cash, cash equivalents, restricted cash and restricted cash equivalents at end of period</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187,373</w:t>
            </w:r>
          </w:p>
        </w:tc>
        <w:tc>
          <w:tcPr>
            <w:tcW w:w="5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50,756</w:t>
            </w:r>
          </w:p>
        </w:tc>
      </w:tr>
      <w:tr>
        <w:trPr>
          <w:trHeight w:val="34"/>
        </w:trPr>
        <w:tc>
          <w:tcPr>
            <w:tcW w:w="7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Non-cash investing activities:</w:t>
            </w:r>
          </w:p>
        </w:tc>
        <w:tc>
          <w:tcPr>
            <w:tcW w:w="1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additions from tenant improvement allowance</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1,490</w:t>
            </w:r>
          </w:p>
        </w:tc>
      </w:tr>
      <w:tr>
        <w:trPr>
          <w:trHeight w:val="27"/>
        </w:trPr>
        <w:tc>
          <w:tcPr>
            <w:tcW w:w="7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currently the parent of LendingTree, LLC and several companies owned by LendingTree, LLC (collectively, "LendingTree" or the "Company").</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except Home Loan Center, Inc. ("HLC") subsequent to its bankruptcy filing on July 21, 2019 which resulted in the Company's loss of a controlling interest in HLC under applicable accounting standards. Intercompany transactions and accounts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LendingTree Loans business, which consisted of originating various consumer mortgage loans through HLC (the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18</w:t>
      </w:r>
      <w:r>
        <w:rPr>
          <w:rFonts w:ascii="Arial" w:cs="Arial" w:eastAsia="Arial" w:hAnsi="Arial"/>
          <w:sz w:val="18"/>
          <w:szCs w:val="18"/>
          <w:b w:val="1"/>
          <w:bCs w:val="1"/>
          <w:color w:val="auto"/>
        </w:rPr>
        <w:t>—</w:t>
      </w:r>
      <w:r>
        <w:rPr>
          <w:rFonts w:ascii="Arial" w:cs="Arial" w:eastAsia="Arial" w:hAnsi="Arial"/>
          <w:sz w:val="18"/>
          <w:szCs w:val="18"/>
          <w:color w:val="auto"/>
        </w:rPr>
        <w:t>Discontinued Operations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accompanying unaudited interim consolidated financial statements as of September 30, 2020 and for the three and nine months ended September 30, 2020 and 2019,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nine months ended September 30, 2020 are not necessarily indicative of the results to be expected for the year ending December 31, 2020, or any other period. The accompanying consolidated balance sheet as of December 31, 2019 was derived from audited financial statements included in the Company's annual report on Form 10-K for the year ended December 31, 2019 (the "2019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2019 Annual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HLC ownership related claims; contract assets; various other</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allowances, reserves and accruals; assumptions related to the determination of stock-based compensation; and the determination of right-of-use assets and lease liabilities.</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considered the impact of COVID-19 on the assumptions and estimates used when preparing its quarterly financial statements including, but not limited to, our allowance for doubtful accounts, valuation allowances, contract asset and contingent consideration. These assumptions and estimates may change as new events occur and additional information is obtained. If economic conditions caused by COVID-19 do not recover as currently estimated by management, such future changes may have an adverse impact on the Company's results of operations, financial position and liquidity.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Financial instruments, which potentially subject the Company to concentration of credit risk at September 30, 2020,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fluctuations may negatively impact future revenue from the Company's marketplace.</w:t>
      </w:r>
    </w:p>
    <w:p>
      <w:pPr>
        <w:spacing w:after="0" w:line="14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services.</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than a support services office in India, the Company's operations are geographically limited to and dependent upon the economic condition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August 2018, the Financial Accounting Standards Board ("FASB") issued Accounting Standards Update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annual and interim reporting periods beginning after December 15, 2019. The amendments should be applied either retrospectively or prospectively to all implementation costs incurred after the date of adoption. The Company adopted ASU 2018-15 in the first quarter of 2020 using the prospective approach. Subsequent to the adoption of this ASU, capitalizable implementation costs incurred in a hosting arrangement that is a service contract are recorded within prepaid and other current assets and other non-current assets on the consolidated balance sheet. The expense related to these capitalized implementation costs are included within general and administrative expense on the consolidated statement of operations and comprehensive income. The adoption of ASU 2018-15 did not have a material impact on the consolidated financial statements as of September 30, 2020 and for the three and nine months ended September 30, 2020.</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August 2018, the FASB issued ASU 2018-13, which removes, modifies and adds certain disclosure requirements in Accounting Standards Codification ("ASC") Topic 820, Fair Value Measurement. This ASU is effective for annual and interim reporting periods beginning after December 15, 2019. Certain amendments must be applied prospectively while others are to be applied on a retrospective basis to all periods presented. The Company adopted ASU 2018-13 in the first quarter of 2020.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16—Fair Value Measurements.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2017, the FASB issued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The Company adopted ASU 2017-04 in the first quarter of 2020.</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2016, the FASB issued ASU 2016-13, which requires entities to measure expected credit losses for financial assets held at the reporting date based on historical experience, current conditions, and reasonable and supportable forecasts. This ASU introduces ASC Topic 326, Financial Instruments— Credit Losses, which replaces the existing incurred loss model and is applicable to financial assets measured at amortized cost, including trade receivables and certain other financial assets that have the contractual right to receive cash. ASC Topic 326 is effective for annual and interim reporting periods beginning after December 15, 2019. The guidance must be adopted using a modified retrospective transition. The Company adopted ASC Topic 326 as of January 1, 2020, which did not result in any cumulative effect adjustment to the opening balance of accumulated deficit in the period of adoption.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August 2020, the FASB issued ASU 2020-06, which simplifies the accounting for convertible instruments, amends the derivatives scope exception guidance for contracts in an entity’s own equity, and amends the related earnings-per-share guidance. This ASU is effective for annual and interim reporting periods beginning after December 15, 2021. Early adoption is permitted for fiscal years beginning after December 15, 2020, including adoption in interim periods. An entity should adopt the guidance as of the beginning of its annual fiscal year. An entity may adopt the amendments through either a modified retrospective method of transition or a fully retrospective method of transition. The Company expects the amendments to impact its convertible senior notes and warrants issued, and is evaluating the impact this ASU will have on its consolidated financial statements and whether to early adopt.</w:t>
      </w:r>
    </w:p>
    <w:p>
      <w:pPr>
        <w:spacing w:after="0" w:line="1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December 2019, the FASB issued ASU 2019-12, which simplifies the accounting for income taxes by removing certain exceptions to the general principles in ASC Topic 740, Income Taxes, and clarifies certain aspects of the current guidance to improve consistency among reporting entities. This ASU is effective for annual and interim reporting periods beginning after December 15, 2020. Early adoption is permitted, including adoption in interim periods. Entities electing early adoption must adopt all amendments in the same period. Most amendments must be applied prospectively while others are to be applied on a retrospective basis for all periods presented or a modified retrospective basis through a cumulative-effect adjustment to retained earnings as of the beginning of the fiscal year of adoption. The Company is evaluating the impact this ASU will have on its consolidated financial statements and will adopt ASU 2019-12 in the first quarter of 2021.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3"/>
        </w:trPr>
        <w:tc>
          <w:tcPr>
            <w:tcW w:w="64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78,859</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232,156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212,458</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Credit cards</w:t>
            </w: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6,656</w:t>
            </w:r>
          </w:p>
        </w:tc>
        <w:tc>
          <w:tcPr>
            <w:tcW w:w="5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54,822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65,436</w:t>
            </w:r>
          </w:p>
        </w:tc>
        <w:tc>
          <w:tcPr>
            <w:tcW w:w="5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165,373</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Personal loans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12,505</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52,841</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117,513</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Other Consumer</w:t>
            </w: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29,216</w:t>
            </w:r>
          </w:p>
        </w:tc>
        <w:tc>
          <w:tcPr>
            <w:tcW w:w="5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53,234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87,142</w:t>
            </w:r>
          </w:p>
        </w:tc>
        <w:tc>
          <w:tcPr>
            <w:tcW w:w="5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118,735</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Consumer</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48,377</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151,929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205,419</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401,621</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Insurance</w:t>
            </w: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92,500</w:t>
            </w:r>
          </w:p>
        </w:tc>
        <w:tc>
          <w:tcPr>
            <w:tcW w:w="5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74,849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248,156</w:t>
            </w:r>
          </w:p>
        </w:tc>
        <w:tc>
          <w:tcPr>
            <w:tcW w:w="5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213,882</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515</w:t>
            </w:r>
          </w:p>
        </w:tc>
        <w:tc>
          <w:tcPr>
            <w:tcW w:w="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1,930</w:t>
            </w:r>
          </w:p>
        </w:tc>
        <w:tc>
          <w:tcPr>
            <w:tcW w:w="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23,455</w:t>
            </w:r>
          </w:p>
        </w:tc>
      </w:tr>
      <w:tr>
        <w:trPr>
          <w:trHeight w:val="237"/>
        </w:trPr>
        <w:tc>
          <w:tcPr>
            <w:tcW w:w="642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220,251</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2"/>
              </w:rPr>
              <w:t>310,605</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687,661</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2"/>
              </w:rPr>
              <w:t>851,416</w:t>
            </w:r>
          </w:p>
        </w:tc>
      </w:tr>
      <w:tr>
        <w:trPr>
          <w:trHeight w:val="34"/>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are derived from consumers in the Company's credit services product. Upfront fees paid by consumers are recognized as revenue over the estimated time the consumer will remain a customer and receive services. Subscription fees are recognized over the period a consumer is receiving services.</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contract asset recorded within prepaid and other current assets on the consolidated balance sheets related to estimated variable consideration was $6.1 million and $6.5 million at September 30, 2020 and December 31, 2019, respectively.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contract liability recorded within accrued expenses and other current liabilities on the consolidated balance sheets related to upfront fees paid by consumers in the Company's Consumer business was $0.9 million and $0.6 million at September 30, 2020 and December 31, 2019, respectively. During the first nine months of 2020, the Company recognized revenue of $0.6 million that was included in the contract liability balance at December 31, 2019. During the first nine months of 2019, the Company recognized revenue of $0.4 million that was included in the contract liability balance at December 31, 2018.</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increases to such revenue from prior periods of $0.6 million and $0.9 million in the third quarters of 2020 and 2019,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w w:val="96"/>
              </w:rPr>
              <w:t>September 30,</w:t>
            </w:r>
          </w:p>
        </w:tc>
        <w:tc>
          <w:tcPr>
            <w:tcW w:w="30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187,261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60,243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Restricted cash and cash equivalents</w:t>
            </w:r>
          </w:p>
        </w:tc>
        <w:tc>
          <w:tcPr>
            <w:tcW w:w="2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96</w:t>
            </w:r>
          </w:p>
        </w:tc>
      </w:tr>
      <w:tr>
        <w:trPr>
          <w:trHeight w:val="27"/>
        </w:trPr>
        <w:tc>
          <w:tcPr>
            <w:tcW w:w="8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187,373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60,339</w:t>
            </w:r>
          </w:p>
        </w:tc>
      </w:tr>
      <w:tr>
        <w:trPr>
          <w:trHeight w:val="27"/>
        </w:trPr>
        <w:tc>
          <w:tcPr>
            <w:tcW w:w="8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5—ALLOWANCE FOR DOUBTFUL ACCOUNTS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allowance for doubtful accounts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140" w:type="dxa"/>
            <w:vAlign w:val="bottom"/>
            <w:gridSpan w:val="6"/>
          </w:tcPr>
          <w:p>
            <w:pPr>
              <w:ind w:left="40"/>
              <w:spacing w:after="0"/>
              <w:rPr>
                <w:sz w:val="20"/>
                <w:szCs w:val="20"/>
                <w:color w:val="auto"/>
              </w:rPr>
            </w:pPr>
            <w:r>
              <w:rPr>
                <w:rFonts w:ascii="Arial" w:cs="Arial" w:eastAsia="Arial" w:hAnsi="Arial"/>
                <w:sz w:val="14"/>
                <w:szCs w:val="14"/>
                <w:b w:val="1"/>
                <w:bCs w:val="1"/>
                <w:color w:val="auto"/>
                <w:w w:val="96"/>
              </w:rPr>
              <w:t>Three Months Ended September</w:t>
            </w:r>
          </w:p>
        </w:tc>
        <w:tc>
          <w:tcPr>
            <w:tcW w:w="300" w:type="dxa"/>
            <w:vAlign w:val="bottom"/>
          </w:tcPr>
          <w:p>
            <w:pPr>
              <w:spacing w:after="0"/>
              <w:rPr>
                <w:sz w:val="14"/>
                <w:szCs w:val="14"/>
                <w:color w:val="auto"/>
              </w:rPr>
            </w:pPr>
          </w:p>
        </w:tc>
        <w:tc>
          <w:tcPr>
            <w:tcW w:w="16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w w:val="96"/>
              </w:rPr>
              <w:t>Nine Months Ended</w:t>
            </w:r>
          </w:p>
        </w:tc>
      </w:tr>
      <w:tr>
        <w:trPr>
          <w:trHeight w:val="192"/>
        </w:trPr>
        <w:tc>
          <w:tcPr>
            <w:tcW w:w="7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4"/>
                <w:szCs w:val="14"/>
                <w:b w:val="1"/>
                <w:bCs w:val="1"/>
                <w:color w:val="auto"/>
              </w:rPr>
              <w:t>September 30,</w:t>
            </w:r>
          </w:p>
        </w:tc>
      </w:tr>
      <w:tr>
        <w:trPr>
          <w:trHeight w:val="263"/>
        </w:trPr>
        <w:tc>
          <w:tcPr>
            <w:tcW w:w="7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beginning of the period</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1,756</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1,466</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Charges to earnings</w:t>
            </w: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ind w:right="56"/>
              <w:spacing w:after="0"/>
              <w:rPr>
                <w:sz w:val="20"/>
                <w:szCs w:val="20"/>
                <w:color w:val="auto"/>
              </w:rPr>
            </w:pPr>
            <w:r>
              <w:rPr>
                <w:rFonts w:ascii="Arial" w:cs="Arial" w:eastAsia="Arial" w:hAnsi="Arial"/>
                <w:sz w:val="18"/>
                <w:szCs w:val="18"/>
                <w:color w:val="auto"/>
              </w:rPr>
              <w:t>1,314</w:t>
            </w:r>
          </w:p>
        </w:tc>
        <w:tc>
          <w:tcPr>
            <w:tcW w:w="2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1,865</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Write-off of uncollectible 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(1,152)</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Recoveries collected</w:t>
            </w: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ind w:right="56"/>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
        </w:trPr>
        <w:tc>
          <w:tcPr>
            <w:tcW w:w="7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end of the period</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1,638</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1,638</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1,823</w:t>
            </w:r>
          </w:p>
        </w:tc>
      </w:tr>
      <w:tr>
        <w:trPr>
          <w:trHeight w:val="702"/>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6—GOODWILL AND INTANGIBLE ASSETS</w:t>
            </w: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378"/>
        </w:trPr>
        <w:tc>
          <w:tcPr>
            <w:tcW w:w="7200" w:type="dxa"/>
            <w:vAlign w:val="bottom"/>
          </w:tcPr>
          <w:p>
            <w:pPr>
              <w:ind w:left="340"/>
              <w:spacing w:after="0"/>
              <w:rPr>
                <w:sz w:val="20"/>
                <w:szCs w:val="20"/>
                <w:color w:val="auto"/>
              </w:rPr>
            </w:pPr>
            <w:r>
              <w:rPr>
                <w:rFonts w:ascii="Arial" w:cs="Arial" w:eastAsia="Arial" w:hAnsi="Arial"/>
                <w:sz w:val="18"/>
                <w:szCs w:val="18"/>
                <w:color w:val="auto"/>
              </w:rPr>
              <w:t xml:space="preserve">The balance of goodwill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88"/>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24"/>
                <w:szCs w:val="24"/>
                <w:color w:val="auto"/>
              </w:rPr>
            </w:pPr>
          </w:p>
        </w:tc>
        <w:tc>
          <w:tcPr>
            <w:tcW w:w="16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2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2019</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903,227</w:t>
            </w:r>
          </w:p>
        </w:tc>
        <w:tc>
          <w:tcPr>
            <w:tcW w:w="64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903,227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(483,088)</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(483,088)</w:t>
            </w:r>
          </w:p>
        </w:tc>
      </w:tr>
      <w:tr>
        <w:trPr>
          <w:trHeight w:val="27"/>
        </w:trPr>
        <w:tc>
          <w:tcPr>
            <w:tcW w:w="7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goodwill</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c>
          <w:tcPr>
            <w:tcW w:w="64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8"/>
              </w:rPr>
              <w:t>420,139</w:t>
            </w:r>
          </w:p>
        </w:tc>
      </w:tr>
      <w:tr>
        <w:trPr>
          <w:trHeight w:val="324"/>
        </w:trPr>
        <w:tc>
          <w:tcPr>
            <w:tcW w:w="7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64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10,142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130,835</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8"/>
              </w:rPr>
              <w:t>171,438</w:t>
            </w:r>
          </w:p>
        </w:tc>
      </w:tr>
      <w:tr>
        <w:trPr>
          <w:trHeight w:val="27"/>
        </w:trPr>
        <w:tc>
          <w:tcPr>
            <w:tcW w:w="7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140,977</w:t>
            </w:r>
          </w:p>
        </w:tc>
        <w:tc>
          <w:tcPr>
            <w:tcW w:w="64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8"/>
              </w:rPr>
              <w:t>181,580</w:t>
            </w:r>
          </w:p>
        </w:tc>
      </w:tr>
      <w:tr>
        <w:trPr>
          <w:trHeight w:val="27"/>
        </w:trPr>
        <w:tc>
          <w:tcPr>
            <w:tcW w:w="7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Company's goodwill at each of September 30, 2020 and December 31, 2019 consists of $59.3 million associated with the Home segment, $166.1 million associated with the Consumer segment, and $194.7 million associated with the Insurance segment.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with indefinite lives relate to the Company's trademarks.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300" w:type="dxa"/>
            <w:vAlign w:val="bottom"/>
          </w:tcPr>
          <w:p>
            <w:pPr>
              <w:jc w:val="right"/>
              <w:ind w:right="295"/>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4"/>
                <w:szCs w:val="14"/>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116,000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(70,004)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45,996</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(17,033)</w:t>
            </w:r>
          </w:p>
        </w:tc>
        <w:tc>
          <w:tcPr>
            <w:tcW w:w="4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60,267</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17,200</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(9,062)</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Website content</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43,200</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(26,767)</w:t>
            </w:r>
          </w:p>
        </w:tc>
        <w:tc>
          <w:tcPr>
            <w:tcW w:w="4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16,433</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6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September 30, 2020</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253,705</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(122,870)</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130,835</w:t>
            </w:r>
          </w:p>
        </w:tc>
        <w:tc>
          <w:tcPr>
            <w:tcW w:w="0" w:type="dxa"/>
            <w:vAlign w:val="bottom"/>
          </w:tcPr>
          <w:p>
            <w:pPr>
              <w:spacing w:after="0"/>
              <w:rPr>
                <w:sz w:val="1"/>
                <w:szCs w:val="1"/>
                <w:color w:val="auto"/>
              </w:rPr>
            </w:pPr>
          </w:p>
        </w:tc>
      </w:tr>
      <w:tr>
        <w:trPr>
          <w:trHeight w:val="34"/>
        </w:trPr>
        <w:tc>
          <w:tcPr>
            <w:tcW w:w="6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300" w:type="dxa"/>
            <w:vAlign w:val="bottom"/>
          </w:tcPr>
          <w:p>
            <w:pPr>
              <w:jc w:val="right"/>
              <w:ind w:right="295"/>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4"/>
                <w:szCs w:val="14"/>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116,200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(48,938)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67,262</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(12,452)</w:t>
            </w:r>
          </w:p>
        </w:tc>
        <w:tc>
          <w:tcPr>
            <w:tcW w:w="4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64,848</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17,200</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(6,407)</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Website content</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51,000</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(22,467)</w:t>
            </w:r>
          </w:p>
        </w:tc>
        <w:tc>
          <w:tcPr>
            <w:tcW w:w="4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28,533</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261,705</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(90,267)</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171,438</w:t>
            </w:r>
          </w:p>
        </w:tc>
        <w:tc>
          <w:tcPr>
            <w:tcW w:w="0" w:type="dxa"/>
            <w:vAlign w:val="bottom"/>
          </w:tcPr>
          <w:p>
            <w:pPr>
              <w:spacing w:after="0"/>
              <w:rPr>
                <w:sz w:val="1"/>
                <w:szCs w:val="1"/>
                <w:color w:val="auto"/>
              </w:rPr>
            </w:pPr>
          </w:p>
        </w:tc>
      </w:tr>
      <w:tr>
        <w:trPr>
          <w:trHeight w:val="34"/>
        </w:trPr>
        <w:tc>
          <w:tcPr>
            <w:tcW w:w="6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September 30, 2020,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Amortization Expense</w:t>
            </w:r>
          </w:p>
        </w:tc>
      </w:tr>
      <w:tr>
        <w:trPr>
          <w:trHeight w:val="249"/>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12,475</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Year ending December 31, 2021</w:t>
            </w:r>
          </w:p>
        </w:tc>
        <w:tc>
          <w:tcPr>
            <w:tcW w:w="26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42,738</w:t>
            </w:r>
          </w:p>
        </w:tc>
      </w:tr>
      <w:tr>
        <w:trPr>
          <w:trHeight w:val="27"/>
        </w:trPr>
        <w:tc>
          <w:tcPr>
            <w:tcW w:w="9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2022</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25,256</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Year ending December 31, 2023</w:t>
            </w:r>
          </w:p>
        </w:tc>
        <w:tc>
          <w:tcPr>
            <w:tcW w:w="26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8,602</w:t>
            </w:r>
          </w:p>
        </w:tc>
      </w:tr>
      <w:tr>
        <w:trPr>
          <w:trHeight w:val="27"/>
        </w:trPr>
        <w:tc>
          <w:tcPr>
            <w:tcW w:w="9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2024</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6,747</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35,017</w:t>
            </w:r>
          </w:p>
        </w:tc>
      </w:tr>
      <w:tr>
        <w:trPr>
          <w:trHeight w:val="27"/>
        </w:trPr>
        <w:tc>
          <w:tcPr>
            <w:tcW w:w="9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130,835</w:t>
            </w:r>
          </w:p>
        </w:tc>
      </w:tr>
      <w:tr>
        <w:trPr>
          <w:trHeight w:val="27"/>
        </w:trPr>
        <w:tc>
          <w:tcPr>
            <w:tcW w:w="9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7—EQUITY INVESTMENT</w:t>
      </w:r>
    </w:p>
    <w:p>
      <w:pPr>
        <w:spacing w:after="0" w:line="175"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color w:val="auto"/>
        </w:rPr>
        <w:t>On February 28, 2020, the Company acquired an equity interest in Stash Financial, Inc. (“Stash”) for $80.0 million. Stash is a consumer investing and banking platform. Stash brings together banking, investing, and education into one seamless experience offering a full-suite of personal investment accounts, Traditional and Roth IRAs, custodial investment accounts, and banking services, including checking accounts and debit cards with a Stock-Back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rewards program.</w:t>
      </w:r>
    </w:p>
    <w:p>
      <w:pPr>
        <w:spacing w:after="0" w:line="1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Stash equity securities do not have a readily determinable fair value and, upon acquisition, the Company elected the measurement alternative to value its securities. The Stash equity securities will be carried at cost and subsequently marked to market upon observable market events with any gains or losses recorded in operating income in the consolidated statement of operations. As of September 30, 2020, there have been no observable market events that would result in upward or downward adjustments in the fair value and there have been no impairments to the original cost of $80.0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Contingent Consideration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2018, the Company acquired all of the outstanding equity interests of QuoteWizard.com, LLC (“QuoteWizard”) and Ovation Credit Services,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(“Ovation”).</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2017, the Company acquired certain assets of Snap Capital LLC, which does business under the name SnapCap (“SnapCap”) and all of the assets of Deposits Online, LLC, which does business under the name DepositAccounts.com (“DepositAccounts”).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will make earnout payments ranging from zero to $46.8 million based on the achievement of certain defined performance targets for QuoteWizard. During 2020, the Company made the final earnout payments related to the achievement of certain defined earnings targets for SnapCap. The Company made no earnout payments related to the DepositAccounts acquisition during 2020, and the earnout is complete.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October 2020, the Company made the final earnout payment related to the achievement of certain defined operating metrics for Ovation.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fair value of contingent consideration is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3"/>
          </w:tcPr>
          <w:p>
            <w:pPr>
              <w:jc w:val="right"/>
              <w:ind w:right="45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4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QuoteWizard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6,568</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6,364</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21,171</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Ovation</w:t>
            </w: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90</w:t>
            </w: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1,270</w:t>
            </w: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SnapCap</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77</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DepositAccounts</w:t>
            </w: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7"/>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changes in fair value of contingent consideration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6,658</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3,839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7,711</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21,221</w:t>
            </w:r>
          </w:p>
        </w:tc>
      </w:tr>
      <w:tr>
        <w:trPr>
          <w:trHeight w:val="27"/>
        </w:trPr>
        <w:tc>
          <w:tcPr>
            <w:tcW w:w="64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As of September 30, 2020, the estimated fair value of the contingent consideration for the QuoteWizard acquisition totaled $30.8 million, of which $20.7 million is included in current contingent consideration and $10.1 million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2020, the estimated fair value of the contingent consideration for the Ovation acquisition totaled $4.4 million, which is included in current contingent consideration in the accompanying consolidated balance sheet. The estimated fair value of the contingent consideration payment is based on the $4.4 million achieved target discounted from the payment due date to September 30, 2020.</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Any differences in the actual contingent consideration payments will be recorded in operating income in the consolidated statements of operations and comprehensive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September 30,</w:t>
            </w:r>
          </w:p>
        </w:tc>
        <w:tc>
          <w:tcPr>
            <w:tcW w:w="30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advertising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50,752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65,836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15,480</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10,540</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3,510</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Customer deposits and escrows</w:t>
            </w:r>
          </w:p>
        </w:tc>
        <w:tc>
          <w:tcPr>
            <w:tcW w:w="20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7,547</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6,920</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to LendingTree Foundation</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3,333</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lease liabilities</w:t>
            </w:r>
          </w:p>
        </w:tc>
        <w:tc>
          <w:tcPr>
            <w:tcW w:w="20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5,826</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6,885</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19,885</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17,681</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106,333</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112,755</w:t>
            </w:r>
          </w:p>
        </w:tc>
      </w:tr>
      <w:tr>
        <w:trPr>
          <w:trHeight w:val="34"/>
        </w:trPr>
        <w:tc>
          <w:tcPr>
            <w:tcW w:w="8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10—LEASES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a lessee to leases of corporate offices and certain office equipment. The majority of leases for corporate offices include one or more options to renew, with renewal terms ranging from two to five years. These renewal options have not been included in the calculation of right-of-use assets and lease liabilities, as the Company is not reasonably certain of the exercise of these renewal options. The Company used its incremental borrowing rate to calculate the right-of-use asset and lease liability for each lease.</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2020, right-of-use assets totaled $86.2 million and lease liabilities, the current portion of which is included in accrued expenses and other current liabilities in the accompanying balance sheet, totaled $93.4 million. At December 31, 2019, right-of-use assets totaled $25.5 million and lease liabilities totaled $28.2 million. During the second quarter of 2020 the right-of-use assets and lease liabilities increased $65.7 million due to commencement of the lease, as defined under ASC Topic 842, Leases, for the Company’s new principal executive offices currently under construction in Charlotte, North Carolina.</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Lease expense, which is included in general and administrative expense on the accompanying consolidated statements of operations and comprehensive income,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28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20" w:type="dxa"/>
            <w:vAlign w:val="bottom"/>
            <w:gridSpan w:val="3"/>
          </w:tcPr>
          <w:p>
            <w:pPr>
              <w:jc w:val="right"/>
              <w:ind w:right="692"/>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55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3"/>
        </w:trPr>
        <w:tc>
          <w:tcPr>
            <w:tcW w:w="55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w w:val="88"/>
              </w:rPr>
              <w:t>3,568</w:t>
            </w:r>
          </w:p>
        </w:tc>
        <w:tc>
          <w:tcPr>
            <w:tcW w:w="72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88"/>
              </w:rPr>
              <w:t>1,765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6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820" w:type="dxa"/>
            <w:vAlign w:val="bottom"/>
          </w:tcPr>
          <w:p>
            <w:pPr>
              <w:spacing w:after="0"/>
              <w:rPr>
                <w:sz w:val="21"/>
                <w:szCs w:val="21"/>
                <w:color w:val="auto"/>
              </w:rPr>
            </w:pPr>
          </w:p>
        </w:tc>
        <w:tc>
          <w:tcPr>
            <w:tcW w:w="660" w:type="dxa"/>
            <w:vAlign w:val="bottom"/>
          </w:tcPr>
          <w:p>
            <w:pPr>
              <w:jc w:val="right"/>
              <w:ind w:right="155"/>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69</w:t>
            </w:r>
          </w:p>
        </w:tc>
      </w:tr>
      <w:tr>
        <w:trPr>
          <w:trHeight w:val="27"/>
        </w:trPr>
        <w:tc>
          <w:tcPr>
            <w:tcW w:w="5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6"/>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lease cost</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w w:val="88"/>
              </w:rPr>
              <w:t>3,579</w:t>
            </w:r>
          </w:p>
        </w:tc>
        <w:tc>
          <w:tcPr>
            <w:tcW w:w="72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88"/>
              </w:rPr>
              <w:t>1,786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7,611</w:t>
            </w:r>
          </w:p>
        </w:tc>
        <w:tc>
          <w:tcPr>
            <w:tcW w:w="6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4,564</w:t>
            </w:r>
          </w:p>
        </w:tc>
      </w:tr>
      <w:tr>
        <w:trPr>
          <w:trHeight w:val="432"/>
        </w:trPr>
        <w:tc>
          <w:tcPr>
            <w:tcW w:w="7000" w:type="dxa"/>
            <w:vAlign w:val="bottom"/>
            <w:tcBorders>
              <w:top w:val="single" w:sz="8" w:color="auto"/>
            </w:tcBorders>
            <w:gridSpan w:val="3"/>
          </w:tcPr>
          <w:p>
            <w:pPr>
              <w:ind w:left="340"/>
              <w:spacing w:after="0"/>
              <w:rPr>
                <w:sz w:val="20"/>
                <w:szCs w:val="20"/>
                <w:color w:val="auto"/>
              </w:rPr>
            </w:pPr>
            <w:r>
              <w:rPr>
                <w:rFonts w:ascii="Arial" w:cs="Arial" w:eastAsia="Arial" w:hAnsi="Arial"/>
                <w:sz w:val="18"/>
                <w:szCs w:val="18"/>
                <w:color w:val="auto"/>
                <w:w w:val="89"/>
              </w:rPr>
              <w:t>Weighted average remaining lease term and discount rate for operating leases are as follows:</w:t>
            </w: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399"/>
        </w:trPr>
        <w:tc>
          <w:tcPr>
            <w:tcW w:w="55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September 30, 2020</w:t>
            </w:r>
          </w:p>
        </w:tc>
        <w:tc>
          <w:tcPr>
            <w:tcW w:w="15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December 31, 2019</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w:t>
            </w: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5"/>
              </w:rPr>
              <w:t>13.0 years</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4"/>
              </w:rPr>
              <w:t>5.0 years</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68"/>
              <w:spacing w:after="0"/>
              <w:rPr>
                <w:sz w:val="20"/>
                <w:szCs w:val="20"/>
                <w:color w:val="auto"/>
              </w:rPr>
            </w:pPr>
            <w:r>
              <w:rPr>
                <w:rFonts w:ascii="Arial" w:cs="Arial" w:eastAsia="Arial" w:hAnsi="Arial"/>
                <w:sz w:val="18"/>
                <w:szCs w:val="18"/>
                <w:color w:val="auto"/>
              </w:rPr>
              <w:t>5.0%</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675"/>
        </w:trPr>
        <w:tc>
          <w:tcPr>
            <w:tcW w:w="6340" w:type="dxa"/>
            <w:vAlign w:val="bottom"/>
            <w:gridSpan w:val="2"/>
          </w:tcPr>
          <w:p>
            <w:pPr>
              <w:ind w:left="340"/>
              <w:spacing w:after="0"/>
              <w:rPr>
                <w:sz w:val="20"/>
                <w:szCs w:val="20"/>
                <w:color w:val="auto"/>
              </w:rPr>
            </w:pPr>
            <w:r>
              <w:rPr>
                <w:rFonts w:ascii="Arial" w:cs="Arial" w:eastAsia="Arial" w:hAnsi="Arial"/>
                <w:sz w:val="18"/>
                <w:szCs w:val="18"/>
                <w:color w:val="auto"/>
                <w:w w:val="92"/>
              </w:rPr>
              <w:t xml:space="preserve">Supplemental cash flow information related to leases is as follows </w:t>
            </w:r>
            <w:r>
              <w:rPr>
                <w:rFonts w:ascii="Arial" w:cs="Arial" w:eastAsia="Arial" w:hAnsi="Arial"/>
                <w:sz w:val="18"/>
                <w:szCs w:val="18"/>
                <w:i w:val="1"/>
                <w:iCs w:val="1"/>
                <w:color w:val="auto"/>
                <w:w w:val="92"/>
              </w:rPr>
              <w:t>(in thousands)</w:t>
            </w:r>
            <w:r>
              <w:rPr>
                <w:rFonts w:ascii="Arial" w:cs="Arial" w:eastAsia="Arial" w:hAnsi="Arial"/>
                <w:sz w:val="18"/>
                <w:szCs w:val="18"/>
                <w:color w:val="auto"/>
                <w:w w:val="92"/>
              </w:rPr>
              <w:t>:</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8"/>
        </w:trPr>
        <w:tc>
          <w:tcPr>
            <w:tcW w:w="5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3"/>
        </w:trPr>
        <w:tc>
          <w:tcPr>
            <w:tcW w:w="55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Cash paid for amounts included in the measurement of lease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5,077</w:t>
            </w:r>
          </w:p>
        </w:tc>
        <w:tc>
          <w:tcPr>
            <w:tcW w:w="66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4,191</w:t>
            </w:r>
          </w:p>
        </w:tc>
      </w:tr>
      <w:tr>
        <w:trPr>
          <w:trHeight w:val="27"/>
        </w:trPr>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Right-of-use assets obtained in exchange for new operating lease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66,463</w:t>
            </w:r>
          </w:p>
        </w:tc>
        <w:tc>
          <w:tcPr>
            <w:tcW w:w="6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21,912</w:t>
            </w:r>
          </w:p>
        </w:tc>
      </w:tr>
      <w:tr>
        <w:trPr>
          <w:trHeight w:val="594"/>
        </w:trPr>
        <w:tc>
          <w:tcPr>
            <w:tcW w:w="7000" w:type="dxa"/>
            <w:vAlign w:val="bottom"/>
            <w:gridSpan w:val="3"/>
          </w:tcPr>
          <w:p>
            <w:pPr>
              <w:ind w:left="340"/>
              <w:spacing w:after="0"/>
              <w:rPr>
                <w:sz w:val="20"/>
                <w:szCs w:val="20"/>
                <w:color w:val="auto"/>
              </w:rPr>
            </w:pPr>
            <w:r>
              <w:rPr>
                <w:rFonts w:ascii="Arial" w:cs="Arial" w:eastAsia="Arial" w:hAnsi="Arial"/>
                <w:sz w:val="18"/>
                <w:szCs w:val="18"/>
                <w:color w:val="auto"/>
                <w:w w:val="99"/>
              </w:rPr>
              <w:t xml:space="preserve">Maturities of lease liabilities as of September 30, 2020 are as follows </w:t>
            </w:r>
            <w:r>
              <w:rPr>
                <w:rFonts w:ascii="Arial" w:cs="Arial" w:eastAsia="Arial" w:hAnsi="Arial"/>
                <w:sz w:val="18"/>
                <w:szCs w:val="18"/>
                <w:i w:val="1"/>
                <w:iCs w:val="1"/>
                <w:color w:val="auto"/>
                <w:w w:val="99"/>
              </w:rPr>
              <w:t>(in thousands)</w:t>
            </w:r>
            <w:r>
              <w:rPr>
                <w:rFonts w:ascii="Arial" w:cs="Arial" w:eastAsia="Arial" w:hAnsi="Arial"/>
                <w:sz w:val="18"/>
                <w:szCs w:val="18"/>
                <w:color w:val="auto"/>
                <w:w w:val="99"/>
              </w:rPr>
              <w:t>:</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2"/>
        </w:trPr>
        <w:tc>
          <w:tcPr>
            <w:tcW w:w="55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4"/>
                <w:szCs w:val="14"/>
                <w:b w:val="1"/>
                <w:bCs w:val="1"/>
                <w:color w:val="auto"/>
                <w:w w:val="90"/>
              </w:rPr>
              <w:t>Operating Leases</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Year ending December 31, 2021</w:t>
            </w: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8,949</w:t>
            </w:r>
          </w:p>
        </w:tc>
      </w:tr>
      <w:tr>
        <w:trPr>
          <w:trHeight w:val="27"/>
        </w:trPr>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2022</w:t>
            </w: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12,619</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Year ending December 31, 2023</w:t>
            </w: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12,409</w:t>
            </w:r>
          </w:p>
        </w:tc>
      </w:tr>
      <w:tr>
        <w:trPr>
          <w:trHeight w:val="27"/>
        </w:trPr>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2024</w:t>
            </w: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105,398</w:t>
            </w:r>
          </w:p>
        </w:tc>
      </w:tr>
      <w:tr>
        <w:trPr>
          <w:trHeight w:val="27"/>
        </w:trPr>
        <w:tc>
          <w:tcPr>
            <w:tcW w:w="5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lease payments</w:t>
            </w: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152,378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46,096</w:t>
            </w:r>
          </w:p>
        </w:tc>
      </w:tr>
      <w:tr>
        <w:trPr>
          <w:trHeight w:val="27"/>
        </w:trPr>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Tenant improvement allowances</w:t>
            </w:r>
          </w:p>
        </w:tc>
        <w:tc>
          <w:tcPr>
            <w:tcW w:w="8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12,859</w:t>
            </w: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Present value of lease liabilities</w:t>
            </w:r>
          </w:p>
        </w:tc>
        <w:tc>
          <w:tcPr>
            <w:tcW w:w="8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268"/>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93,423</w:t>
            </w:r>
          </w:p>
        </w:tc>
      </w:tr>
      <w:tr>
        <w:trPr>
          <w:trHeight w:val="34"/>
        </w:trPr>
        <w:tc>
          <w:tcPr>
            <w:tcW w:w="5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Rental income of $0.3 million in the first nine months of 2019 is included in other income on the accompanying consolidated statements of operations and comprehensive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income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940" w:type="dxa"/>
            <w:vAlign w:val="bottom"/>
            <w:gridSpan w:val="3"/>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780" w:type="dxa"/>
            <w:vAlign w:val="bottom"/>
            <w:gridSpan w:val="2"/>
          </w:tcPr>
          <w:p>
            <w:pPr>
              <w:jc w:val="right"/>
              <w:ind w:right="67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520" w:type="dxa"/>
            <w:vAlign w:val="bottom"/>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ind w:right="1037"/>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997"/>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194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b w:val="1"/>
                <w:bCs w:val="1"/>
                <w:color w:val="auto"/>
              </w:rPr>
              <w:t>13,033</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12,890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b w:val="1"/>
                <w:bCs w:val="1"/>
                <w:color w:val="auto"/>
              </w:rPr>
              <w:t>12,992</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12,805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1940" w:type="dxa"/>
            <w:vAlign w:val="bottom"/>
          </w:tcPr>
          <w:p>
            <w:pPr>
              <w:jc w:val="right"/>
              <w:ind w:right="61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1900" w:type="dxa"/>
            <w:vAlign w:val="bottom"/>
          </w:tcPr>
          <w:p>
            <w:pPr>
              <w:jc w:val="right"/>
              <w:ind w:right="59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760</w:t>
            </w:r>
          </w:p>
        </w:tc>
      </w:tr>
      <w:tr>
        <w:trPr>
          <w:trHeight w:val="27"/>
        </w:trPr>
        <w:tc>
          <w:tcPr>
            <w:tcW w:w="55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194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Effect of Convertible Senior Notes and warrants</w:t>
            </w:r>
          </w:p>
        </w:tc>
        <w:tc>
          <w:tcPr>
            <w:tcW w:w="1940" w:type="dxa"/>
            <w:vAlign w:val="bottom"/>
          </w:tcPr>
          <w:p>
            <w:pPr>
              <w:jc w:val="right"/>
              <w:ind w:right="61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1900" w:type="dxa"/>
            <w:vAlign w:val="bottom"/>
          </w:tcPr>
          <w:p>
            <w:pPr>
              <w:jc w:val="right"/>
              <w:ind w:right="59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888</w:t>
            </w:r>
          </w:p>
        </w:tc>
      </w:tr>
      <w:tr>
        <w:trPr>
          <w:trHeight w:val="27"/>
        </w:trPr>
        <w:tc>
          <w:tcPr>
            <w:tcW w:w="55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194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b w:val="1"/>
                <w:bCs w:val="1"/>
                <w:color w:val="auto"/>
              </w:rPr>
              <w:t>13,033</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14,632</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b w:val="1"/>
                <w:bCs w:val="1"/>
                <w:color w:val="auto"/>
              </w:rPr>
              <w:t>12,992</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14,629</w:t>
            </w:r>
          </w:p>
        </w:tc>
      </w:tr>
      <w:tr>
        <w:trPr>
          <w:trHeight w:val="27"/>
        </w:trPr>
        <w:tc>
          <w:tcPr>
            <w:tcW w:w="5520" w:type="dxa"/>
            <w:vAlign w:val="bottom"/>
            <w:shd w:val="clear" w:color="auto" w:fill="000000"/>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the three and nine months ended September 30, 2020, the Company had losses from continuing operations and, as a result, no potentially dilutive securities were included in the denominator for computing diluted loss per share, because the impact would have been anti-dilutive. Accordingly, the weighted average basic shares outstanding was used to compute loss per share. Approximately 1.3 million and 1.1 million shares related to potentially dilutive securities were excluded from the calculation of diluted loss per share for the three and nine months ended September 30, 2020, respectively, because their inclusion would have been anti-dilutive. For the three and nine months ended September 30, 2020, the weighted average shares that were anti-dilutive included options to purchase 0.1 million and 0.2 million shares of common stock, respectively.</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each of the three and nine months ended September 30, 2019, the weighted average shares that were anti-dilutive included options to purchase 0.1 million shares of common stock.</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convertible notes and the warrants issued by the Company could be converted into the Company’s common stock, subject to certain contingencies. </w:t>
      </w:r>
      <w:r>
        <w:rPr>
          <w:rFonts w:ascii="Arial" w:cs="Arial" w:eastAsia="Arial" w:hAnsi="Arial"/>
          <w:sz w:val="18"/>
          <w:szCs w:val="18"/>
          <w:i w:val="1"/>
          <w:iCs w:val="1"/>
          <w:color w:val="auto"/>
        </w:rPr>
        <w:t xml:space="preserve">See </w:t>
      </w:r>
      <w:r>
        <w:rPr>
          <w:rFonts w:ascii="Arial" w:cs="Arial" w:eastAsia="Arial" w:hAnsi="Arial"/>
          <w:sz w:val="18"/>
          <w:szCs w:val="18"/>
          <w:color w:val="auto"/>
        </w:rPr>
        <w:t>Note 14—Debt for additional information. Shares of the Company's common stock associated with the 0.50% Convertible Senior Notes due July 15,</w:t>
      </w:r>
      <w:r>
        <w:rPr>
          <w:rFonts w:ascii="Arial" w:cs="Arial" w:eastAsia="Arial" w:hAnsi="Arial"/>
          <w:sz w:val="18"/>
          <w:szCs w:val="18"/>
          <w:i w:val="1"/>
          <w:iCs w:val="1"/>
          <w:color w:val="auto"/>
        </w:rPr>
        <w:t xml:space="preserve"> </w:t>
      </w:r>
      <w:r>
        <w:rPr>
          <w:rFonts w:ascii="Arial" w:cs="Arial" w:eastAsia="Arial" w:hAnsi="Arial"/>
          <w:sz w:val="18"/>
          <w:szCs w:val="18"/>
          <w:color w:val="auto"/>
        </w:rPr>
        <w:t>2025 and the warrants issued by the Company in 2020 were excluded from the calculation of diluted loss per share for the three and nine months ended September 30, 2020, as they were anti-dilutive since the conversion price of the notes and the strike price of the warrants were greater than the average market price of the Company's common stock during these periods.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each of February 2018 and February 2019, the board of directors authorized and the Company announced the repurchase of up to $100.0 million and $150.0 million, respectively, of LendingTree's common stock. During the first nine months of 2019, the Company purchased 18,580 shares of its common stock for aggregate consideration of $4.3 million. At September 30, 2020, approximately $179.7 million of the previous authorizations to repurchase common stock remain available.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92"/>
        </w:trPr>
        <w:tc>
          <w:tcPr>
            <w:tcW w:w="4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263"/>
        </w:trPr>
        <w:tc>
          <w:tcPr>
            <w:tcW w:w="46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372</w:t>
            </w:r>
          </w:p>
        </w:tc>
        <w:tc>
          <w:tcPr>
            <w:tcW w:w="7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947</w:t>
            </w:r>
          </w:p>
        </w:tc>
        <w:tc>
          <w:tcPr>
            <w:tcW w:w="7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38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1,678</w:t>
            </w:r>
          </w:p>
        </w:tc>
        <w:tc>
          <w:tcPr>
            <w:tcW w:w="7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4,431</w:t>
            </w:r>
          </w:p>
        </w:tc>
        <w:tc>
          <w:tcPr>
            <w:tcW w:w="7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4,867</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10,356</w:t>
            </w: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29,208</w:t>
            </w: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30,534</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38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1,755</w:t>
            </w:r>
          </w:p>
        </w:tc>
        <w:tc>
          <w:tcPr>
            <w:tcW w:w="7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4,650</w:t>
            </w:r>
          </w:p>
        </w:tc>
        <w:tc>
          <w:tcPr>
            <w:tcW w:w="7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4,873</w:t>
            </w:r>
          </w:p>
        </w:tc>
      </w:tr>
      <w:tr>
        <w:trPr>
          <w:trHeight w:val="27"/>
        </w:trPr>
        <w:tc>
          <w:tcPr>
            <w:tcW w:w="4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5"/>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14,161</w:t>
            </w:r>
          </w:p>
        </w:tc>
        <w:tc>
          <w:tcPr>
            <w:tcW w:w="7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10,797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39,236</w:t>
            </w:r>
          </w:p>
        </w:tc>
        <w:tc>
          <w:tcPr>
            <w:tcW w:w="7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40,832</w:t>
            </w:r>
          </w:p>
        </w:tc>
      </w:tr>
      <w:tr>
        <w:trPr>
          <w:trHeight w:val="648"/>
        </w:trPr>
        <w:tc>
          <w:tcPr>
            <w:tcW w:w="46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436"/>
              <w:spacing w:after="0"/>
              <w:rPr>
                <w:sz w:val="20"/>
                <w:szCs w:val="20"/>
                <w:color w:val="auto"/>
              </w:rPr>
            </w:pPr>
            <w:r>
              <w:rPr>
                <w:rFonts w:ascii="Arial" w:cs="Arial" w:eastAsia="Arial" w:hAnsi="Arial"/>
                <w:sz w:val="18"/>
                <w:szCs w:val="18"/>
                <w:color w:val="auto"/>
              </w:rPr>
              <w:t>16</w:t>
            </w:r>
          </w:p>
        </w:tc>
        <w:tc>
          <w:tcPr>
            <w:tcW w:w="7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vMerge w:val="restart"/>
          </w:tcPr>
          <w:p>
            <w:pPr>
              <w:jc w:val="center"/>
              <w:ind w:right="338"/>
              <w:spacing w:after="0"/>
              <w:rPr>
                <w:sz w:val="20"/>
                <w:szCs w:val="20"/>
                <w:color w:val="auto"/>
              </w:rPr>
            </w:pPr>
            <w:r>
              <w:rPr>
                <w:rFonts w:ascii="Arial" w:cs="Arial" w:eastAsia="Arial" w:hAnsi="Arial"/>
                <w:sz w:val="14"/>
                <w:szCs w:val="14"/>
                <w:b w:val="1"/>
                <w:bCs w:val="1"/>
                <w:color w:val="auto"/>
                <w:w w:val="95"/>
              </w:rPr>
              <w:t>Weighted</w:t>
            </w:r>
          </w:p>
        </w:tc>
        <w:tc>
          <w:tcPr>
            <w:tcW w:w="14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4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jc w:val="center"/>
              <w:ind w:right="358"/>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Number of Options</w:t>
            </w:r>
          </w:p>
        </w:tc>
        <w:tc>
          <w:tcPr>
            <w:tcW w:w="320" w:type="dxa"/>
            <w:vAlign w:val="bottom"/>
          </w:tcPr>
          <w:p>
            <w:pPr>
              <w:spacing w:after="0"/>
              <w:rPr>
                <w:sz w:val="12"/>
                <w:szCs w:val="12"/>
                <w:color w:val="auto"/>
              </w:rPr>
            </w:pPr>
          </w:p>
        </w:tc>
        <w:tc>
          <w:tcPr>
            <w:tcW w:w="1380" w:type="dxa"/>
            <w:vAlign w:val="bottom"/>
          </w:tcPr>
          <w:p>
            <w:pPr>
              <w:jc w:val="center"/>
              <w:ind w:right="338"/>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7"/>
              </w:rPr>
              <w:t>Value</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center"/>
              <w:ind w:right="358"/>
              <w:spacing w:after="0"/>
              <w:rPr>
                <w:sz w:val="20"/>
                <w:szCs w:val="20"/>
                <w:color w:val="auto"/>
              </w:rPr>
            </w:pPr>
            <w:r>
              <w:rPr>
                <w:rFonts w:ascii="Arial" w:cs="Arial" w:eastAsia="Arial" w:hAnsi="Arial"/>
                <w:sz w:val="14"/>
                <w:szCs w:val="14"/>
                <w:b w:val="1"/>
                <w:bCs w:val="1"/>
                <w:i w:val="1"/>
                <w:iCs w:val="1"/>
                <w:color w:val="auto"/>
                <w:w w:val="89"/>
              </w:rPr>
              <w:t>(per option)</w:t>
            </w:r>
          </w:p>
        </w:tc>
        <w:tc>
          <w:tcPr>
            <w:tcW w:w="144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9"/>
              </w:rPr>
              <w:t>(in years)</w:t>
            </w:r>
          </w:p>
        </w:tc>
        <w:tc>
          <w:tcPr>
            <w:tcW w:w="280" w:type="dxa"/>
            <w:vAlign w:val="bottom"/>
          </w:tcPr>
          <w:p>
            <w:pPr>
              <w:spacing w:after="0"/>
              <w:rPr>
                <w:sz w:val="16"/>
                <w:szCs w:val="16"/>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0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2020</w:t>
            </w: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777,871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69.87</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73,737</w:t>
            </w:r>
          </w:p>
        </w:tc>
        <w:tc>
          <w:tcPr>
            <w:tcW w:w="320" w:type="dxa"/>
            <w:vAlign w:val="bottom"/>
          </w:tcPr>
          <w:p>
            <w:pPr>
              <w:spacing w:after="0"/>
              <w:rPr>
                <w:sz w:val="23"/>
                <w:szCs w:val="23"/>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color w:val="auto"/>
              </w:rPr>
              <w:t>276.38</w:t>
            </w:r>
          </w:p>
        </w:tc>
        <w:tc>
          <w:tcPr>
            <w:tcW w:w="1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(47,500)</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color w:val="auto"/>
              </w:rPr>
              <w:t>161.39</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(717)</w:t>
            </w:r>
          </w:p>
        </w:tc>
        <w:tc>
          <w:tcPr>
            <w:tcW w:w="320" w:type="dxa"/>
            <w:vAlign w:val="bottom"/>
          </w:tcPr>
          <w:p>
            <w:pPr>
              <w:spacing w:after="0"/>
              <w:rPr>
                <w:sz w:val="21"/>
                <w:szCs w:val="21"/>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color w:val="auto"/>
              </w:rPr>
              <w:t>291.12</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(2,036)</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color w:val="auto"/>
              </w:rPr>
              <w:t>352.68</w:t>
            </w:r>
          </w:p>
        </w:tc>
        <w:tc>
          <w:tcPr>
            <w:tcW w:w="1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September 30, 2020</w:t>
            </w:r>
          </w:p>
        </w:tc>
        <w:tc>
          <w:tcPr>
            <w:tcW w:w="15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801,355</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98"/>
              <w:spacing w:after="0"/>
              <w:rPr>
                <w:sz w:val="20"/>
                <w:szCs w:val="20"/>
                <w:color w:val="auto"/>
              </w:rPr>
            </w:pPr>
            <w:r>
              <w:rPr>
                <w:rFonts w:ascii="Arial" w:cs="Arial" w:eastAsia="Arial" w:hAnsi="Arial"/>
                <w:sz w:val="18"/>
                <w:szCs w:val="18"/>
                <w:b w:val="1"/>
                <w:bCs w:val="1"/>
                <w:color w:val="auto"/>
              </w:rPr>
              <w:t>82.54</w:t>
            </w:r>
          </w:p>
        </w:tc>
        <w:tc>
          <w:tcPr>
            <w:tcW w:w="144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3.87</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180,661</w:t>
            </w:r>
          </w:p>
        </w:tc>
        <w:tc>
          <w:tcPr>
            <w:tcW w:w="0" w:type="dxa"/>
            <w:vAlign w:val="bottom"/>
          </w:tcPr>
          <w:p>
            <w:pPr>
              <w:spacing w:after="0"/>
              <w:rPr>
                <w:sz w:val="1"/>
                <w:szCs w:val="1"/>
                <w:color w:val="auto"/>
              </w:rPr>
            </w:pPr>
          </w:p>
        </w:tc>
      </w:tr>
      <w:tr>
        <w:trPr>
          <w:trHeight w:val="34"/>
        </w:trPr>
        <w:tc>
          <w:tcPr>
            <w:tcW w:w="5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September 30, 2020</w:t>
            </w: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651,144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40.61</w:t>
            </w:r>
          </w:p>
        </w:tc>
        <w:tc>
          <w:tcPr>
            <w:tcW w:w="14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2.79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173,993</w:t>
            </w:r>
          </w:p>
        </w:tc>
        <w:tc>
          <w:tcPr>
            <w:tcW w:w="0" w:type="dxa"/>
            <w:vAlign w:val="bottom"/>
          </w:tcPr>
          <w:p>
            <w:pPr>
              <w:spacing w:after="0"/>
              <w:rPr>
                <w:sz w:val="1"/>
                <w:szCs w:val="1"/>
                <w:color w:val="auto"/>
              </w:rPr>
            </w:pPr>
          </w:p>
        </w:tc>
      </w:tr>
      <w:tr>
        <w:trPr>
          <w:trHeight w:val="27"/>
        </w:trPr>
        <w:tc>
          <w:tcPr>
            <w:tcW w:w="50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$306.89 on the last trading day of the quarter ended September 30, 2020 and the exercise price, multiplied by the number of shares covered by in-the-money options) that would have been received by the option holder had the option holder exercised these options on September 30, 2020.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nine months ended September 30, 2020, the Company granted stock options to certain employees and members of the board of directors with a weighted average grant date fair value per share of $138.75, calculated using the Black-Scholes option pricing model, which vesting periods include (a) immediate vesting on grant date (b) one year from grant date (c) three years from grant date and (d) four years from grant date.</w:t>
      </w:r>
    </w:p>
    <w:p>
      <w:pPr>
        <w:spacing w:after="0" w:line="13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99" w:lineRule="exact"/>
        <w:rPr>
          <w:sz w:val="20"/>
          <w:szCs w:val="20"/>
          <w:color w:val="auto"/>
        </w:rPr>
      </w:pPr>
    </w:p>
    <w:tbl>
      <w:tblPr>
        <w:tblLayout w:type="fixed"/>
        <w:tblInd w:w="800" w:type="dxa"/>
        <w:tblCellMar>
          <w:top w:w="0" w:type="dxa"/>
          <w:left w:w="0" w:type="dxa"/>
          <w:bottom w:w="0" w:type="dxa"/>
          <w:right w:w="0" w:type="dxa"/>
        </w:tblCellMar>
      </w:tblPr>
      <w:tr>
        <w:trPr>
          <w:trHeight w:val="28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4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5.00 - 6.25 years</w:t>
            </w:r>
          </w:p>
        </w:tc>
      </w:tr>
      <w:tr>
        <w:trPr>
          <w:trHeight w:val="270"/>
        </w:trPr>
        <w:tc>
          <w:tcPr>
            <w:tcW w:w="54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4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4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52 - 60%</w:t>
            </w:r>
          </w:p>
        </w:tc>
      </w:tr>
      <w:tr>
        <w:trPr>
          <w:trHeight w:val="270"/>
        </w:trPr>
        <w:tc>
          <w:tcPr>
            <w:tcW w:w="5460" w:type="dxa"/>
            <w:vAlign w:val="bottom"/>
            <w:tcBorders>
              <w:bottom w:val="single" w:sz="8" w:color="999999"/>
            </w:tcBorders>
          </w:tcPr>
          <w:p>
            <w:pPr>
              <w:ind w:left="4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498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0.33 - 0.96%</w:t>
            </w:r>
          </w:p>
        </w:tc>
      </w:tr>
    </w:tbl>
    <w:p>
      <w:pPr>
        <w:spacing w:after="0" w:line="148" w:lineRule="exact"/>
        <w:rPr>
          <w:sz w:val="20"/>
          <w:szCs w:val="20"/>
          <w:color w:val="auto"/>
        </w:rPr>
      </w:pPr>
    </w:p>
    <w:p>
      <w:pPr>
        <w:jc w:val="both"/>
        <w:ind w:left="9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9"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all stock options granted in 2020,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Market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at target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vMerge w:val="restart"/>
          </w:tcPr>
          <w:p>
            <w:pPr>
              <w:jc w:val="center"/>
              <w:ind w:right="338"/>
              <w:spacing w:after="0"/>
              <w:rPr>
                <w:sz w:val="20"/>
                <w:szCs w:val="20"/>
                <w:color w:val="auto"/>
              </w:rPr>
            </w:pPr>
            <w:r>
              <w:rPr>
                <w:rFonts w:ascii="Arial" w:cs="Arial" w:eastAsia="Arial" w:hAnsi="Arial"/>
                <w:sz w:val="14"/>
                <w:szCs w:val="14"/>
                <w:b w:val="1"/>
                <w:bCs w:val="1"/>
                <w:color w:val="auto"/>
                <w:w w:val="95"/>
              </w:rPr>
              <w:t>Weighted</w:t>
            </w:r>
          </w:p>
        </w:tc>
        <w:tc>
          <w:tcPr>
            <w:tcW w:w="14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Options</w:t>
            </w:r>
          </w:p>
        </w:tc>
        <w:tc>
          <w:tcPr>
            <w:tcW w:w="3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4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center"/>
              <w:ind w:right="358"/>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with Market</w:t>
            </w:r>
          </w:p>
        </w:tc>
        <w:tc>
          <w:tcPr>
            <w:tcW w:w="360" w:type="dxa"/>
            <w:vAlign w:val="bottom"/>
          </w:tcPr>
          <w:p>
            <w:pPr>
              <w:spacing w:after="0"/>
              <w:rPr>
                <w:sz w:val="12"/>
                <w:szCs w:val="12"/>
                <w:color w:val="auto"/>
              </w:rPr>
            </w:pPr>
          </w:p>
        </w:tc>
        <w:tc>
          <w:tcPr>
            <w:tcW w:w="1380" w:type="dxa"/>
            <w:vAlign w:val="bottom"/>
          </w:tcPr>
          <w:p>
            <w:pPr>
              <w:jc w:val="center"/>
              <w:ind w:right="338"/>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Conditions</w:t>
            </w: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7"/>
              </w:rPr>
              <w:t>Value</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jc w:val="center"/>
              <w:ind w:right="358"/>
              <w:spacing w:after="0"/>
              <w:rPr>
                <w:sz w:val="20"/>
                <w:szCs w:val="20"/>
                <w:color w:val="auto"/>
              </w:rPr>
            </w:pPr>
            <w:r>
              <w:rPr>
                <w:rFonts w:ascii="Arial" w:cs="Arial" w:eastAsia="Arial" w:hAnsi="Arial"/>
                <w:sz w:val="14"/>
                <w:szCs w:val="14"/>
                <w:b w:val="1"/>
                <w:bCs w:val="1"/>
                <w:i w:val="1"/>
                <w:iCs w:val="1"/>
                <w:color w:val="auto"/>
                <w:w w:val="89"/>
              </w:rPr>
              <w:t>(per option)</w:t>
            </w:r>
          </w:p>
        </w:tc>
        <w:tc>
          <w:tcPr>
            <w:tcW w:w="144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9"/>
              </w:rPr>
              <w:t>(in years)</w:t>
            </w:r>
          </w:p>
        </w:tc>
        <w:tc>
          <w:tcPr>
            <w:tcW w:w="280" w:type="dxa"/>
            <w:vAlign w:val="bottom"/>
          </w:tcPr>
          <w:p>
            <w:pPr>
              <w:spacing w:after="0"/>
              <w:rPr>
                <w:sz w:val="16"/>
                <w:szCs w:val="16"/>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0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2020</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463,440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204.31</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19,126</w:t>
            </w:r>
          </w:p>
        </w:tc>
        <w:tc>
          <w:tcPr>
            <w:tcW w:w="360" w:type="dxa"/>
            <w:vAlign w:val="bottom"/>
          </w:tcPr>
          <w:p>
            <w:pPr>
              <w:spacing w:after="0"/>
              <w:rPr>
                <w:sz w:val="23"/>
                <w:szCs w:val="23"/>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color w:val="auto"/>
              </w:rPr>
              <w:t>275.82</w:t>
            </w:r>
          </w:p>
        </w:tc>
        <w:tc>
          <w:tcPr>
            <w:tcW w:w="1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September 30, 2020</w:t>
            </w:r>
          </w:p>
        </w:tc>
        <w:tc>
          <w:tcPr>
            <w:tcW w:w="14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482,566</w:t>
            </w:r>
          </w:p>
        </w:tc>
        <w:tc>
          <w:tcPr>
            <w:tcW w:w="3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98"/>
              <w:spacing w:after="0"/>
              <w:rPr>
                <w:sz w:val="20"/>
                <w:szCs w:val="20"/>
                <w:color w:val="auto"/>
              </w:rPr>
            </w:pPr>
            <w:r>
              <w:rPr>
                <w:rFonts w:ascii="Arial" w:cs="Arial" w:eastAsia="Arial" w:hAnsi="Arial"/>
                <w:sz w:val="18"/>
                <w:szCs w:val="18"/>
                <w:b w:val="1"/>
                <w:bCs w:val="1"/>
                <w:color w:val="auto"/>
              </w:rPr>
              <w:t>207.14</w:t>
            </w:r>
          </w:p>
        </w:tc>
        <w:tc>
          <w:tcPr>
            <w:tcW w:w="144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7.02</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50,162</w:t>
            </w:r>
          </w:p>
        </w:tc>
        <w:tc>
          <w:tcPr>
            <w:tcW w:w="0" w:type="dxa"/>
            <w:vAlign w:val="bottom"/>
          </w:tcPr>
          <w:p>
            <w:pPr>
              <w:spacing w:after="0"/>
              <w:rPr>
                <w:sz w:val="1"/>
                <w:szCs w:val="1"/>
                <w:color w:val="auto"/>
              </w:rPr>
            </w:pPr>
          </w:p>
        </w:tc>
      </w:tr>
      <w:tr>
        <w:trPr>
          <w:trHeight w:val="34"/>
        </w:trPr>
        <w:tc>
          <w:tcPr>
            <w:tcW w:w="5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September 30, 2020</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0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$306.89 on the last trading day of the quarter ended September 30, 2020 and the exercise price, multiplied by the number of shares covered by in-the-money options) that would have been received by the option holder had the option holder exercised these options on September 30, 2020. The intrinsic value changes based on the market value of the Company's common stock.</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nine months ended September 30, 2020, the Company granted stock options with a grant date fair value per share of $196.07, calculated using the Monte Carlo simulation model, which has a vesting date of March 31, 2024.</w:t>
      </w:r>
    </w:p>
    <w:p>
      <w:pPr>
        <w:spacing w:after="0" w:line="116"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For purposes of determining stock-based compensation expense, the grant date fair value per share of the stock options was estimated using the Monte Carlo simulation model, which requires the use of various key assumptions. The assumptions used are as follows:</w:t>
      </w:r>
    </w:p>
    <w:p>
      <w:pPr>
        <w:spacing w:after="0" w:line="62" w:lineRule="exact"/>
        <w:rPr>
          <w:sz w:val="20"/>
          <w:szCs w:val="20"/>
          <w:color w:val="auto"/>
        </w:rPr>
      </w:pPr>
    </w:p>
    <w:tbl>
      <w:tblPr>
        <w:tblLayout w:type="fixed"/>
        <w:tblInd w:w="800" w:type="dxa"/>
        <w:tblCellMar>
          <w:top w:w="0" w:type="dxa"/>
          <w:left w:w="0" w:type="dxa"/>
          <w:bottom w:w="0" w:type="dxa"/>
          <w:right w:w="0" w:type="dxa"/>
        </w:tblCellMar>
      </w:tblPr>
      <w:tr>
        <w:trPr>
          <w:trHeight w:val="28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4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 years</w:t>
            </w:r>
          </w:p>
        </w:tc>
      </w:tr>
      <w:tr>
        <w:trPr>
          <w:trHeight w:val="270"/>
        </w:trPr>
        <w:tc>
          <w:tcPr>
            <w:tcW w:w="5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4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4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70"/>
        </w:trPr>
        <w:tc>
          <w:tcPr>
            <w:tcW w:w="5700" w:type="dxa"/>
            <w:vAlign w:val="bottom"/>
            <w:tcBorders>
              <w:bottom w:val="single" w:sz="8" w:color="999999"/>
            </w:tcBorders>
          </w:tcPr>
          <w:p>
            <w:pPr>
              <w:ind w:left="4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474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1.03%</w:t>
            </w:r>
          </w:p>
        </w:tc>
      </w:tr>
    </w:tbl>
    <w:p>
      <w:pPr>
        <w:spacing w:after="0" w:line="148"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term of stock options with a market condition granted was calculated using the midpoint between the time of vesting and the end of the contractual term.</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all stock options with a market condition granted in 2020,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16"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A maximum of 805,885 shares may be earned for achieving superior performance up to 167% of the target number of shares. As of September 30, 2020, performance-based nonqualified stock options with a market condition of 481,669 had been earned, which have a vest date of September 30, 2022.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restricted stock units ("RSUs")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Number of Units</w:t>
            </w:r>
          </w:p>
        </w:tc>
        <w:tc>
          <w:tcPr>
            <w:tcW w:w="200" w:type="dxa"/>
            <w:vAlign w:val="bottom"/>
          </w:tcPr>
          <w:p>
            <w:pPr>
              <w:spacing w:after="0"/>
              <w:rPr>
                <w:sz w:val="13"/>
                <w:szCs w:val="13"/>
                <w:color w:val="auto"/>
              </w:rPr>
            </w:pPr>
          </w:p>
        </w:tc>
        <w:tc>
          <w:tcPr>
            <w:tcW w:w="162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80"/>
        </w:trPr>
        <w:tc>
          <w:tcPr>
            <w:tcW w:w="75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144,939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267.85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115"/>
              <w:spacing w:after="0"/>
              <w:rPr>
                <w:sz w:val="20"/>
                <w:szCs w:val="20"/>
                <w:color w:val="auto"/>
              </w:rPr>
            </w:pPr>
            <w:r>
              <w:rPr>
                <w:rFonts w:ascii="Arial" w:cs="Arial" w:eastAsia="Arial" w:hAnsi="Arial"/>
                <w:sz w:val="18"/>
                <w:szCs w:val="18"/>
                <w:color w:val="auto"/>
              </w:rPr>
              <w:t>130,518</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286.40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(62,167)</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240.57</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55"/>
              <w:spacing w:after="0"/>
              <w:rPr>
                <w:sz w:val="20"/>
                <w:szCs w:val="20"/>
                <w:color w:val="auto"/>
              </w:rPr>
            </w:pPr>
            <w:r>
              <w:rPr>
                <w:rFonts w:ascii="Arial" w:cs="Arial" w:eastAsia="Arial" w:hAnsi="Arial"/>
                <w:sz w:val="18"/>
                <w:szCs w:val="18"/>
                <w:color w:val="auto"/>
              </w:rPr>
              <w:t>(10,333)</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279.95</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202,957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287.54</w:t>
            </w:r>
          </w:p>
        </w:tc>
        <w:tc>
          <w:tcPr>
            <w:tcW w:w="0" w:type="dxa"/>
            <w:vAlign w:val="bottom"/>
          </w:tcPr>
          <w:p>
            <w:pPr>
              <w:spacing w:after="0"/>
              <w:rPr>
                <w:sz w:val="1"/>
                <w:szCs w:val="1"/>
                <w:color w:val="auto"/>
              </w:rPr>
            </w:pPr>
          </w:p>
        </w:tc>
      </w:tr>
      <w:tr>
        <w:trPr>
          <w:trHeight w:val="648"/>
        </w:trPr>
        <w:tc>
          <w:tcPr>
            <w:tcW w:w="7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Restricted Stock Units with Performance Conditions</w:t>
            </w:r>
          </w:p>
        </w:tc>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40" w:type="dxa"/>
            <w:vAlign w:val="bottom"/>
          </w:tcPr>
          <w:p>
            <w:pPr>
              <w:ind w:left="340"/>
              <w:spacing w:after="0"/>
              <w:rPr>
                <w:sz w:val="20"/>
                <w:szCs w:val="20"/>
                <w:color w:val="auto"/>
              </w:rPr>
            </w:pPr>
            <w:r>
              <w:rPr>
                <w:rFonts w:ascii="Arial" w:cs="Arial" w:eastAsia="Arial" w:hAnsi="Arial"/>
                <w:sz w:val="18"/>
                <w:szCs w:val="18"/>
                <w:color w:val="auto"/>
                <w:w w:val="92"/>
              </w:rPr>
              <w:t>A summary of changes in outstanding nonvested RSUs with performance conditions is as follows:</w:t>
            </w: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540" w:type="dxa"/>
            <w:vAlign w:val="bottom"/>
          </w:tcPr>
          <w:p>
            <w:pPr>
              <w:spacing w:after="0"/>
              <w:rPr>
                <w:sz w:val="24"/>
                <w:szCs w:val="24"/>
                <w:color w:val="auto"/>
              </w:rPr>
            </w:pPr>
          </w:p>
        </w:tc>
        <w:tc>
          <w:tcPr>
            <w:tcW w:w="370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RSUs with Performance Conditions</w:t>
            </w: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Number of Units</w:t>
            </w:r>
          </w:p>
        </w:tc>
        <w:tc>
          <w:tcPr>
            <w:tcW w:w="200" w:type="dxa"/>
            <w:vAlign w:val="bottom"/>
          </w:tcPr>
          <w:p>
            <w:pPr>
              <w:spacing w:after="0"/>
              <w:rPr>
                <w:sz w:val="13"/>
                <w:szCs w:val="13"/>
                <w:color w:val="auto"/>
              </w:rPr>
            </w:pPr>
          </w:p>
        </w:tc>
        <w:tc>
          <w:tcPr>
            <w:tcW w:w="162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80"/>
        </w:trPr>
        <w:tc>
          <w:tcPr>
            <w:tcW w:w="75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14,647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210.55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(1,992)</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125.75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12,655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223.90</w:t>
            </w:r>
          </w:p>
        </w:tc>
        <w:tc>
          <w:tcPr>
            <w:tcW w:w="0" w:type="dxa"/>
            <w:vAlign w:val="bottom"/>
          </w:tcPr>
          <w:p>
            <w:pPr>
              <w:spacing w:after="0"/>
              <w:rPr>
                <w:sz w:val="1"/>
                <w:szCs w:val="1"/>
                <w:color w:val="auto"/>
              </w:rPr>
            </w:pPr>
          </w:p>
        </w:tc>
      </w:tr>
      <w:tr>
        <w:trPr>
          <w:trHeight w:val="648"/>
        </w:trPr>
        <w:tc>
          <w:tcPr>
            <w:tcW w:w="7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Restricted Stock Awards with Performance Conditions</w:t>
            </w:r>
          </w:p>
        </w:tc>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20" w:type="dxa"/>
            <w:vAlign w:val="bottom"/>
            <w:gridSpan w:val="2"/>
          </w:tcPr>
          <w:p>
            <w:pPr>
              <w:ind w:left="340"/>
              <w:spacing w:after="0"/>
              <w:rPr>
                <w:sz w:val="20"/>
                <w:szCs w:val="20"/>
                <w:color w:val="auto"/>
              </w:rPr>
            </w:pPr>
            <w:r>
              <w:rPr>
                <w:rFonts w:ascii="Arial" w:cs="Arial" w:eastAsia="Arial" w:hAnsi="Arial"/>
                <w:sz w:val="18"/>
                <w:szCs w:val="18"/>
                <w:color w:val="auto"/>
                <w:w w:val="91"/>
              </w:rPr>
              <w:t>A summary of changes in outstanding nonvested restricted stock awards ("RSAs") with performance conditions is as follows: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540" w:type="dxa"/>
            <w:vAlign w:val="bottom"/>
          </w:tcPr>
          <w:p>
            <w:pPr>
              <w:spacing w:after="0"/>
              <w:rPr>
                <w:sz w:val="24"/>
                <w:szCs w:val="24"/>
                <w:color w:val="auto"/>
              </w:rPr>
            </w:pPr>
          </w:p>
        </w:tc>
        <w:tc>
          <w:tcPr>
            <w:tcW w:w="370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RSAs with Performance Conditions</w:t>
            </w: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Awards</w:t>
            </w:r>
          </w:p>
        </w:tc>
        <w:tc>
          <w:tcPr>
            <w:tcW w:w="200" w:type="dxa"/>
            <w:vAlign w:val="bottom"/>
          </w:tcPr>
          <w:p>
            <w:pPr>
              <w:spacing w:after="0"/>
              <w:rPr>
                <w:sz w:val="13"/>
                <w:szCs w:val="13"/>
                <w:color w:val="auto"/>
              </w:rPr>
            </w:pPr>
          </w:p>
        </w:tc>
        <w:tc>
          <w:tcPr>
            <w:tcW w:w="162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79"/>
        </w:trPr>
        <w:tc>
          <w:tcPr>
            <w:tcW w:w="75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47,608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(17,853)</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340.25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2020</w:t>
            </w:r>
          </w:p>
        </w:tc>
        <w:tc>
          <w:tcPr>
            <w:tcW w:w="1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29,755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648"/>
        </w:trPr>
        <w:tc>
          <w:tcPr>
            <w:tcW w:w="7540" w:type="dxa"/>
            <w:vAlign w:val="bottom"/>
            <w:tcBorders>
              <w:top w:val="single" w:sz="8" w:color="auto"/>
            </w:tcBorders>
          </w:tcPr>
          <w:p>
            <w:pPr>
              <w:ind w:left="5540"/>
              <w:spacing w:after="0"/>
              <w:rPr>
                <w:sz w:val="20"/>
                <w:szCs w:val="20"/>
                <w:color w:val="auto"/>
              </w:rPr>
            </w:pPr>
            <w:r>
              <w:rPr>
                <w:rFonts w:ascii="Arial" w:cs="Arial" w:eastAsia="Arial" w:hAnsi="Arial"/>
                <w:sz w:val="18"/>
                <w:szCs w:val="18"/>
                <w:color w:val="auto"/>
              </w:rPr>
              <w:t>19</w:t>
            </w:r>
          </w:p>
        </w:tc>
        <w:tc>
          <w:tcPr>
            <w:tcW w:w="1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with Market Conditions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RSAs with market conditions at target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70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4"/>
                <w:szCs w:val="14"/>
                <w:b w:val="1"/>
                <w:bCs w:val="1"/>
                <w:color w:val="auto"/>
              </w:rPr>
              <w:t>RSAs with Market Conditions</w:t>
            </w: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182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Number of Awards</w:t>
            </w:r>
          </w:p>
        </w:tc>
        <w:tc>
          <w:tcPr>
            <w:tcW w:w="240" w:type="dxa"/>
            <w:vAlign w:val="bottom"/>
          </w:tcPr>
          <w:p>
            <w:pPr>
              <w:spacing w:after="0"/>
              <w:rPr>
                <w:sz w:val="13"/>
                <w:szCs w:val="13"/>
                <w:color w:val="auto"/>
              </w:rPr>
            </w:pPr>
          </w:p>
        </w:tc>
        <w:tc>
          <w:tcPr>
            <w:tcW w:w="164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80"/>
        </w:trPr>
        <w:tc>
          <w:tcPr>
            <w:tcW w:w="7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2020</w:t>
            </w:r>
          </w:p>
        </w:tc>
        <w:tc>
          <w:tcPr>
            <w:tcW w:w="1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26,674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2020</w:t>
            </w:r>
          </w:p>
        </w:tc>
        <w:tc>
          <w:tcPr>
            <w:tcW w:w="1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26,674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7"/>
        </w:trPr>
        <w:tc>
          <w:tcPr>
            <w:tcW w:w="754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maximum of 44,545 shares may be earned for achieving superior performance up to 167% of the target number of shares. As of September 30, 2020, performance-based restricted stock awards with a market condition of 29,601 had been earned, which have a vest date of September 30,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2640" w:type="dxa"/>
            <w:vAlign w:val="bottom"/>
            <w:gridSpan w:val="3"/>
          </w:tcPr>
          <w:p>
            <w:pPr>
              <w:jc w:val="center"/>
              <w:ind w:right="216"/>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5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left="581"/>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left="561"/>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r>
      <w:tr>
        <w:trPr>
          <w:trHeight w:val="264"/>
        </w:trPr>
        <w:tc>
          <w:tcPr>
            <w:tcW w:w="5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190"/>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20" w:type="dxa"/>
            <w:vAlign w:val="bottom"/>
            <w:gridSpan w:val="4"/>
          </w:tcPr>
          <w:p>
            <w:pPr>
              <w:jc w:val="right"/>
              <w:ind w:right="361"/>
              <w:spacing w:after="0"/>
              <w:rPr>
                <w:sz w:val="20"/>
                <w:szCs w:val="20"/>
                <w:color w:val="auto"/>
              </w:rPr>
            </w:pPr>
            <w:r>
              <w:rPr>
                <w:rFonts w:ascii="Arial" w:cs="Arial" w:eastAsia="Arial" w:hAnsi="Arial"/>
                <w:sz w:val="14"/>
                <w:szCs w:val="14"/>
                <w:b w:val="1"/>
                <w:bCs w:val="1"/>
                <w:i w:val="1"/>
                <w:iCs w:val="1"/>
                <w:color w:val="auto"/>
                <w:w w:val="87"/>
              </w:rPr>
              <w:t>(in thousands, except percentages)</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66"/>
        </w:trPr>
        <w:tc>
          <w:tcPr>
            <w:tcW w:w="5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7,925</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14,866</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11,552</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i w:val="1"/>
                <w:iCs w:val="1"/>
                <w:color w:val="auto"/>
              </w:rPr>
              <w:t>24.2%</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i w:val="1"/>
                <w:iCs w:val="1"/>
                <w:color w:val="auto"/>
              </w:rPr>
              <w:t>50.7%</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(43.7)%</w:t>
            </w:r>
          </w:p>
        </w:tc>
      </w:tr>
      <w:tr>
        <w:trPr>
          <w:trHeight w:val="27"/>
        </w:trPr>
        <w:tc>
          <w:tcPr>
            <w:tcW w:w="5240" w:type="dxa"/>
            <w:vAlign w:val="bottom"/>
            <w:tcBorders>
              <w:bottom w:val="single" w:sz="8" w:color="999999"/>
            </w:tcBorders>
          </w:tcPr>
          <w:p>
            <w:pPr>
              <w:spacing w:after="0"/>
              <w:rPr>
                <w:sz w:val="2"/>
                <w:szCs w:val="2"/>
                <w:color w:val="auto"/>
              </w:rPr>
            </w:pPr>
          </w:p>
        </w:tc>
        <w:tc>
          <w:tcPr>
            <w:tcW w:w="340" w:type="dxa"/>
            <w:vAlign w:val="bottom"/>
            <w:tcBorders>
              <w:bottom w:val="single" w:sz="8" w:color="999999"/>
            </w:tcBorders>
          </w:tcPr>
          <w:p>
            <w:pPr>
              <w:spacing w:after="0"/>
              <w:rPr>
                <w:sz w:val="2"/>
                <w:szCs w:val="2"/>
                <w:color w:val="auto"/>
              </w:rPr>
            </w:pPr>
          </w:p>
        </w:tc>
        <w:tc>
          <w:tcPr>
            <w:tcW w:w="1120" w:type="dxa"/>
            <w:vAlign w:val="bottom"/>
            <w:tcBorders>
              <w:bottom w:val="single" w:sz="8" w:color="999999"/>
            </w:tcBorders>
          </w:tcPr>
          <w:p>
            <w:pPr>
              <w:spacing w:after="0"/>
              <w:rPr>
                <w:sz w:val="2"/>
                <w:szCs w:val="2"/>
                <w:color w:val="auto"/>
              </w:rPr>
            </w:pPr>
          </w:p>
        </w:tc>
        <w:tc>
          <w:tcPr>
            <w:tcW w:w="500" w:type="dxa"/>
            <w:vAlign w:val="bottom"/>
            <w:tcBorders>
              <w:bottom w:val="single" w:sz="8" w:color="999999"/>
            </w:tcBorders>
          </w:tcPr>
          <w:p>
            <w:pPr>
              <w:spacing w:after="0"/>
              <w:rPr>
                <w:sz w:val="2"/>
                <w:szCs w:val="2"/>
                <w:color w:val="auto"/>
              </w:rPr>
            </w:pPr>
          </w:p>
        </w:tc>
        <w:tc>
          <w:tcPr>
            <w:tcW w:w="96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340" w:type="dxa"/>
            <w:vAlign w:val="bottom"/>
            <w:tcBorders>
              <w:bottom w:val="single" w:sz="8" w:color="999999"/>
            </w:tcBorders>
          </w:tcPr>
          <w:p>
            <w:pPr>
              <w:spacing w:after="0"/>
              <w:rPr>
                <w:sz w:val="2"/>
                <w:szCs w:val="2"/>
                <w:color w:val="auto"/>
              </w:rPr>
            </w:pPr>
          </w:p>
        </w:tc>
        <w:tc>
          <w:tcPr>
            <w:tcW w:w="1120" w:type="dxa"/>
            <w:vAlign w:val="bottom"/>
            <w:tcBorders>
              <w:bottom w:val="single" w:sz="8" w:color="999999"/>
            </w:tcBorders>
          </w:tcPr>
          <w:p>
            <w:pPr>
              <w:spacing w:after="0"/>
              <w:rPr>
                <w:sz w:val="2"/>
                <w:szCs w:val="2"/>
                <w:color w:val="auto"/>
              </w:rPr>
            </w:pPr>
          </w:p>
        </w:tc>
        <w:tc>
          <w:tcPr>
            <w:tcW w:w="560" w:type="dxa"/>
            <w:vAlign w:val="bottom"/>
            <w:tcBorders>
              <w:bottom w:val="single" w:sz="8" w:color="999999"/>
            </w:tcBorders>
          </w:tcPr>
          <w:p>
            <w:pPr>
              <w:spacing w:after="0"/>
              <w:rPr>
                <w:sz w:val="2"/>
                <w:szCs w:val="2"/>
                <w:color w:val="auto"/>
              </w:rPr>
            </w:pPr>
          </w:p>
        </w:tc>
        <w:tc>
          <w:tcPr>
            <w:tcW w:w="960" w:type="dxa"/>
            <w:vAlign w:val="bottom"/>
            <w:tcBorders>
              <w:bottom w:val="single" w:sz="8" w:color="999999"/>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third quarter and first nine months of 2020, the effective tax rate varied from the federal statutory rate of 21% in part due to a tax benefit of $0.2 million and $2.0 million, respectively, recognized for excess tax benefits resulting from employee exercises of stock options and vesting of restricted stock in accordance with ASU 2016-09 and the effect of state taxes. The effective tax rate for the first nine months of 2020 was also impacted by a tax benefit of $6.1 million for the impact of the Coronavirus Aid, Relief, and Economic Security ("CARES") Act, as described below.</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27, 2020, President Trump signed into law the CARES Act. This legislation is an economic relief package in response to the public health and economic impacts of COVID-19 and includes various provisions that impact the Company, including, but not limited to, modifications for net operating losses, accelerated timeframe for refunds associated with prior minimum taxes and modifications of the limitation on business interest.</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revalued deferred tax assets related to net operating losses in light of the changes in the CARES Act, and recorded a net tax benefit of $6.1 million during the first nine months of 2020. These deferred tax assets are being revalued, as they will be carried back to 2016 and 2017, which are tax periods prior to the Tax Cuts and Jobs Act ("TCJA") when the federal statutory tax rate was 35% versus the 21% federal statutory tax rate in effect after the enactment of the TCJA.</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third quarter and first nine months of 2019, the effective tax rate varied from the federal statutory rate of 21% primarily due to a tax benefit of $2.8 million and $16.5 million, respectively, recognized for excess tax benefits resulting from employee exercises of stock options and vesting of restricted stock in accordance with ASU 2016-09, a tax benefit of $1.9 million recognized from an adjustment to the federal research tax credit and the effect of state taxes.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920" w:type="dxa"/>
            <w:vAlign w:val="bottom"/>
            <w:gridSpan w:val="5"/>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260" w:type="dxa"/>
            <w:vAlign w:val="bottom"/>
            <w:gridSpan w:val="3"/>
          </w:tcPr>
          <w:p>
            <w:pPr>
              <w:jc w:val="right"/>
              <w:ind w:right="63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56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190"/>
        </w:trPr>
        <w:tc>
          <w:tcPr>
            <w:tcW w:w="5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66"/>
        </w:trPr>
        <w:tc>
          <w:tcPr>
            <w:tcW w:w="5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29"/>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(expense) - excluding excess tax benefit on stock</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CARES Act</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7,750</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6,780</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(4,989)</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Excess tax benefit on stock compensation</w:t>
            </w:r>
          </w:p>
        </w:tc>
        <w:tc>
          <w:tcPr>
            <w:tcW w:w="82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175</w:t>
            </w:r>
          </w:p>
        </w:tc>
        <w:tc>
          <w:tcPr>
            <w:tcW w:w="56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1,982</w:t>
            </w:r>
          </w:p>
        </w:tc>
        <w:tc>
          <w:tcPr>
            <w:tcW w:w="5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16,541</w:t>
            </w:r>
          </w:p>
        </w:tc>
      </w:tr>
      <w:tr>
        <w:trPr>
          <w:trHeight w:val="27"/>
        </w:trPr>
        <w:tc>
          <w:tcPr>
            <w:tcW w:w="5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CARES Act</w:t>
            </w: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6,104</w:t>
            </w: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tax benefit (expense)</w:t>
            </w:r>
          </w:p>
        </w:tc>
        <w:tc>
          <w:tcPr>
            <w:tcW w:w="82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88"/>
              </w:rPr>
              <w:t>7,925</w:t>
            </w:r>
          </w:p>
        </w:tc>
        <w:tc>
          <w:tcPr>
            <w:tcW w:w="5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14,866</w:t>
            </w:r>
          </w:p>
        </w:tc>
        <w:tc>
          <w:tcPr>
            <w:tcW w:w="5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11,552</w:t>
            </w:r>
          </w:p>
        </w:tc>
      </w:tr>
      <w:tr>
        <w:trPr>
          <w:trHeight w:val="34"/>
        </w:trPr>
        <w:tc>
          <w:tcPr>
            <w:tcW w:w="5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2025 Notes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July 24, 2020, the Company issued $575.0 million aggregate principal amount of its 0.50% Convertible Senior Notes due July 15, 2025 (the “2025 Notes”) in a private placement. The issuance included $75.0 million aggregate principal amount of 2025 Notes under a 13-day purchase option which was exercised in full. The 2025 Notes bear interest at a rate of 0.50% per year, payable semi-annually on January 15 and July 15 of each year, beginning on January 15, 2021. The 2025 Notes will mature on July 15, 2025, unless earlier repurchased, redeemed or converted.</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initial conversion rate of the 2025 Notes is 2.1683 shares of the Company's common stock per $1,000 principal amount of 2025 Notes (which is equivalent to an initial conversion price of approximately $461.19 per share). The conversion rate will be subject to adjustment upon the occurrence of certain specified events but will not be adjusted for accrued and unpaid interest. In addition, upon the occurrence of a make-whole fundamental change prior to the maturity of the 2025 Notes or if the Company issues a notice of redemption for the 2025 Notes, the Company will, in certain circumstances, increase the conversion rate by a specified number of additional shares for a holder that elects to convert the 2025 Notes in connection with such make-whole fundamental change or to convert its 2025 Notes called for redemption, as the case may be. Upon conversion, the 2025 Notes will settle for cash, shares of the Company’s stock, or a combination thereof, at the Company’s option. It is the intent of the Company to settle the principal amount of the 2025 Notes in cash and any conversion premium in shares of its common stock.</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2025 Notes are the Company’s senior unsecured obligations and will rank senior in right of payment to any of the Company’s indebtedness that is expressly subordinated in right of payment to the 2025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March 13, 2025, the 2025 Notes will be convertible at the option of the holders thereof only under the following circumstances:</w:t>
      </w:r>
    </w:p>
    <w:p>
      <w:pPr>
        <w:spacing w:after="0" w:line="116"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2025 Notes) per $1,000 principal amount of 2025 Notes for such trading day was less than 98% of the product of the last reported sale price of the common stock and the conversion rate on each such trading day;</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but only with respect to the notes called for redemption;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Holders of the 2025 Notes are not entitled to convert the 2025 Notes during the calendar quarter ended December 31, 2020 as the last reported sale price of the Company's common stock, for at least 20 trading days (whether or not consecutive) during the period of 30 consecutive trading days ending on September 30, 2020, was not greater than or equal to 130% of the conversion price of the 2025 Notes on each applicable trading day.</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March 13, 2025, until the close of business on the second scheduled trading day immediately preceding the maturity date of the 2025 Notes, holders of the 2025 Notes may convert all or a portion of their 2025 Notes regardless of the foregoing conditions.</w:t>
      </w:r>
    </w:p>
    <w:p>
      <w:pPr>
        <w:spacing w:after="0" w:line="1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7"/>
          <w:szCs w:val="17"/>
          <w:color w:val="auto"/>
        </w:rPr>
        <w:t>The Company may not redeem the 2025 Notes prior to July 20, 2023. On or after July 20, 2023 and before the 41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scheduled trading day immediately before the maturity date, the Company may redeem for cash all or a portion of the 2025 Notes, at its option, if the last reported sale price of the common stock for at least 20 trading days (whether or not consecutive) during the 30 consecutive trading day period (and including the last trading day of such period) ending on, and including the last trading day immediately preceding the date of notice of redemption is greater than or equal to 130% of the conversion price on each applicable trading day. The redemption price will be equal to 100% of the principal amount of the 2025 Notes to be redeemed, plus any accrued and unpaid interest to, but excluding, the redemption date. No sinking fund is provided for the 2025 Notes.</w:t>
      </w:r>
    </w:p>
    <w:p>
      <w:pPr>
        <w:spacing w:after="0" w:line="1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occurrence of a fundamental change prior to the maturity date of the 2025 Notes, holders of the 2025 Notes may require the Company to repurchase all or a portion of the 2025 Notes for cash at a price equal to 100% of the principal amount of the 2025 Notes to be repurchased, plus any accrued and unpaid interest to, but excluding, the fundamental change repurchase date.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market price per share of the common stock, as measured under the terms of the 2025 Notes, exceeds the conversion price of the 2025 Notes, the 2025 Notes could have a dilutive effect, unless the Company elects, subject to certain conditions, to settle the principal amount of the 2025 Notes and any conversion premium in cash.</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initial measurement of convertible debt instruments that may be settled in cash is separated into a debt and an equity component whereby the debt component is based on the fair value of a similar instrument that does not contain an equity conversion option. The separate components of debt and equity of the Company’s 2025 Notes were determined using an interest rate of 5.30%, which reflects the nonconvertible debt borrowing rate of the Company at the date of issuance. As a result, the initial components of debt and equity were $455.6 million and $119.4 million, respectively. Financing costs related to the issuance of the 2025 Notes were approximately $15.1 million, of which $12.0 million were allocated to the liability component and are being amortized to interest expense over the term of the debt and $3.1 million were allocated to the equity component.</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third quarter of 2020, the Company recorded interest expense on the 2025 Notes of $4.9 million which consisted of $0.5 million associated with the 0.50% coupon rate, $4.0 million associated with the accretion of the debt discount, and $0.4 million associated with the amortization of the debt issuance costs. The debt discount is being amortized over the term of the debt.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2020, the fair value of the 2025 Notes is estimated to be approximately $562.1 million using the Level 1 observable input of the last quoted market price for the quarter ended September 30,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gross carrying amount, unamortized debt cost, debt issuance costs and net carrying value of the liability component of the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September 30,</w:t>
            </w:r>
          </w:p>
        </w:tc>
      </w:tr>
      <w:tr>
        <w:trPr>
          <w:trHeight w:val="192"/>
        </w:trPr>
        <w:tc>
          <w:tcPr>
            <w:tcW w:w="9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carrying amount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575,000</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Unamortized debt discount</w:t>
            </w: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115,427</w:t>
            </w:r>
          </w:p>
        </w:tc>
      </w:tr>
      <w:tr>
        <w:trPr>
          <w:trHeight w:val="27"/>
        </w:trPr>
        <w:tc>
          <w:tcPr>
            <w:tcW w:w="9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11,591</w:t>
            </w:r>
          </w:p>
        </w:tc>
      </w:tr>
      <w:tr>
        <w:trPr>
          <w:trHeight w:val="237"/>
        </w:trPr>
        <w:tc>
          <w:tcPr>
            <w:tcW w:w="9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carrying amount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447,982</w:t>
            </w:r>
          </w:p>
        </w:tc>
      </w:tr>
      <w:tr>
        <w:trPr>
          <w:trHeight w:val="34"/>
        </w:trPr>
        <w:tc>
          <w:tcPr>
            <w:tcW w:w="9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Notes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31, 2017, the Company issued $300.0 million aggregate principal amount of its 0.625% Convertible Senior Notes due June 1, 2022 (the “2022 Notes”) in a private placement. The 2022 Notes bear interest at a rate of 0.625% per year, payable semi-annually on June 1 and December 1 of each year, beginning on December 1, 2017. The 2022 Notes will mature on June 1, 2022, unless earlier repurchased or converted.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initial conversion rate of the 2022 Notes is 4.8163 shares of the Company's common stock per $1,000 principal amount of 2022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make-whole fundamental change prior to the maturity of the 2022 Notes, the Company will, in certain circumstances, increase the conversion rate by a specified number of additional shares for a holder that elects to convert the 2022 Notes in connection with such make-whole fundamental change. Upon conversion, the 2022 Notes will settle for cash, shares of the Company’s stock, or a combination thereof, at the Company’s option. It is the intent of the Company to settle the principal amount of the 2022 Notes in cash and any conversion premium in shares of its common stock.</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2022 Notes are the Company’s senior unsecured obligations and will rank senior in right of payment to any of the Company’s indebtedness that is expressly subordinated in right of payment to the 2022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February 1, 2022, the 2022 Notes will be convertible at the option of the holders thereof only under the following circumstances:</w:t>
      </w:r>
    </w:p>
    <w:p>
      <w:pPr>
        <w:spacing w:after="0" w:line="116" w:lineRule="exact"/>
        <w:rPr>
          <w:sz w:val="20"/>
          <w:szCs w:val="20"/>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2022 Notes) per $1,000 principal amount of 2022 Notes for such trading day was less than 98% of the product of the last reported sale price of the common stock and the conversion rate on each such trading day; or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Holders of the 2022 Notes were not entitled to convert the 2022 Notes during the calendar quarter ended September 30, 2020 as the last reported sale price of the Company's common stock, for at least 20 trading days (whether or not consecutive) during the period of 30 consecutive trading days ending on June 30, 2020, was not greater than or equal to 130% of the conversion price of the 2022 Notes on each applicable trading day. Holders of the 2022 Notes are entitled to convert the 2022 Notes during the calendar quarter ended December 31, 2020 as the last reported sale price of the Company's common stock, for at least 20 trading days (whether or not consecutive) during the period of 30 consecutive trading days ending on September 30, 2020, was greater than or equal to 130% of the conversion price of the 2022 Notes on each applicable trading day.</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February 1, 2022, until the close of business on the second scheduled trading day immediately preceding the maturity date of the 2022 Notes, holders of the 2022 Notes may convert all or a portion of their 2022 Notes regardless of the foregoing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not redeem the 2022 Notes prior to the maturity date and no sinking fund is provided for the 2022 Notes. Upon the occurrence of a fundamental change prior to the maturity date of the 2022 Notes, holders of the 2022 Notes may require the Company to repurchase all or a portion of the 2022 Notes for cash at a price equal to 100% of the principal amount of the 2022 Notes to be repurchased, plus any accrued and unpaid interest to, but excluding, the fundamental change repurchase date.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market price per share of the common stock, as measured under the terms of the 2022 Notes, exceeds the conversion price of the 2022 Notes, the 2022 Notes could have a dilutive effect, unless the Company elects, subject to certain conditions, to settle the principal amount of the 2022 Notes and any conversion premium in cash.</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separate components of debt and equity of the Company’s 2022 Notes were determined using an interest rate of 5.36%, which reflects the nonconvertible debt borrowing rate of the Company at the date of issuance. As a result, the initial components of debt and equity were $238.4 million and $61.6 million, respectively. Financing costs related to the issuance of the 2022 Notes were approximately $9.3 million, of which $7.4 million were allocated to the liability component and are being amortized to interest expense over the term of the debt and $1.9 million were allocated to the equity component.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July 24, 2020, the Company used approximately $234.0 million of the net proceeds from the issuance of the 2025 Notes to repurchase approximately $130.3 million principal amount of the 2022 Notes, including the payment of accrued and unpaid interest of approximately $0.1 million, through separate transactions with certain holders of the 2022 Notes. Of the consideration paid, $126.0 million was allocated to the extinguishment of the liability component of the notes, while the remaining $107.9 million was allocated to the reacquisition of the equity component and recorded as a reduction to additional paid-in capital in the consolidated statement of shareholders’ equity. The Company recognized a loss on debt extinguishment of $7.8 million in the third quarter of 2020, which is included in interest expense, net in the consolidated statements of operations and comprehensive income.</w:t>
      </w:r>
    </w:p>
    <w:p>
      <w:pPr>
        <w:spacing w:after="0" w:line="11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the first nine months of 2020, the Company recorded interest expense on the 2022 Notes of $10.7 million which consisted of $1.3 million associated with the 0.625% coupon rate, $8.4 million associated with the accretion of the debt discount, and $1.0 million associated with the amortization of the debt issuance costs. In the first nine months of 2019, the Company recorded interest expense on the 2022 Notes of $11.5 million which consisted of $1.4 million associated with the 0.625% coupon rate, $9.0 million associated with the accretion of the debt discount, and $1.1 million associated with the amortization of the debt issuance costs. The debt discount is being amortized over the term of the debt.</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2020, the fair value of the 2022 Notes is estimated to be approximately $265.6 million using the Level 1 observable input of the last quoted market price for the quarter ended September 30,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gross carrying amount, unamortized debt cost, debt issuance costs and net carrying value of the liability component of the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w w:val="96"/>
              </w:rPr>
              <w:t>September 30,</w:t>
            </w:r>
          </w:p>
        </w:tc>
        <w:tc>
          <w:tcPr>
            <w:tcW w:w="30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carrying amount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169,692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299,991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Unamortized debt discount</w:t>
            </w:r>
          </w:p>
        </w:tc>
        <w:tc>
          <w:tcPr>
            <w:tcW w:w="20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12,639</w:t>
            </w:r>
          </w:p>
        </w:tc>
        <w:tc>
          <w:tcPr>
            <w:tcW w:w="3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31,789</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1,515</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3,811</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carrying amount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155,538</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264,391</w:t>
            </w:r>
          </w:p>
        </w:tc>
      </w:tr>
      <w:tr>
        <w:trPr>
          <w:trHeight w:val="34"/>
        </w:trPr>
        <w:tc>
          <w:tcPr>
            <w:tcW w:w="8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Hedge and Warrants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24, 2020, in connection with the issuance of the 2025 Notes, the Company entered into Convertible Note Hedge (the “2020 Hedge”) and warrant transactions with respect to the Company’s common stock. The Company used approximately $63.0 million of the net proceeds from the 2025 Notes to pay for the cost of the 2020 Hedge, after such cost was partially offset by the proceeds from the warrant transactions.</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24, 2020, the Company paid $124.2 million to the counterparties for the 2020 Hedge transactions. The 2020 Hedge transactions cover 1.2 million shares of the Company’s common stock, the same number of shares initially underlying the 2025 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Notes.</w:t>
      </w:r>
    </w:p>
    <w:p>
      <w:pPr>
        <w:spacing w:after="0" w:line="12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On July 24, 2020, the Company received aggregate proceeds of approximately $61.2 million from the sale of the 2020 Warrants.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2020 Hedge and 2020 Warrants transactions are indexed to, and potentially settled in, the Company's common stock and the net cost of $63.0 million has been recorded as a reduction to additional paid-in capital in the consolidated statement of shareholders’ equity.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Hedge and Warrants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31, 2017, in connection with the issuance of the 2022 Notes, the Company entered into Convertible Note Hedge (the “2017 Hedge”) and warrant transactions with respect to the Company’s common stock. The Company used approximately $18.1 million of the net proceeds from the 2022 Notes to pay for the cost of the 2017 Hedge, after such cost was partially offset by the proceeds from the warrant transactions.</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May 31, 2017, the Company paid $61.5 million to the counterparties for the 2017 Hedge transactions. The 2017 Hedge transactions initially covered 1.4 million shares of the Company’s common stock, the same number of shares initially underlying the 2022 Notes, and are exercisable upon any conversion of the 2022 Notes. The 2017 Hedge transactions are expected generally to reduce the potential dilution to the Company's common stock upon conversion of the 2022 Notes and/or offset any cash payments the Company is required to make in excess of the principal amount of the converted 2022 Notes, as the case may be, in the event that the market price per share of common stock, as measured under the terms of the 2017 Hedge transactions, is greater than the strike price of the 2017 Hedge transactions, which initially corresponds to the initial conversion price of the 2022 Notes, or approximately $207.63 per share of common stock. The 2017 Hedge transactions will expire upon the maturity of the Notes.</w:t>
      </w:r>
    </w:p>
    <w:p>
      <w:pPr>
        <w:spacing w:after="0" w:line="11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May 31, 2017, the Company sold to the counterparties, warrants (the “2017 Warrants”) to acquire 1.4 million shares of the Company's common stock at an initial strike price of $266.39 per share, which represents a premium of 70% over the last reported sale price of the common stock of $156.70 on May 24, 2017. On May 31, 2017, the Company received aggregate proceeds of approximately $43.4 million from the sale of the 2017 Warrants. If the market price per share of the common stock, as measured under the terms of the 2017 Warrants, exceeds the strike price of the 2017 Warrants, the 2017 Warrants could have a dilutive effect, unless the Company elects, subject to certain conditions, to settle the 2017 Warrants in cash.</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2017 Hedge and 2017 Warrants transactions are indexed to, and potentially settled in, the Company's common stock and the net cost of $18.1 million was recorded as a reduction to additional paid-in capital in the consolidated statement of shareholders’ equity.</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To the extent of the repurchases of the 2022 Notes noted above, the Company entered into agreements with the counterparties for the 2017 Hedge and 2017 Warrants transactions to terminate a portion of these call spread transactions effective July 24, 2020 in notional amounts corresponding to the principal amount of the 2022 Notes repurchased. Subsequent to such termination, the outstanding portion of the 2017 Hedge covers 0.8 million shares of the Company's common stock and 2017 Warrants to acquire 0.8 million shares of the Company's common stock remain outstanding. The Company received $109.9 million and paid $94.3 million as a result of terminating such portions of the 2017 Hedge and 2017 Warrants, respectively. The net $15.6 million has been recorded as an increase to additional paid-in capital in the consolidated statement of shareholders’ equity.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December 10, 2019, the Company's wholly-owned subsidiary, LendingTree, LLC, entered into an amended and restated $500.0 million five-year senior secured revolving credit facility (the "Amended Revolving Credit Facility") which amended and restated the Company's previous $350.0 million five-year senior secured revolving credit facility (the “2017 Revolving Credit Facility”). The Amended Revolving Credit Facility matures on December 10, 2024. Borrowings under the Amended Revolving Credit Facility can be used to finance working capital needs, capital expenditures and general corporate purposes, including to finance permitted acquisitions. As of September 30, 2020, the Company had no borrowings outstanding under the Amended Revolving Credit Facility. As of December 31, 2019, the Company had $75.0 million in borrowings outstanding under the Amended Revolving Credit Facility at the LIBO rate option with a weighted average interest rate of 3.01%, consisting of a $50.0 million 31-day borrowing and a $25.0 million 31-day borrowing.</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Up to $10.0 million of the Amended Revolving Credit Facility will be available for short-term loans, referred to as swingline loans. Under certain conditions, the Company will be permitted to add one or more term loans and/or increase revolving commitments under the Amended Revolving Credit Facility by an additional amount equal to the greater of $185.0 million or 100% of Consolidated EBITDA as defined, or a greater amount provided that a total consolidated senior secured debt to EBITDA ratio does not exceed 2.50 to 1.00. Additionally, up to $10.0 million of the Amended Revolving Credit Facility will be available for the issuance of letters of credit. At each of September 30, 2020 and December 31, 2019, the Company had outstanding one letter of credit issued in the amount of $0.2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borrowings under the Amended Revolving Credit Facility bear interest at annual rates that, at the Company’s option, will be either:</w:t>
      </w:r>
    </w:p>
    <w:p>
      <w:pPr>
        <w:spacing w:after="0" w:line="194" w:lineRule="exact"/>
        <w:rPr>
          <w:sz w:val="20"/>
          <w:szCs w:val="20"/>
          <w:color w:val="auto"/>
        </w:rPr>
      </w:pPr>
    </w:p>
    <w:p>
      <w:pPr>
        <w:jc w:val="both"/>
        <w:ind w:left="660" w:right="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Truist Bank, (b) the federal funds effective rate plus 0.5% and (c) the LIBO rate (defined below) on a daily basis applicable for an interest period of one month plus 1.0% and (ii) an applicable percentage of 0.25% to 1.0% based on a total consolidated debt to EBITDA ratio; or</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1.25% to 2.0% based on a total consolidated debt to EBITDA ratio.</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Amended Revolving Credit Facility contains a restrictive financial covenant, which initially limits the total consolidated debt to EBITDA ratio to 4.5, with step downs to 4.0 over time, except that this may increase by 0.5 for the four fiscal quarters following a material acquisition. In addition, the Amended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21, 2020, the Company executed a temporary amendment to its Amended Revolving Credit Facility to provide for certain covenant relief, primarily to facilitate the issuance of the 2025 Notes, the repurchase of a portion of the 2022 Notes, and to pay down existing borrowings under the credit facility.</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amendment amends the existing credit agreement to, among other things: (i) temporarily replace the total consolidated debt to EBITDA ratio covenant with a consolidated liquidity covenant requiring the Company to maintain unrestricted cash and cash equivalents in the United States plus amounts available and permitted to be drawn under the Amended Revolving Credit Facility to be no less than $200.0 million; (ii) impose additional limitations on certain restricted payments during such temporary period; and (iii) increase the applicable margins to (x) 2.25% for loans based on the LIBO rate and (y) 1.25% for loans based on the base rate, subject to a 0.75% floor, and unused commitment fees to 0.50% under the Amended Revolving Credit Facility during the temporary period. These amendments shall apply from the effective date through the fiscal quarter ending June 30, 2021, unless terminated in advance by the Company.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was in compliance with all covenants at September 30, 2020.</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Amended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1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Except as noted in the covenant relief discussion above, the Company is required to pay an unused commitment fee quarterly in arrears on the difference between committed amounts and amounts actually borrowed under the Amended Revolving Credit Facility equal to an applicable percentage of 0.25% to 0.45% per annum based on a total consolidated debt to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1.25% to 2.0% based on a total consolidated debt to EBITDA ratio. The letter of credit fronting fee is 0.125% per annum on the face amount of each letter of credit.</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the remaining unamortized debt issuance costs associated with the original revolving credit facility and the Revolving Credit Facility, debt issuance costs of $2.8 million related to the Amended Revolving Credit Facility entered into on December 10, 2019 are being amortized to interest expense over the life of the Amended Revolving Credit Facility. Debt issuance costs of $1.1 million related to the July 21, 2020 temporary amendment are being amortized to interest expense through June 30,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2021, unless the temporary amendment is terminated in advance by the Company. Unamortized debt issuance costs are included in prepaid and other current assets and other non-current assets in the Company's consolidated balance sheet.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nine months of 2020, the Company recorded interest expense related to the Amended Revolving Credit Facility of $3.2 million which consisted of $1.3 million associated with borrowings bearing interest at the LIBO rate, $1.1 million in unused commitment fees, and $0.8 million associated with the amortization of the debt issuance costs. In the first nine months of 2019, the Company recorded interest expense related to the revolving credit facility of $5.1 million which consisted of $4.2 million associated with borrowings bearing interest at the LIBO rate, $0.5 million in unused commitment fees, and $0.4 million associated with the amortization of the debt issuance costs.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15,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As of September 30, 2020, the Company had litigation settlement accruals of $0.1 million and $0.5 million in continuing operations and discontinued operations, respectively. As of December 31, 2019, the Company had litigation settlement accruals of $0.2 million and $31.0 million in continuing operations and discontinued operations, respectively. The litigation settlement accruals relate to litigation matters that were either settled or a firm offer for settlement was extended, thereby establishing an accrual amount that is both probable and reasonably estimable.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18—Discontinued Operations for additional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 MEASUREMENTS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Other than the convertible notes and warrants, as well as the equity interest in Stash, the carrying amounts of the Company's financial instruments are equal to fair value at September 30, 2020.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14—Debt for additional information on the convertible notes and warrants, and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for additional information on the equity interest in Stash.</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Contingent consideration payments related to acquisitions are measured at fair value each reporting period using Level 3 unobservable inputs. The changes in the fair value of the Company's Level 3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4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2019</w:t>
            </w:r>
          </w:p>
        </w:tc>
      </w:tr>
      <w:tr>
        <w:trPr>
          <w:trHeight w:val="249"/>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Contingent consideration, 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28,517</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33,464</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38,837</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Transfers into Level 3</w:t>
            </w: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out of Level 3</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Total net losses (gains) included in earnings (realized and unrealized)</w:t>
            </w: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6,658</w:t>
            </w:r>
          </w:p>
        </w:tc>
        <w:tc>
          <w:tcPr>
            <w:tcW w:w="5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3,839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7,711</w:t>
            </w:r>
          </w:p>
        </w:tc>
        <w:tc>
          <w:tcPr>
            <w:tcW w:w="4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21,221</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(6,000)</w:t>
            </w:r>
          </w:p>
        </w:tc>
        <w:tc>
          <w:tcPr>
            <w:tcW w:w="4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7"/>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Contingent consideration,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35,175</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54,058</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35,175</w:t>
            </w:r>
          </w:p>
        </w:tc>
        <w:tc>
          <w:tcPr>
            <w:tcW w:w="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54,058</w:t>
            </w:r>
          </w:p>
        </w:tc>
      </w:tr>
      <w:tr>
        <w:trPr>
          <w:trHeight w:val="34"/>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contingent consideration liability at September 30, 2020 is the estimated fair value of the earnout payments of the Ovation and QuoteWizard acquisitions.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In October 2020, the Company made an earnout payment of $4.4 million based on the achievement of certain defined operating metrics for Ovation. The Company will make earnout payments ranging from zero to $46.8 million based on the achievement of certain defined performance targets for QuoteWizard.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8—Business Acquisitions for additional information on the contingent consideration for each of these respective acquisitions.</w:t>
      </w:r>
    </w:p>
    <w:p>
      <w:pPr>
        <w:sectPr>
          <w:pgSz w:w="11900" w:h="16838" w:orient="portrait"/>
          <w:cols w:equalWidth="0" w:num="1">
            <w:col w:w="11240"/>
          </w:cols>
          <w:pgMar w:left="320" w:top="125" w:right="339"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significant unobservable inputs used to calculate the fair value of the contingent consideration are estimated future cash flows for the acquisitions and the discount rate. Actual results will differ from the projected results and could have a significant impact on the estimated fair value of the contingent considerations. Additionally, as the liability is stated at present value, the passage of time alone will increase the estimated fair value of the liability each reporting period. Any changes in fair value will be recorded in operating income in the consolidated statements of operations and comprehensive income.</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quantitative information about Level 3 fair value measurements.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Fair Value at</w:t>
            </w:r>
          </w:p>
        </w:tc>
        <w:tc>
          <w:tcPr>
            <w:tcW w:w="24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43"/>
        </w:trPr>
        <w:tc>
          <w:tcPr>
            <w:tcW w:w="1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tcPr>
          <w:p>
            <w:pPr>
              <w:jc w:val="center"/>
              <w:ind w:left="195"/>
              <w:spacing w:after="0"/>
              <w:rPr>
                <w:sz w:val="20"/>
                <w:szCs w:val="20"/>
                <w:color w:val="auto"/>
              </w:rPr>
            </w:pPr>
            <w:r>
              <w:rPr>
                <w:rFonts w:ascii="Arial" w:cs="Arial" w:eastAsia="Arial" w:hAnsi="Arial"/>
                <w:sz w:val="16"/>
                <w:szCs w:val="16"/>
                <w:b w:val="1"/>
                <w:bCs w:val="1"/>
                <w:color w:val="auto"/>
                <w:w w:val="89"/>
              </w:rPr>
              <w:t>September 30, 2020</w:t>
            </w:r>
          </w:p>
        </w:tc>
        <w:tc>
          <w:tcPr>
            <w:tcW w:w="240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rPr>
              <w:t>Valuation Technique</w:t>
            </w:r>
          </w:p>
        </w:tc>
        <w:tc>
          <w:tcPr>
            <w:tcW w:w="2940" w:type="dxa"/>
            <w:vAlign w:val="bottom"/>
            <w:tcBorders>
              <w:bottom w:val="single" w:sz="8" w:color="auto"/>
            </w:tcBorders>
          </w:tcPr>
          <w:p>
            <w:pPr>
              <w:ind w:left="1000"/>
              <w:spacing w:after="0"/>
              <w:rPr>
                <w:sz w:val="20"/>
                <w:szCs w:val="20"/>
                <w:color w:val="auto"/>
              </w:rPr>
            </w:pPr>
            <w:r>
              <w:rPr>
                <w:rFonts w:ascii="Arial" w:cs="Arial" w:eastAsia="Arial" w:hAnsi="Arial"/>
                <w:sz w:val="16"/>
                <w:szCs w:val="16"/>
                <w:b w:val="1"/>
                <w:bCs w:val="1"/>
                <w:color w:val="auto"/>
              </w:rPr>
              <w:t>Unobservable Input</w:t>
            </w:r>
          </w:p>
        </w:tc>
        <w:tc>
          <w:tcPr>
            <w:tcW w:w="29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Range (Weighted Average)</w:t>
            </w:r>
            <w:r>
              <w:rPr>
                <w:rFonts w:ascii="Arial" w:cs="Arial" w:eastAsia="Arial" w:hAnsi="Arial"/>
                <w:sz w:val="21"/>
                <w:szCs w:val="21"/>
                <w:b w:val="1"/>
                <w:bCs w:val="1"/>
                <w:color w:val="auto"/>
                <w:vertAlign w:val="superscript"/>
              </w:rPr>
              <w:t>(a)</w:t>
            </w:r>
          </w:p>
        </w:tc>
      </w:tr>
      <w:tr>
        <w:trPr>
          <w:trHeight w:val="184"/>
        </w:trPr>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i w:val="1"/>
                <w:iCs w:val="1"/>
                <w:color w:val="auto"/>
                <w:w w:val="89"/>
              </w:rPr>
              <w:t>(in thousands)</w:t>
            </w:r>
          </w:p>
        </w:tc>
        <w:tc>
          <w:tcPr>
            <w:tcW w:w="24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80"/>
        </w:trPr>
        <w:tc>
          <w:tcPr>
            <w:tcW w:w="1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940" w:type="dxa"/>
            <w:vAlign w:val="bottom"/>
          </w:tcPr>
          <w:p>
            <w:pPr>
              <w:spacing w:after="0"/>
              <w:rPr>
                <w:sz w:val="6"/>
                <w:szCs w:val="6"/>
                <w:color w:val="auto"/>
              </w:rPr>
            </w:pPr>
          </w:p>
        </w:tc>
        <w:tc>
          <w:tcPr>
            <w:tcW w:w="2900" w:type="dxa"/>
            <w:vAlign w:val="bottom"/>
          </w:tcPr>
          <w:p>
            <w:pPr>
              <w:spacing w:after="0"/>
              <w:rPr>
                <w:sz w:val="6"/>
                <w:szCs w:val="6"/>
                <w:color w:val="auto"/>
              </w:rPr>
            </w:pPr>
          </w:p>
        </w:tc>
      </w:tr>
      <w:tr>
        <w:trPr>
          <w:trHeight w:val="229"/>
        </w:trPr>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35,175</w:t>
            </w:r>
          </w:p>
        </w:tc>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 pricing model</w:t>
            </w: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results growth rate</w:t>
            </w:r>
          </w:p>
        </w:tc>
        <w:tc>
          <w:tcPr>
            <w:tcW w:w="2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24.4% - 25.7% (25.1%)</w:t>
            </w:r>
          </w:p>
        </w:tc>
      </w:tr>
      <w:tr>
        <w:trPr>
          <w:trHeight w:val="237"/>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w:t>
            </w:r>
          </w:p>
        </w:tc>
        <w:tc>
          <w:tcPr>
            <w:tcW w:w="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Discount rate</w:t>
            </w:r>
          </w:p>
        </w:tc>
        <w:tc>
          <w:tcPr>
            <w:tcW w:w="2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660" w:right="20" w:hanging="328"/>
        <w:spacing w:after="0" w:line="277" w:lineRule="auto"/>
        <w:tabs>
          <w:tab w:leader="none" w:pos="5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Discount rates were weighted by the relative undiscounted value of expected earnout payments. Other unobservable inputs were weighted by the relative maximum potential earnout payments.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INFORMATION</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for the purpose of assessing performance and allocating resources. The Company changed its reportable segments in the fourth quarter of 2019 and previously reported segment results have been revised to conform to the Company's reportable segments at September 30, 2020.</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Home segment includes the following products: purchase mortgage, refinance mortgage, home equity loans and lines of credit, reverse mortgage loans, and real estate. The Consumer segment includes the following products: credit cards, personal loans, small business loans, student loans, auto loans, deposit accounts, and other credit products such as credit repair and debt settlement. The Insurance segment consists of insurance quote products. Revenue from the resale of online advertising space to third parties and revenue from home improvement referrals, and the related variable marketing and advertising expenses, are included within the Other category.</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tables are a reconciliation of segment profit, which is the Company's primary segment profitability measure, to income before income taxes and discontinued operations. Segment cost of revenue and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 For the Other category, segment cost of revenue and marketing expense also includes the portion of cost of revenue attributable to costs paid for advertising re-sold to third parties. The Company ceased reselling online advertising space during the first quarter of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5"/>
          </w:tcPr>
          <w:p>
            <w:pPr>
              <w:jc w:val="center"/>
              <w:ind w:right="141"/>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50"/>
        </w:trPr>
        <w:tc>
          <w:tcPr>
            <w:tcW w:w="5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Home</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Insurance</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i w:val="1"/>
                <w:iCs w:val="1"/>
                <w:color w:val="auto"/>
                <w:w w:val="92"/>
              </w:rPr>
              <w:t>(in thousands)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78,859</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48,377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92,500</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515</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220,251</w:t>
            </w:r>
          </w:p>
        </w:tc>
      </w:tr>
      <w:tr>
        <w:trPr>
          <w:trHeight w:val="223"/>
        </w:trPr>
        <w:tc>
          <w:tcPr>
            <w:tcW w:w="5080" w:type="dxa"/>
            <w:vAlign w:val="bottom"/>
          </w:tcPr>
          <w:p>
            <w:pPr>
              <w:ind w:left="40"/>
              <w:spacing w:after="0"/>
              <w:rPr>
                <w:sz w:val="20"/>
                <w:szCs w:val="20"/>
                <w:color w:val="auto"/>
              </w:rPr>
            </w:pPr>
            <w:r>
              <w:rPr>
                <w:rFonts w:ascii="Arial" w:cs="Arial" w:eastAsia="Arial" w:hAnsi="Arial"/>
                <w:sz w:val="16"/>
                <w:szCs w:val="16"/>
                <w:color w:val="auto"/>
              </w:rPr>
              <w:t>Segment marketing expense</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53,693</w:t>
            </w:r>
          </w:p>
        </w:tc>
        <w:tc>
          <w:tcPr>
            <w:tcW w:w="26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26,730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55,457</w:t>
            </w:r>
          </w:p>
        </w:tc>
        <w:tc>
          <w:tcPr>
            <w:tcW w:w="32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513</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136,393</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Segment profit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25,166</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21,647</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37,043</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83,858</w:t>
            </w:r>
          </w:p>
        </w:tc>
      </w:tr>
      <w:tr>
        <w:trPr>
          <w:trHeight w:val="231"/>
        </w:trPr>
        <w:tc>
          <w:tcPr>
            <w:tcW w:w="5080" w:type="dxa"/>
            <w:vAlign w:val="bottom"/>
          </w:tcPr>
          <w:p>
            <w:pPr>
              <w:ind w:left="180"/>
              <w:spacing w:after="0"/>
              <w:rPr>
                <w:sz w:val="20"/>
                <w:szCs w:val="20"/>
                <w:color w:val="auto"/>
              </w:rPr>
            </w:pPr>
            <w:r>
              <w:rPr>
                <w:rFonts w:ascii="Arial" w:cs="Arial" w:eastAsia="Arial" w:hAnsi="Arial"/>
                <w:sz w:val="16"/>
                <w:szCs w:val="16"/>
                <w:color w:val="auto"/>
              </w:rPr>
              <w:t>Cost of revenue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13,220</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18,277</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33,705</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11,477</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3,535</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13,090</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6,658</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17"/>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(16,117)</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(16,617)</w:t>
            </w:r>
          </w:p>
        </w:tc>
      </w:tr>
      <w:tr>
        <w:trPr>
          <w:trHeight w:val="257"/>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Loss before income taxes and discontinued operations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(32,734)</w:t>
            </w:r>
          </w:p>
        </w:tc>
      </w:tr>
      <w:tr>
        <w:trPr>
          <w:trHeight w:val="777"/>
        </w:trPr>
        <w:tc>
          <w:tcPr>
            <w:tcW w:w="5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jc w:val="center"/>
              <w:ind w:right="141"/>
              <w:spacing w:after="0"/>
              <w:rPr>
                <w:sz w:val="20"/>
                <w:szCs w:val="20"/>
                <w:color w:val="auto"/>
              </w:rPr>
            </w:pPr>
            <w:r>
              <w:rPr>
                <w:rFonts w:ascii="Arial" w:cs="Arial" w:eastAsia="Arial" w:hAnsi="Arial"/>
                <w:sz w:val="14"/>
                <w:szCs w:val="14"/>
                <w:b w:val="1"/>
                <w:bCs w:val="1"/>
                <w:color w:val="auto"/>
                <w:w w:val="92"/>
              </w:rPr>
              <w:t>Three Months Ended September 30, 2019</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50"/>
        </w:trPr>
        <w:tc>
          <w:tcPr>
            <w:tcW w:w="5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Home</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Insurance</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i w:val="1"/>
                <w:iCs w:val="1"/>
                <w:color w:val="auto"/>
                <w:w w:val="92"/>
              </w:rPr>
              <w:t>(in thousands)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77,265</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151,929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74,849</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6,562</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310,605</w:t>
            </w:r>
          </w:p>
        </w:tc>
      </w:tr>
      <w:tr>
        <w:trPr>
          <w:trHeight w:val="223"/>
        </w:trPr>
        <w:tc>
          <w:tcPr>
            <w:tcW w:w="5080" w:type="dxa"/>
            <w:vAlign w:val="bottom"/>
          </w:tcPr>
          <w:p>
            <w:pPr>
              <w:ind w:left="40"/>
              <w:spacing w:after="0"/>
              <w:rPr>
                <w:sz w:val="20"/>
                <w:szCs w:val="20"/>
                <w:color w:val="auto"/>
              </w:rPr>
            </w:pPr>
            <w:r>
              <w:rPr>
                <w:rFonts w:ascii="Arial" w:cs="Arial" w:eastAsia="Arial" w:hAnsi="Arial"/>
                <w:sz w:val="16"/>
                <w:szCs w:val="16"/>
                <w:color w:val="auto"/>
              </w:rPr>
              <w:t>Segment cost of revenue and marketing expense</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49,173</w:t>
            </w:r>
          </w:p>
        </w:tc>
        <w:tc>
          <w:tcPr>
            <w:tcW w:w="26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86,760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44,846</w:t>
            </w:r>
          </w:p>
        </w:tc>
        <w:tc>
          <w:tcPr>
            <w:tcW w:w="32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6,178</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186,957</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Segment profit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28,092</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65,169</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30,003</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384</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123,648</w:t>
            </w:r>
          </w:p>
        </w:tc>
      </w:tr>
      <w:tr>
        <w:trPr>
          <w:trHeight w:val="200"/>
        </w:trPr>
        <w:tc>
          <w:tcPr>
            <w:tcW w:w="5080" w:type="dxa"/>
            <w:vAlign w:val="bottom"/>
          </w:tcPr>
          <w:p>
            <w:pPr>
              <w:ind w:left="180"/>
              <w:spacing w:after="0"/>
              <w:rPr>
                <w:sz w:val="20"/>
                <w:szCs w:val="20"/>
                <w:color w:val="auto"/>
              </w:rPr>
            </w:pPr>
            <w:r>
              <w:rPr>
                <w:rFonts w:ascii="Arial" w:cs="Arial" w:eastAsia="Arial" w:hAnsi="Arial"/>
                <w:sz w:val="16"/>
                <w:szCs w:val="16"/>
                <w:color w:val="auto"/>
                <w:w w:val="97"/>
              </w:rPr>
              <w:t>Cost of revenue (exclusive of cost of advertising re-sold to third parties</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06"/>
        </w:trPr>
        <w:tc>
          <w:tcPr>
            <w:tcW w:w="5080" w:type="dxa"/>
            <w:vAlign w:val="bottom"/>
          </w:tcPr>
          <w:p>
            <w:pPr>
              <w:ind w:left="180"/>
              <w:spacing w:after="0"/>
              <w:rPr>
                <w:sz w:val="20"/>
                <w:szCs w:val="20"/>
                <w:color w:val="auto"/>
              </w:rPr>
            </w:pPr>
            <w:r>
              <w:rPr>
                <w:rFonts w:ascii="Arial" w:cs="Arial" w:eastAsia="Arial" w:hAnsi="Arial"/>
                <w:sz w:val="16"/>
                <w:szCs w:val="16"/>
                <w:color w:val="auto"/>
              </w:rPr>
              <w:t>included above)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11,862</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19,670</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30,323</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10,200</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2,696</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13,778</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3,839</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31,193</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(4,845)</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r>
      <w:tr>
        <w:trPr>
          <w:trHeight w:val="257"/>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26,352</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5"/>
          </w:tcPr>
          <w:p>
            <w:pPr>
              <w:jc w:val="center"/>
              <w:ind w:right="141"/>
              <w:spacing w:after="0"/>
              <w:rPr>
                <w:sz w:val="20"/>
                <w:szCs w:val="20"/>
                <w:color w:val="auto"/>
              </w:rPr>
            </w:pPr>
            <w:r>
              <w:rPr>
                <w:rFonts w:ascii="Arial" w:cs="Arial" w:eastAsia="Arial" w:hAnsi="Arial"/>
                <w:sz w:val="14"/>
                <w:szCs w:val="14"/>
                <w:b w:val="1"/>
                <w:bCs w:val="1"/>
                <w:color w:val="auto"/>
                <w:w w:val="92"/>
              </w:rPr>
              <w:t>Nine Months Ended September 30, 2020</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50"/>
        </w:trPr>
        <w:tc>
          <w:tcPr>
            <w:tcW w:w="5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Home</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Insurance</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i w:val="1"/>
                <w:iCs w:val="1"/>
                <w:color w:val="auto"/>
                <w:w w:val="92"/>
              </w:rPr>
              <w:t>(in thousands)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232,156</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205,419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248,156</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1,930</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687,661</w:t>
            </w:r>
          </w:p>
        </w:tc>
      </w:tr>
      <w:tr>
        <w:trPr>
          <w:trHeight w:val="223"/>
        </w:trPr>
        <w:tc>
          <w:tcPr>
            <w:tcW w:w="5080" w:type="dxa"/>
            <w:vAlign w:val="bottom"/>
          </w:tcPr>
          <w:p>
            <w:pPr>
              <w:ind w:left="40"/>
              <w:spacing w:after="0"/>
              <w:rPr>
                <w:sz w:val="20"/>
                <w:szCs w:val="20"/>
                <w:color w:val="auto"/>
              </w:rPr>
            </w:pPr>
            <w:r>
              <w:rPr>
                <w:rFonts w:ascii="Arial" w:cs="Arial" w:eastAsia="Arial" w:hAnsi="Arial"/>
                <w:sz w:val="16"/>
                <w:szCs w:val="16"/>
                <w:color w:val="auto"/>
              </w:rPr>
              <w:t>Segment cost of revenue and marketing expense</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132,353</w:t>
            </w:r>
          </w:p>
        </w:tc>
        <w:tc>
          <w:tcPr>
            <w:tcW w:w="26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121,271</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150,458</w:t>
            </w:r>
          </w:p>
        </w:tc>
        <w:tc>
          <w:tcPr>
            <w:tcW w:w="32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2,175</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406,257</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99,803</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84,148</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97,698</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(245)</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281,404</w:t>
            </w:r>
          </w:p>
        </w:tc>
      </w:tr>
      <w:tr>
        <w:trPr>
          <w:trHeight w:val="200"/>
        </w:trPr>
        <w:tc>
          <w:tcPr>
            <w:tcW w:w="5080" w:type="dxa"/>
            <w:vAlign w:val="bottom"/>
          </w:tcPr>
          <w:p>
            <w:pPr>
              <w:ind w:left="180"/>
              <w:spacing w:after="0"/>
              <w:rPr>
                <w:sz w:val="20"/>
                <w:szCs w:val="20"/>
                <w:color w:val="auto"/>
              </w:rPr>
            </w:pPr>
            <w:r>
              <w:rPr>
                <w:rFonts w:ascii="Arial" w:cs="Arial" w:eastAsia="Arial" w:hAnsi="Arial"/>
                <w:sz w:val="16"/>
                <w:szCs w:val="16"/>
                <w:color w:val="auto"/>
                <w:w w:val="97"/>
              </w:rPr>
              <w:t>Cost of revenue (exclusive of cost of advertising re-sold to third parties</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06"/>
        </w:trPr>
        <w:tc>
          <w:tcPr>
            <w:tcW w:w="5080" w:type="dxa"/>
            <w:vAlign w:val="bottom"/>
          </w:tcPr>
          <w:p>
            <w:pPr>
              <w:ind w:left="180"/>
              <w:spacing w:after="0"/>
              <w:rPr>
                <w:sz w:val="20"/>
                <w:szCs w:val="20"/>
                <w:color w:val="auto"/>
              </w:rPr>
            </w:pPr>
            <w:r>
              <w:rPr>
                <w:rFonts w:ascii="Arial" w:cs="Arial" w:eastAsia="Arial" w:hAnsi="Arial"/>
                <w:sz w:val="16"/>
                <w:szCs w:val="16"/>
                <w:color w:val="auto"/>
              </w:rPr>
              <w:t>included above)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39,850</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58,958</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94,276</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33,252</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10,463</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40,603</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7,711</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(983)</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(2,916)</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(26,406)</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r>
      <w:tr>
        <w:trPr>
          <w:trHeight w:val="257"/>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Loss before income taxes and discontinued operations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(29,315)</w:t>
            </w:r>
          </w:p>
        </w:tc>
      </w:tr>
      <w:tr>
        <w:trPr>
          <w:trHeight w:val="777"/>
        </w:trPr>
        <w:tc>
          <w:tcPr>
            <w:tcW w:w="5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jc w:val="center"/>
              <w:ind w:right="141"/>
              <w:spacing w:after="0"/>
              <w:rPr>
                <w:sz w:val="20"/>
                <w:szCs w:val="20"/>
                <w:color w:val="auto"/>
              </w:rPr>
            </w:pPr>
            <w:r>
              <w:rPr>
                <w:rFonts w:ascii="Arial" w:cs="Arial" w:eastAsia="Arial" w:hAnsi="Arial"/>
                <w:sz w:val="14"/>
                <w:szCs w:val="14"/>
                <w:b w:val="1"/>
                <w:bCs w:val="1"/>
                <w:color w:val="auto"/>
                <w:w w:val="92"/>
              </w:rPr>
              <w:t>Nine Months Ended September 30, 2019</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50"/>
        </w:trPr>
        <w:tc>
          <w:tcPr>
            <w:tcW w:w="5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Home</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Insurance</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i w:val="1"/>
                <w:iCs w:val="1"/>
                <w:color w:val="auto"/>
                <w:w w:val="92"/>
              </w:rPr>
              <w:t>(in thousands)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212,458</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401,621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213,882</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23,455</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851,416</w:t>
            </w:r>
          </w:p>
        </w:tc>
      </w:tr>
      <w:tr>
        <w:trPr>
          <w:trHeight w:val="223"/>
        </w:trPr>
        <w:tc>
          <w:tcPr>
            <w:tcW w:w="5080" w:type="dxa"/>
            <w:vAlign w:val="bottom"/>
          </w:tcPr>
          <w:p>
            <w:pPr>
              <w:ind w:left="40"/>
              <w:spacing w:after="0"/>
              <w:rPr>
                <w:sz w:val="20"/>
                <w:szCs w:val="20"/>
                <w:color w:val="auto"/>
              </w:rPr>
            </w:pPr>
            <w:r>
              <w:rPr>
                <w:rFonts w:ascii="Arial" w:cs="Arial" w:eastAsia="Arial" w:hAnsi="Arial"/>
                <w:sz w:val="16"/>
                <w:szCs w:val="16"/>
                <w:color w:val="auto"/>
              </w:rPr>
              <w:t>Segment cost of revenue and marketing expense</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136,235</w:t>
            </w:r>
          </w:p>
        </w:tc>
        <w:tc>
          <w:tcPr>
            <w:tcW w:w="26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231,707</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127,209</w:t>
            </w:r>
          </w:p>
        </w:tc>
        <w:tc>
          <w:tcPr>
            <w:tcW w:w="32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21,967</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517,118</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Segment profit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76,223</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169,914</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86,673</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1,488</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334,298</w:t>
            </w:r>
          </w:p>
        </w:tc>
      </w:tr>
      <w:tr>
        <w:trPr>
          <w:trHeight w:val="200"/>
        </w:trPr>
        <w:tc>
          <w:tcPr>
            <w:tcW w:w="5080" w:type="dxa"/>
            <w:vAlign w:val="bottom"/>
          </w:tcPr>
          <w:p>
            <w:pPr>
              <w:ind w:left="180"/>
              <w:spacing w:after="0"/>
              <w:rPr>
                <w:sz w:val="20"/>
                <w:szCs w:val="20"/>
                <w:color w:val="auto"/>
              </w:rPr>
            </w:pPr>
            <w:r>
              <w:rPr>
                <w:rFonts w:ascii="Arial" w:cs="Arial" w:eastAsia="Arial" w:hAnsi="Arial"/>
                <w:sz w:val="16"/>
                <w:szCs w:val="16"/>
                <w:color w:val="auto"/>
                <w:w w:val="97"/>
              </w:rPr>
              <w:t>Cost of revenue (exclusive of cost of advertising re-sold to third parties</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06"/>
        </w:trPr>
        <w:tc>
          <w:tcPr>
            <w:tcW w:w="5080" w:type="dxa"/>
            <w:vAlign w:val="bottom"/>
          </w:tcPr>
          <w:p>
            <w:pPr>
              <w:ind w:left="180"/>
              <w:spacing w:after="0"/>
              <w:rPr>
                <w:sz w:val="20"/>
                <w:szCs w:val="20"/>
                <w:color w:val="auto"/>
              </w:rPr>
            </w:pPr>
            <w:r>
              <w:rPr>
                <w:rFonts w:ascii="Arial" w:cs="Arial" w:eastAsia="Arial" w:hAnsi="Arial"/>
                <w:sz w:val="16"/>
                <w:szCs w:val="16"/>
                <w:color w:val="auto"/>
              </w:rPr>
              <w:t>included above)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33,453</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68,418</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89,391</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30,541</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7,737</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41,485</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21,221</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636</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41,707</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(15,408)</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w:t>
            </w:r>
          </w:p>
        </w:tc>
      </w:tr>
      <w:tr>
        <w:trPr>
          <w:trHeight w:val="257"/>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26,442</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18—DISCONTINUED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LendingTree Loans Business is presented as discontinued operations in the accompanying financial statements. The LendingTree Loans Business originated various consumer mortgage loans through HLC. On June 6, 2012, the Company sold substantially all of the operating assets of HLC, including the LendingTree Loans Business, for $55.9 million in cash to a wholly-owned subsidiary of Discover Financial Services ("Discover"). Discover generally did not assume liabilities of HLC that arose before the closing date, except for certain liabilities directly related to assets Discover acquired. A portion of the purchase price</w:t>
      </w:r>
    </w:p>
    <w:p>
      <w:pPr>
        <w:sectPr>
          <w:pgSz w:w="11900" w:h="16838" w:orient="portrait"/>
          <w:cols w:equalWidth="0" w:num="1">
            <w:col w:w="11240"/>
          </w:cols>
          <w:pgMar w:left="320" w:top="125" w:right="339" w:bottom="1033"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25" w:right="339" w:bottom="1033"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received was deposited in escrow in accordance with the purchase agreement with Discover for certain loan loss obligations that remained with HLC following the sale. During 2018, the remaining funds in escrow were released to HLC in accordance with the terms of the purchase agreement with Discover.</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closing of the sale of substantially all of the operating assets of HLC on June 6, 2012, HLC ceased to originate consumer loans. Certain liability for losses on previously sold loans remains with HLC.</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Litigation settlements and contingencies and legal fees associated with ongoing related bankruptcy and legal proceedings against the Company are included in discontinued operations in the accompanying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Loan Center, Inc. Bankruptcy Filing</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June 21, 2019, the U.S. District Court of Minnesota entered judgment in </w:t>
      </w:r>
      <w:r>
        <w:rPr>
          <w:rFonts w:ascii="Arial" w:cs="Arial" w:eastAsia="Arial" w:hAnsi="Arial"/>
          <w:sz w:val="18"/>
          <w:szCs w:val="18"/>
          <w:i w:val="1"/>
          <w:iCs w:val="1"/>
          <w:color w:val="auto"/>
        </w:rPr>
        <w:t>ResCap Liquidating Trust v. Home Loan Center, Inc.</w:t>
      </w:r>
      <w:r>
        <w:rPr>
          <w:rFonts w:ascii="Arial" w:cs="Arial" w:eastAsia="Arial" w:hAnsi="Arial"/>
          <w:sz w:val="18"/>
          <w:szCs w:val="18"/>
          <w:color w:val="auto"/>
        </w:rPr>
        <w:t xml:space="preserve">, against HLC for $68.5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Litigation Related to Discontinued Operations below. The judgment against HLC exceeded the assets of HLC, which were $11.2 million at July 21, 2019, including cash of $5.9 million. On July 19, 2019, HLC appealed the judgment to the United States Court of Appeals for the Eighth Circuit.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21, 2019, at the direction of the sole independent director of HLC, HLC voluntarily filed a petition under Chapter 11 of the United States Bankruptcy Code (the “Bankruptcy Code”) with the U.S. Bankruptcy Court in the Northern District of California in San Jose, California (the “Bankruptcy Court”) in order to preserve assets for the benefit of all creditors of HLC. On September 16, 2019, the Bankruptcy Court converted the bankruptcy to Chapter 7 of the Bankruptcy Code and appointed a Trustee to liquidate HLC's assets.</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HLC’s filing under the Bankruptcy Code creates an automatic stay of enforcement of the judgment entered against HLC by the Minnesota court in </w:t>
      </w:r>
      <w:r>
        <w:rPr>
          <w:rFonts w:ascii="Arial" w:cs="Arial" w:eastAsia="Arial" w:hAnsi="Arial"/>
          <w:sz w:val="18"/>
          <w:szCs w:val="18"/>
          <w:i w:val="1"/>
          <w:iCs w:val="1"/>
          <w:color w:val="auto"/>
        </w:rPr>
        <w:t xml:space="preserve">ResCap Liquidating Trust v. Home Loan Center, Inc. </w:t>
      </w:r>
      <w:r>
        <w:rPr>
          <w:rFonts w:ascii="Arial" w:cs="Arial" w:eastAsia="Arial" w:hAnsi="Arial"/>
          <w:sz w:val="18"/>
          <w:szCs w:val="18"/>
          <w:color w:val="auto"/>
        </w:rPr>
        <w:t>described above and in Litigation Related to Discontinued Operations below.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petition, LendingTree, LLC was, as of the initial July 21, 2019 bankruptcy petition filing date, no longer deemed to have a controlling interest in HLC under applicable accounting standards. As a result, HLC and its consolidated subsidiary were deconsolidated from the Company’s consolidated financial statements as of July 21, 2019. The effect of such deconsolidation was the elimination of the consolidated assets and liabilities of HLC (and its consolidated subsidiary) from the Company’s consolidated balance sheets. Upon deconsolidation, in the third quarter of 2019 the Company recognized a loss of $5.5 million which includes a net gain of $4.5 million related to the removal of HLC's (and its consolidated subsidiary's) assets and liabilities and the recognition of a liability of $10.0 million related to LendingTree LLC's ownership in HLC. No consideration was received by the Company as a result of the deconsolidation.</w:t>
      </w:r>
    </w:p>
    <w:p>
      <w:pPr>
        <w:spacing w:after="0" w:line="14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HLC has indicated that it believes that it has claims against HLC’s sole shareholder, LendingTree, LLC, and certain of its officers and directors, relating to the declaration of a dividend by HLC in January 2016 of $40.0 million. LendingTree, LLC believes the declaration of the dividend was proper, that the amounts paid to LendingTree, LLC following such declaration are not subject to recovery by HLC and that any claims by HLC relating to such dividend declaration are without merit. During the second quarter of 2020, LendingTree, LLC and HLC entered into a settlement agreement in the amount of $36.0 million for the release of any and all claims against the Company defendants by HLC, including the dividend claim. The bankruptcy court held a hearing on July 16, 2020 on the motion to approve the settlement to which no objections were made, and approved the settlement the same day. The $36.0 million settlement payment was made in the third quarter of 2020. HLC’s voluntary petition under the Bankruptcy Code does not represent an event of default under LendingTree, LLC’s Second Amended and Restated Credit Agreement dated as of December 10, 2019, the Company’s indenture dated May 31, 2017 with respect to the Company’s 0.625% Convertible Senior Notes due 2022, or the Company’s indenture dated July 24, 2020 with respect to the Company’s 0.50% Convertible Senior Notes due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ResCap Liquidating Trust v. Home Loan Center, Inc., Case No. 14-cv-1716 (U.S. Dist. Ct., Minn.), </w:t>
      </w:r>
      <w:r>
        <w:rPr>
          <w:rFonts w:ascii="Arial" w:cs="Arial" w:eastAsia="Arial" w:hAnsi="Arial"/>
          <w:sz w:val="18"/>
          <w:szCs w:val="18"/>
          <w:color w:val="auto"/>
        </w:rPr>
        <w:t>successor to</w:t>
      </w:r>
      <w:r>
        <w:rPr>
          <w:rFonts w:ascii="Arial" w:cs="Arial" w:eastAsia="Arial" w:hAnsi="Arial"/>
          <w:sz w:val="18"/>
          <w:szCs w:val="18"/>
          <w:i w:val="1"/>
          <w:iCs w:val="1"/>
          <w:color w:val="auto"/>
        </w:rPr>
        <w:t xml:space="preserve"> Residential Funding Company, LLC v Home Loan Center, Inc., No. 13-cv-3451 (U.S. Dist. Ct., Minn.). </w:t>
      </w:r>
      <w:r>
        <w:rPr>
          <w:rFonts w:ascii="Arial" w:cs="Arial" w:eastAsia="Arial" w:hAnsi="Arial"/>
          <w:sz w:val="18"/>
          <w:szCs w:val="18"/>
          <w:color w:val="auto"/>
        </w:rPr>
        <w:t>On or about December 16, 2013, Home Loan Center, Inc. was served in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captioned matter, which involves claims of Residential Funding Company, LLC ("RFC") for damages for breach of contract and indemnification for certain residential mortgage loans as well as residential mortgage-backed securitizations ("RMBS") containing mortgage loans. RFC asserted that, beginning in 2008, RFC faced massive repurchase demands and lawsuits from purchasers or insurers of the loans and RMBS that RFC had sold. RFC filed for bankruptcy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protection in May 2012. Plaintiff alleged that, after RFC filed for Chapter 11 protection, hundreds of proofs of claim were filed, many of which mirrored the litigation filed against RFC prior to its bankruptcy.</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HLC, in federal and state courts in Minnesota and New York. In each case, plaintiff claimed that the defendant is liable for a portion of the global settlement in RFC’s bankruptcy.</w:t>
      </w:r>
    </w:p>
    <w:p>
      <w:pPr>
        <w:spacing w:after="0" w:line="4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Plaintiff asserted two claims against HLC: (1) breach of contract based on HLC’s alleged breach of representations and warranties concerning the quality and characteristics of the mortgage loans it sold to RFC; and (2) contractual indemnification for alleged liabilities, losses, and damages incurred by RFC arising out of purported defects in loans that RFC purchased from HLC and sold to third parties. Plaintiff alleged that the “types of defects” contained in the loans it purchased from HLC included “income misrepresentation, employment misrepresentation, appraisal misrepresentations or inaccuracies, undisclosed debt, and missing or inaccurate documents.” Plaintiff sought damages of up to $61.0 million plus attorney's fees and prejudgment interest.</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HLC denied the material allegations of the complaint and asserted numerous defenses thereto. The matter went to trial in the fourth quarter of 2018 and the jury returned a verdict of $28.7 million in favor of plaintiff. On June 21, 2019, the U.S. District Court in Minnesota entered judgment against HLC for $68.5 million. The judgment is comprised of: (i) $28.7 million in damages awarded by the jury; (ii) $14.1 million in pre-verdict interest; (iii) $23.1 million in attorneys' fees and costs, and (iv) $2.6 million in post-verdict, prejudgment interest.</w:t>
      </w:r>
    </w:p>
    <w:p>
      <w:pPr>
        <w:spacing w:after="0" w:line="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HLC’s filing under the Bankruptcy Code discussed above in Home Loan Center, Inc. Bankruptcy Filing creates an automatic stay of enforcement of the judgment entered against HLC by the U.S. District Court in Minnesota. On August 27, 2019, plaintiff filed a lawsuit captioned </w:t>
      </w:r>
      <w:r>
        <w:rPr>
          <w:rFonts w:ascii="Arial" w:cs="Arial" w:eastAsia="Arial" w:hAnsi="Arial"/>
          <w:sz w:val="17"/>
          <w:szCs w:val="17"/>
          <w:i w:val="1"/>
          <w:iCs w:val="1"/>
          <w:color w:val="auto"/>
        </w:rPr>
        <w:t>ResCap Liquidating</w:t>
      </w:r>
      <w:r>
        <w:rPr>
          <w:rFonts w:ascii="Arial" w:cs="Arial" w:eastAsia="Arial" w:hAnsi="Arial"/>
          <w:sz w:val="17"/>
          <w:szCs w:val="17"/>
          <w:color w:val="auto"/>
        </w:rPr>
        <w:t xml:space="preserve"> </w:t>
      </w:r>
      <w:r>
        <w:rPr>
          <w:rFonts w:ascii="Arial" w:cs="Arial" w:eastAsia="Arial" w:hAnsi="Arial"/>
          <w:sz w:val="17"/>
          <w:szCs w:val="17"/>
          <w:i w:val="1"/>
          <w:iCs w:val="1"/>
          <w:color w:val="auto"/>
        </w:rPr>
        <w:t>Trust v. LendingTree, LLC, et al., Case No. 19-cv-2360 (U.S. Dist. Ct., Minn.)</w:t>
      </w:r>
      <w:r>
        <w:rPr>
          <w:rFonts w:ascii="Arial" w:cs="Arial" w:eastAsia="Arial" w:hAnsi="Arial"/>
          <w:sz w:val="17"/>
          <w:szCs w:val="17"/>
          <w:color w:val="auto"/>
        </w:rPr>
        <w:t>, seeking to hold the Company liable for the judgment against HLC, under</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 of liability, agency and alter ego theories. The Company believes that these claims lack merit. On October 17, 2019, the Company filed a motion to dismiss the liability and agency claims, and oral arguments with respect to such motion were held on January 10, 2020. On March 20, 2020, the court denied the Company's motion to dismiss, or in the alternative, to compel arbitration, and on April 3, 2020, the Company appealed the court's findings with respect to the Company's request to compel arbitration of the first count of the lawsuit. On June 17, 2020, the Company entered into a settlement agreement with ResCap, pursuant to which, the Company agreed to, among other things, pay ResCap $58.5 million, less any amounts ResCap receives in the HLC bankruptcy, in exchange for, among other things, ResCap releasing any and all claims against the Company, and the Company’s directors and officers, including any claims asserted in ResCap v. LendingTree. Pursuant to the settlement agreement, the Company will be responsible for the difference of $58.5 million minus the amount that ResCap receives through the HLC Bankruptcy. In the third quarter of 2020, the Company made a $26.5 million payment to the ResCap Liquidating Trust. The Company expects to be refunded $1.1 million of this amount, subsequent to the final distributions in the HLC Bankruptcy. This $1.1 million is recorded within current assets of discontinued operations on the accompanying consolidated balance sheet as of September 30, 2020.</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October 2020, due to the timing of distributions from the HLC bankruptcy estate, the Company was required per the terms of the ResCap settlement agreement to make a further payment of $6.4 million to ResCap. In turn, ResCap assigned its claims related to this amount to the Company, and the Company anticipates receiving reimbursement of a total $7.5 million from the HLC bankruptcy estate by the first quarter of 2021.</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Lehman Brothers Holdings Inc. v. 1st Advantage Mortgage, LLC et al., Case No. 08-13555 (SCC), Adversary Proceeding No. 16-01342 (SCC) (Bankr. S.D.N.Y.). </w:t>
      </w:r>
      <w:r>
        <w:rPr>
          <w:rFonts w:ascii="Arial" w:cs="Arial" w:eastAsia="Arial" w:hAnsi="Arial"/>
          <w:sz w:val="17"/>
          <w:szCs w:val="17"/>
          <w:color w:val="auto"/>
        </w:rPr>
        <w:t>In February 2016, Lehman Brothers Holdings, Inc. (“LBHI”) filed an Adversary Complaint against HLC and approximately 149 other</w:t>
      </w:r>
      <w:r>
        <w:rPr>
          <w:rFonts w:ascii="Arial" w:cs="Arial" w:eastAsia="Arial" w:hAnsi="Arial"/>
          <w:sz w:val="17"/>
          <w:szCs w:val="17"/>
          <w:i w:val="1"/>
          <w:iCs w:val="1"/>
          <w:color w:val="auto"/>
        </w:rPr>
        <w:t xml:space="preserve"> </w:t>
      </w:r>
      <w:r>
        <w:rPr>
          <w:rFonts w:ascii="Arial" w:cs="Arial" w:eastAsia="Arial" w:hAnsi="Arial"/>
          <w:sz w:val="17"/>
          <w:szCs w:val="17"/>
          <w:color w:val="auto"/>
        </w:rPr>
        <w:t>defendants (the "Complaint"). In December 2018, LBHI amended its complaint against HLC. The amended complaint references approximately 370 allegedly defective mortgage loans sold by HLC with purported "Claim Amounts" totaling $40.2 million. LBHI alleges it settled all such claims and is seeking indemnification from HLC for LBHI’s purported losses and liabilities associated with such settlements, plus prejudgment interest, attorneys’ fees, litigation costs and other expenses. The amended complaint does not specify the amount of LBHI’s purported damages. On December 4, 2019, LBHI filed a $44.7 million proof of claim in HLC’s bankruptcy seeking recovery for the claims asserted in the lawsuit. The Company believes that these claims lack merit and understands that HLC intends to defend this action vigorously.</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HLC’s filing under the Bankruptcy Code discussed above in Home Loan Center, Inc. Bankruptcy Filing creates an automatic stay of this proceeding. On June 11, 2020, LBHI filed a lawsuit captioned </w:t>
      </w:r>
      <w:r>
        <w:rPr>
          <w:rFonts w:ascii="Arial" w:cs="Arial" w:eastAsia="Arial" w:hAnsi="Arial"/>
          <w:sz w:val="18"/>
          <w:szCs w:val="18"/>
          <w:i w:val="1"/>
          <w:iCs w:val="1"/>
          <w:color w:val="auto"/>
        </w:rPr>
        <w:t>Lehman Brothers Holdings Inc. v. LendingTree, LLC, et al., Case No. 20-cv-01351 (U.S. Dist. Ct.,</w:t>
      </w:r>
      <w:r>
        <w:rPr>
          <w:rFonts w:ascii="Arial" w:cs="Arial" w:eastAsia="Arial" w:hAnsi="Arial"/>
          <w:sz w:val="18"/>
          <w:szCs w:val="18"/>
          <w:color w:val="auto"/>
        </w:rPr>
        <w:t xml:space="preserve"> </w:t>
      </w:r>
      <w:r>
        <w:rPr>
          <w:rFonts w:ascii="Arial" w:cs="Arial" w:eastAsia="Arial" w:hAnsi="Arial"/>
          <w:sz w:val="18"/>
          <w:szCs w:val="18"/>
          <w:i w:val="1"/>
          <w:iCs w:val="1"/>
          <w:color w:val="auto"/>
        </w:rPr>
        <w:t>Minn.)</w:t>
      </w:r>
      <w:r>
        <w:rPr>
          <w:rFonts w:ascii="Arial" w:cs="Arial" w:eastAsia="Arial" w:hAnsi="Arial"/>
          <w:sz w:val="18"/>
          <w:szCs w:val="18"/>
          <w:color w:val="auto"/>
        </w:rPr>
        <w:t>, seeking to hold the Company liable for their allowed bankruptcy claim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$13.3 million, under assumption of liability, agency and alter ego theories. The Company believes that these claims lack merit and intends to defend this action vigorously. In the third quarter of 2020, the Company made a settlement offer to LBHI for $0.5 million, which is included as a liability on the accompanying consolidated balance sheet as of September 30,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of Discontinued Operations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components of net income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2019</w:t>
            </w: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r>
      <w:tr>
        <w:trPr>
          <w:trHeight w:val="318"/>
        </w:trPr>
        <w:tc>
          <w:tcPr>
            <w:tcW w:w="50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removal of HLC's assets and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operating gains (expenses)</w:t>
            </w:r>
          </w:p>
        </w:tc>
        <w:tc>
          <w:tcPr>
            <w:tcW w:w="860" w:type="dxa"/>
            <w:vAlign w:val="bottom"/>
          </w:tcPr>
          <w:p>
            <w:pPr>
              <w:spacing w:after="0"/>
              <w:rPr>
                <w:sz w:val="21"/>
                <w:szCs w:val="21"/>
                <w:color w:val="auto"/>
              </w:rPr>
            </w:pP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193</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(34,333)</w:t>
            </w:r>
          </w:p>
        </w:tc>
        <w:tc>
          <w:tcPr>
            <w:tcW w:w="6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(34,492)</w:t>
            </w:r>
          </w:p>
        </w:tc>
      </w:tr>
      <w:tr>
        <w:trPr>
          <w:trHeight w:val="27"/>
        </w:trPr>
        <w:tc>
          <w:tcPr>
            <w:tcW w:w="5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193</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(34,333)</w:t>
            </w: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(29,977)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8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7,468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8,783</w:t>
            </w:r>
          </w:p>
        </w:tc>
        <w:tc>
          <w:tcPr>
            <w:tcW w:w="6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7,953</w:t>
            </w:r>
          </w:p>
        </w:tc>
      </w:tr>
      <w:tr>
        <w:trPr>
          <w:trHeight w:val="27"/>
        </w:trPr>
        <w:tc>
          <w:tcPr>
            <w:tcW w:w="5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(loss)</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166</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(25,550)</w:t>
            </w:r>
          </w:p>
        </w:tc>
        <w:tc>
          <w:tcPr>
            <w:tcW w:w="6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(22,024)</w:t>
            </w:r>
          </w:p>
        </w:tc>
      </w:tr>
      <w:tr>
        <w:trPr>
          <w:trHeight w:val="27"/>
        </w:trPr>
        <w:tc>
          <w:tcPr>
            <w:tcW w:w="50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Losses from discontinued operations included all activity of HLC prior to bankruptcy, including litigation settlements, contingencies and legal fees associated with legal proceedings.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also include litigation settlements and contingencies and legal fees associated with ongoing legal proceedings against LendingTree Inc. or LendingTree LLC that arose due to the LendingTree Loans Business or the HLC bankruptcy filing.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2019 Annual Report.</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comparison-shopping experience by providing free credit scores and credit score analysis. This platform enables us to observe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1440" w:type="dxa"/>
            <w:vAlign w:val="bottom"/>
          </w:tcPr>
          <w:p>
            <w:pPr>
              <w:spacing w:after="0"/>
              <w:rPr>
                <w:sz w:val="16"/>
                <w:szCs w:val="16"/>
                <w:color w:val="auto"/>
              </w:rPr>
            </w:pPr>
          </w:p>
        </w:tc>
      </w:tr>
      <w:tr>
        <w:trPr>
          <w:trHeight w:val="250"/>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My LendingTree</w:t>
            </w:r>
          </w:p>
        </w:tc>
        <w:tc>
          <w:tcPr>
            <w:tcW w:w="3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 Change</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Cumulative Sign-ups as of quarter-end </w:t>
            </w:r>
            <w:r>
              <w:rPr>
                <w:rFonts w:ascii="Arial" w:cs="Arial" w:eastAsia="Arial" w:hAnsi="Arial"/>
                <w:sz w:val="16"/>
                <w:szCs w:val="16"/>
                <w:i w:val="1"/>
                <w:iCs w:val="1"/>
                <w:color w:val="auto"/>
              </w:rPr>
              <w:t>(in millions)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15.7</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324"/>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Revenue Contribution </w:t>
            </w:r>
            <w:r>
              <w:rPr>
                <w:rFonts w:ascii="Arial" w:cs="Arial" w:eastAsia="Arial" w:hAnsi="Arial"/>
                <w:sz w:val="16"/>
                <w:szCs w:val="16"/>
                <w:i w:val="1"/>
                <w:iCs w:val="1"/>
                <w:color w:val="auto"/>
              </w:rPr>
              <w:t>(in thousands)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9,647</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22,997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i w:val="1"/>
                <w:iCs w:val="1"/>
                <w:color w:val="auto"/>
              </w:rPr>
              <w:t>% of total revenue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4.4%</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7.4%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6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The pandemic has significantly impacted the economic conditions in the U.S., as federal, state and local governments react to the public health crisis, creating significant uncertainties in the U.S. economy. The downstream impact of social distancing and related economic pullback are affecting our business and marketplace participants to varying degrees. We are continuously monitoring the impacts of the current economic conditions related to the COVID-19 pandemic and the effect on our business, financial condition and results of operations. Of our three reportable segments, the Consumer segment has been and is expected to be most impacted as unsecured credit and the flow of capital in certain areas of the market have contracted. Within our Consumer segment we have seen reductions of approximately 70% in near-term lender demand for our services reflecting those lenders' uncertainty over the length and depth of the economic recession. The impact to our Home and Insurance segments has been and is anticipated to be much less substantial. Most of our selling and marketing expenses are variable costs that we adjust dynamically in relation to revenue opportunities to profitably meet demand. Thus, as our revenue is negatively impacted during the recession, we anticipate our marketing expenses will continue to generally decrease in line with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three reportable segments: Home, Consumer and Insurance. We changed our reportable segments in the fourth quarter of 2019, and prior period results have been reclassified to conform with this change in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10, 2019, we acquired Value Holding Inc., the parent company of ValuePenguin Inc. (“ValuePenguin”), a personal finance website that offers consumers objective analysis on a variety of financial topics from insurance to credit cards for $106.2 million. Combining ValuePenguin’s high-quality content and search engine optimization capability with proprietary technology and insurance carrier network from QuoteWizard enables us to provide immense value to carriers and agents. This strategic acquisition positions us to achieve further scale in the insurance space as well as the broader financial services industry.</w:t>
      </w:r>
    </w:p>
    <w:p>
      <w:pPr>
        <w:spacing w:after="0" w:line="134"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color w:val="auto"/>
        </w:rPr>
        <w:t>On February 28, 2020, we acquired an equity interest in Stash Financial, Inc. (“Stash”) for $80.0 million. Stash is a consumer investing and banking platform. Stash brings together banking, investing, and education into one seamless experience offering a full-suite of personal investment accounts, Traditional and Roth IRAs, custodial investment accounts, and banking services, including checking accounts and debit cards with a Stock-Back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rewards program.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Carolina Office Properties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December 2016, we completed the acquisition of two office buildings in Charlotte, North Carolina, for $23.5 million in cash. The buildings were acquired with the intent to use such buildings as our corporate headquarters and rent any unused space. In November 2018, the office buildings were classified as held for sale. In May 2019, we sold these buildings to an unrelated third party for a sale price of $24.4 million.</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our expansion in North Carolina, in December 2016, we received a grant from the state that provides up to $4.9 million in reimbursements over 12 years beginning in 2017 for investing in real estate and infrastructure in addition to increasing jobs in North Carolina at specific targeted levels through 2020, and maintaining the jobs thereafter.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up to $8.4 million in reimbursements over 12 years beginning in 2020 for increasing jobs in North Carolina at specific targeted levels through 2023, and maintaining the jobs thereafter.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dynamically adjust selling and marketing expenditures in all interest rate environments to optimize our results against these variables.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 to Freddie Mac, 30-year mortgage interest rates declined during 2020 to a monthly average of 2.89% in September 2020. On a quarterly basis, 30-year mortgage interest rates in the third quarter of 2020 averaged 2.95%, compared to 3.67% in the third quarter of 2019 and 3.23% in the second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91440</wp:posOffset>
            </wp:positionV>
            <wp:extent cx="5109210" cy="3257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0921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Typically, as mortgage interest rates decline, there are more consumers in the marketplace seeking refinancings and, accordingly, the mix of mortgage origination dollars will move towards refinance mortgages. However, COVID-19 pandemic-related restrictions that impacted traditional homebuying in the second quarter of 2020 resulted in increased demand for purchase mortgages in the third quarter of 2020. According to Mortgage Bankers Association ("MBA") data, total refinance origination dollars decreased to 52% of total mortgage origination dollars in the third quarter of 2020 compared to 63% in the second quarter of 2020. In the third quarter of 2020, total refinance origination dollars decreased 22% to $450 million from the second quarter of 2020 and increased 63% from the third quarter of 2019. Industry-wide mortgage originations in the third quarter of 2020 decreased 7% from the second quarter of 2020 and increased 32% from the third quarter of 2019.</w:t>
      </w:r>
    </w:p>
    <w:p>
      <w:pPr>
        <w:spacing w:after="0" w:line="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October 2020, the MBA projected 30-year mortgage interest rates to remain relatively consistent through the end of the year. According to MBA projections, the refinance share of total mortgage origination dollars is projected to represent approximately 55% for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According to Fannie Mae data, existing-home sales increased 38% in the third quarter of 2020 compared to the second quarter of 2020, and increased 10% compared to the third quarter of 2019. Fannie Mae predicts an overall increase in existing-home sales of 1% in 2020 compared to 2019.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2020 and 2019</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374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91"/>
              </w:rPr>
              <w:t>Three Months Ended September 30,</w:t>
            </w:r>
          </w:p>
        </w:tc>
        <w:tc>
          <w:tcPr>
            <w:tcW w:w="36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8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66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840" w:type="dxa"/>
            <w:vAlign w:val="bottom"/>
          </w:tcPr>
          <w:p>
            <w:pPr>
              <w:jc w:val="right"/>
              <w:ind w:right="442"/>
              <w:spacing w:after="0" w:line="147"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364"/>
              <w:spacing w:after="0" w:line="14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4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2020</w:t>
            </w:r>
          </w:p>
        </w:tc>
        <w:tc>
          <w:tcPr>
            <w:tcW w:w="8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840" w:type="dxa"/>
            <w:vAlign w:val="bottom"/>
          </w:tcPr>
          <w:p>
            <w:pPr>
              <w:jc w:val="right"/>
              <w:ind w:right="442"/>
              <w:spacing w:after="0" w:line="147"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362"/>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7"/>
              </w:rPr>
              <w:t>Change</w:t>
            </w:r>
          </w:p>
        </w:tc>
        <w:tc>
          <w:tcPr>
            <w:tcW w:w="1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7"/>
              </w:rPr>
              <w:t>Change</w:t>
            </w: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40" w:type="dxa"/>
            <w:vAlign w:val="bottom"/>
            <w:gridSpan w:val="3"/>
          </w:tcPr>
          <w:p>
            <w:pPr>
              <w:jc w:val="right"/>
              <w:ind w:right="201"/>
              <w:spacing w:after="0"/>
              <w:rPr>
                <w:sz w:val="20"/>
                <w:szCs w:val="20"/>
                <w:color w:val="auto"/>
              </w:rPr>
            </w:pPr>
            <w:r>
              <w:rPr>
                <w:rFonts w:ascii="Arial" w:cs="Arial" w:eastAsia="Arial" w:hAnsi="Arial"/>
                <w:sz w:val="13"/>
                <w:szCs w:val="13"/>
                <w:b w:val="1"/>
                <w:bCs w:val="1"/>
                <w:i w:val="1"/>
                <w:iCs w:val="1"/>
                <w:color w:val="auto"/>
              </w:rPr>
              <w:t>(Dollars in thousands)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Home</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   78,859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77,265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1,594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232,156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212,458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19,698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37"/>
        </w:trPr>
        <w:tc>
          <w:tcPr>
            <w:tcW w:w="3800" w:type="dxa"/>
            <w:vAlign w:val="bottom"/>
          </w:tcPr>
          <w:p>
            <w:pPr>
              <w:ind w:left="160"/>
              <w:spacing w:after="0"/>
              <w:rPr>
                <w:sz w:val="20"/>
                <w:szCs w:val="20"/>
                <w:color w:val="auto"/>
              </w:rPr>
            </w:pPr>
            <w:r>
              <w:rPr>
                <w:rFonts w:ascii="Arial" w:cs="Arial" w:eastAsia="Arial" w:hAnsi="Arial"/>
                <w:sz w:val="16"/>
                <w:szCs w:val="16"/>
                <w:color w:val="auto"/>
              </w:rPr>
              <w:t>Consumer</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48,377</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151,929</w:t>
            </w:r>
          </w:p>
        </w:tc>
        <w:tc>
          <w:tcPr>
            <w:tcW w:w="200" w:type="dxa"/>
            <w:vAlign w:val="bottom"/>
          </w:tcPr>
          <w:p>
            <w:pPr>
              <w:spacing w:after="0"/>
              <w:rPr>
                <w:sz w:val="20"/>
                <w:szCs w:val="20"/>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w w:val="96"/>
              </w:rPr>
              <w:t>(103,552)</w:t>
            </w:r>
          </w:p>
        </w:tc>
        <w:tc>
          <w:tcPr>
            <w:tcW w:w="90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205,419</w:t>
            </w:r>
          </w:p>
        </w:tc>
        <w:tc>
          <w:tcPr>
            <w:tcW w:w="880" w:type="dxa"/>
            <w:vAlign w:val="bottom"/>
          </w:tcPr>
          <w:p>
            <w:pPr>
              <w:jc w:val="right"/>
              <w:spacing w:after="0"/>
              <w:rPr>
                <w:sz w:val="20"/>
                <w:szCs w:val="20"/>
                <w:color w:val="auto"/>
              </w:rPr>
            </w:pPr>
            <w:r>
              <w:rPr>
                <w:rFonts w:ascii="Arial" w:cs="Arial" w:eastAsia="Arial" w:hAnsi="Arial"/>
                <w:sz w:val="16"/>
                <w:szCs w:val="16"/>
                <w:color w:val="auto"/>
              </w:rPr>
              <w:t>401,621</w:t>
            </w:r>
          </w:p>
        </w:tc>
        <w:tc>
          <w:tcPr>
            <w:tcW w:w="200" w:type="dxa"/>
            <w:vAlign w:val="bottom"/>
          </w:tcPr>
          <w:p>
            <w:pPr>
              <w:spacing w:after="0"/>
              <w:rPr>
                <w:sz w:val="20"/>
                <w:szCs w:val="20"/>
                <w:color w:val="auto"/>
              </w:rPr>
            </w:pPr>
          </w:p>
        </w:tc>
        <w:tc>
          <w:tcPr>
            <w:tcW w:w="840" w:type="dxa"/>
            <w:vAlign w:val="bottom"/>
          </w:tcPr>
          <w:p>
            <w:pPr>
              <w:jc w:val="right"/>
              <w:ind w:right="102"/>
              <w:spacing w:after="0"/>
              <w:rPr>
                <w:sz w:val="20"/>
                <w:szCs w:val="20"/>
                <w:color w:val="auto"/>
              </w:rPr>
            </w:pPr>
            <w:r>
              <w:rPr>
                <w:rFonts w:ascii="Arial" w:cs="Arial" w:eastAsia="Arial" w:hAnsi="Arial"/>
                <w:sz w:val="16"/>
                <w:szCs w:val="16"/>
                <w:color w:val="auto"/>
                <w:w w:val="93"/>
              </w:rPr>
              <w:t>(196,202)</w:t>
            </w: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Insurance</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92,500</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74,849</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17,651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248,156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213,882</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34,274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37"/>
        </w:trPr>
        <w:tc>
          <w:tcPr>
            <w:tcW w:w="3800" w:type="dxa"/>
            <w:vAlign w:val="bottom"/>
          </w:tcPr>
          <w:p>
            <w:pPr>
              <w:ind w:left="160"/>
              <w:spacing w:after="0"/>
              <w:rPr>
                <w:sz w:val="20"/>
                <w:szCs w:val="20"/>
                <w:color w:val="auto"/>
              </w:rPr>
            </w:pPr>
            <w:r>
              <w:rPr>
                <w:rFonts w:ascii="Arial" w:cs="Arial" w:eastAsia="Arial" w:hAnsi="Arial"/>
                <w:sz w:val="16"/>
                <w:szCs w:val="16"/>
                <w:color w:val="auto"/>
              </w:rPr>
              <w:t>Other</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515</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6,562</w:t>
            </w:r>
          </w:p>
        </w:tc>
        <w:tc>
          <w:tcPr>
            <w:tcW w:w="200" w:type="dxa"/>
            <w:vAlign w:val="bottom"/>
          </w:tcPr>
          <w:p>
            <w:pPr>
              <w:spacing w:after="0"/>
              <w:rPr>
                <w:sz w:val="20"/>
                <w:szCs w:val="20"/>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(6,047)</w:t>
            </w:r>
          </w:p>
        </w:tc>
        <w:tc>
          <w:tcPr>
            <w:tcW w:w="90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1,930</w:t>
            </w:r>
          </w:p>
        </w:tc>
        <w:tc>
          <w:tcPr>
            <w:tcW w:w="880" w:type="dxa"/>
            <w:vAlign w:val="bottom"/>
          </w:tcPr>
          <w:p>
            <w:pPr>
              <w:jc w:val="right"/>
              <w:spacing w:after="0"/>
              <w:rPr>
                <w:sz w:val="20"/>
                <w:szCs w:val="20"/>
                <w:color w:val="auto"/>
              </w:rPr>
            </w:pPr>
            <w:r>
              <w:rPr>
                <w:rFonts w:ascii="Arial" w:cs="Arial" w:eastAsia="Arial" w:hAnsi="Arial"/>
                <w:sz w:val="16"/>
                <w:szCs w:val="16"/>
                <w:color w:val="auto"/>
              </w:rPr>
              <w:t>23,455</w:t>
            </w:r>
          </w:p>
        </w:tc>
        <w:tc>
          <w:tcPr>
            <w:tcW w:w="200" w:type="dxa"/>
            <w:vAlign w:val="bottom"/>
          </w:tcPr>
          <w:p>
            <w:pPr>
              <w:spacing w:after="0"/>
              <w:rPr>
                <w:sz w:val="20"/>
                <w:szCs w:val="20"/>
                <w:color w:val="auto"/>
              </w:rPr>
            </w:pPr>
          </w:p>
        </w:tc>
        <w:tc>
          <w:tcPr>
            <w:tcW w:w="840" w:type="dxa"/>
            <w:vAlign w:val="bottom"/>
          </w:tcPr>
          <w:p>
            <w:pPr>
              <w:jc w:val="right"/>
              <w:ind w:right="102"/>
              <w:spacing w:after="0"/>
              <w:rPr>
                <w:sz w:val="20"/>
                <w:szCs w:val="20"/>
                <w:color w:val="auto"/>
              </w:rPr>
            </w:pPr>
            <w:r>
              <w:rPr>
                <w:rFonts w:ascii="Arial" w:cs="Arial" w:eastAsia="Arial" w:hAnsi="Arial"/>
                <w:sz w:val="16"/>
                <w:szCs w:val="16"/>
                <w:color w:val="auto"/>
              </w:rPr>
              <w:t>(21,525)</w:t>
            </w:r>
          </w:p>
        </w:tc>
        <w:tc>
          <w:tcPr>
            <w:tcW w:w="90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37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6"/>
              </w:rPr>
              <w:t>220,251</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310,605</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(90,354)</w:t>
            </w:r>
          </w:p>
        </w:tc>
        <w:tc>
          <w:tcPr>
            <w:tcW w:w="108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(29)%</w:t>
            </w: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687,661</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851,416</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93"/>
              </w:rPr>
              <w:t>(163,755)</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r>
      <w:tr>
        <w:trPr>
          <w:trHeight w:val="237"/>
        </w:trPr>
        <w:tc>
          <w:tcPr>
            <w:tcW w:w="378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37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16"/>
                <w:szCs w:val="16"/>
                <w:i w:val="1"/>
                <w:iCs w:val="1"/>
                <w:color w:val="auto"/>
              </w:rPr>
              <w:t>(exclusive of depreciation and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amortization shown separately below)</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13,220</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17,671</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(4,451)</w:t>
            </w:r>
          </w:p>
        </w:tc>
        <w:tc>
          <w:tcPr>
            <w:tcW w:w="1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(25)%</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40,936</w:t>
            </w: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51,651</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(10,715)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3780" w:type="dxa"/>
            <w:vAlign w:val="bottom"/>
          </w:tcPr>
          <w:p>
            <w:pPr>
              <w:ind w:left="160"/>
              <w:spacing w:after="0"/>
              <w:rPr>
                <w:sz w:val="20"/>
                <w:szCs w:val="20"/>
                <w:color w:val="auto"/>
              </w:rPr>
            </w:pPr>
            <w:r>
              <w:rPr>
                <w:rFonts w:ascii="Arial" w:cs="Arial" w:eastAsia="Arial" w:hAnsi="Arial"/>
                <w:sz w:val="16"/>
                <w:szCs w:val="16"/>
                <w:color w:val="auto"/>
              </w:rPr>
              <w:t>Selling and marketing expense</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w w:val="96"/>
              </w:rPr>
              <w:t>154,670</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200,818</w:t>
            </w:r>
          </w:p>
        </w:tc>
        <w:tc>
          <w:tcPr>
            <w:tcW w:w="200" w:type="dxa"/>
            <w:vAlign w:val="bottom"/>
          </w:tcPr>
          <w:p>
            <w:pPr>
              <w:spacing w:after="0"/>
              <w:rPr>
                <w:sz w:val="20"/>
                <w:szCs w:val="20"/>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(46,148)</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(23)%</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464,129</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567,338</w:t>
            </w:r>
          </w:p>
        </w:tc>
        <w:tc>
          <w:tcPr>
            <w:tcW w:w="18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w w:val="93"/>
              </w:rPr>
              <w:t>(103,209)</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General and administrative expense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33,705</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30,323</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3,382</w:t>
            </w:r>
          </w:p>
        </w:tc>
        <w:tc>
          <w:tcPr>
            <w:tcW w:w="1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11 %</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94,276</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89,391</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4,885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37"/>
        </w:trPr>
        <w:tc>
          <w:tcPr>
            <w:tcW w:w="3780" w:type="dxa"/>
            <w:vAlign w:val="bottom"/>
          </w:tcPr>
          <w:p>
            <w:pPr>
              <w:ind w:left="160"/>
              <w:spacing w:after="0"/>
              <w:rPr>
                <w:sz w:val="20"/>
                <w:szCs w:val="20"/>
                <w:color w:val="auto"/>
              </w:rPr>
            </w:pPr>
            <w:r>
              <w:rPr>
                <w:rFonts w:ascii="Arial" w:cs="Arial" w:eastAsia="Arial" w:hAnsi="Arial"/>
                <w:sz w:val="16"/>
                <w:szCs w:val="16"/>
                <w:color w:val="auto"/>
              </w:rPr>
              <w:t>Product development</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11,477</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10,200</w:t>
            </w:r>
          </w:p>
        </w:tc>
        <w:tc>
          <w:tcPr>
            <w:tcW w:w="200" w:type="dxa"/>
            <w:vAlign w:val="bottom"/>
          </w:tcPr>
          <w:p>
            <w:pPr>
              <w:spacing w:after="0"/>
              <w:rPr>
                <w:sz w:val="20"/>
                <w:szCs w:val="20"/>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1,277</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13 %</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33,252</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30,541</w:t>
            </w:r>
          </w:p>
        </w:tc>
        <w:tc>
          <w:tcPr>
            <w:tcW w:w="180" w:type="dxa"/>
            <w:vAlign w:val="bottom"/>
          </w:tcPr>
          <w:p>
            <w:pPr>
              <w:spacing w:after="0"/>
              <w:rPr>
                <w:sz w:val="20"/>
                <w:szCs w:val="20"/>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2,711</w:t>
            </w:r>
          </w:p>
        </w:tc>
        <w:tc>
          <w:tcPr>
            <w:tcW w:w="800" w:type="dxa"/>
            <w:vAlign w:val="bottom"/>
          </w:tcPr>
          <w:p>
            <w:pPr>
              <w:jc w:val="right"/>
              <w:spacing w:after="0"/>
              <w:rPr>
                <w:sz w:val="20"/>
                <w:szCs w:val="20"/>
                <w:color w:val="auto"/>
              </w:rPr>
            </w:pPr>
            <w:r>
              <w:rPr>
                <w:rFonts w:ascii="Arial" w:cs="Arial" w:eastAsia="Arial" w:hAnsi="Arial"/>
                <w:sz w:val="16"/>
                <w:szCs w:val="16"/>
                <w:color w:val="auto"/>
              </w:rPr>
              <w:t>9 %</w:t>
            </w:r>
          </w:p>
        </w:tc>
      </w:tr>
      <w:tr>
        <w:trPr>
          <w:trHeight w:val="33"/>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3,535</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2,696</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839</w:t>
            </w:r>
          </w:p>
        </w:tc>
        <w:tc>
          <w:tcPr>
            <w:tcW w:w="1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31 %</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10,463</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7,737</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2,726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37"/>
        </w:trPr>
        <w:tc>
          <w:tcPr>
            <w:tcW w:w="3780" w:type="dxa"/>
            <w:vAlign w:val="bottom"/>
          </w:tcPr>
          <w:p>
            <w:pPr>
              <w:ind w:left="160"/>
              <w:spacing w:after="0"/>
              <w:rPr>
                <w:sz w:val="20"/>
                <w:szCs w:val="20"/>
                <w:color w:val="auto"/>
              </w:rPr>
            </w:pPr>
            <w:r>
              <w:rPr>
                <w:rFonts w:ascii="Arial" w:cs="Arial" w:eastAsia="Arial" w:hAnsi="Arial"/>
                <w:sz w:val="16"/>
                <w:szCs w:val="16"/>
                <w:color w:val="auto"/>
              </w:rPr>
              <w:t>Amortization of intangibles</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13,090</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13,778</w:t>
            </w:r>
          </w:p>
        </w:tc>
        <w:tc>
          <w:tcPr>
            <w:tcW w:w="200" w:type="dxa"/>
            <w:vAlign w:val="bottom"/>
          </w:tcPr>
          <w:p>
            <w:pPr>
              <w:spacing w:after="0"/>
              <w:rPr>
                <w:sz w:val="20"/>
                <w:szCs w:val="20"/>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(688)</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(5)%</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40,603</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41,485</w:t>
            </w:r>
          </w:p>
        </w:tc>
        <w:tc>
          <w:tcPr>
            <w:tcW w:w="18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(882)</w:t>
            </w: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Change in fair value of 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6,658</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3,839</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2,819</w:t>
            </w:r>
          </w:p>
        </w:tc>
        <w:tc>
          <w:tcPr>
            <w:tcW w:w="1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73 %</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7,711</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21,221</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(13,510)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37"/>
        </w:trPr>
        <w:tc>
          <w:tcPr>
            <w:tcW w:w="3780" w:type="dxa"/>
            <w:vAlign w:val="bottom"/>
          </w:tcPr>
          <w:p>
            <w:pPr>
              <w:ind w:left="160"/>
              <w:spacing w:after="0"/>
              <w:rPr>
                <w:sz w:val="20"/>
                <w:szCs w:val="20"/>
                <w:color w:val="auto"/>
              </w:rPr>
            </w:pPr>
            <w:r>
              <w:rPr>
                <w:rFonts w:ascii="Arial" w:cs="Arial" w:eastAsia="Arial" w:hAnsi="Arial"/>
                <w:sz w:val="16"/>
                <w:szCs w:val="16"/>
                <w:color w:val="auto"/>
              </w:rPr>
              <w:t>Severance</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200" w:type="dxa"/>
            <w:vAlign w:val="bottom"/>
          </w:tcPr>
          <w:p>
            <w:pPr>
              <w:spacing w:after="0"/>
              <w:rPr>
                <w:sz w:val="20"/>
                <w:szCs w:val="20"/>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(179)</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(100)%</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636</w:t>
            </w:r>
          </w:p>
        </w:tc>
        <w:tc>
          <w:tcPr>
            <w:tcW w:w="18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(446)</w:t>
            </w:r>
          </w:p>
        </w:tc>
        <w:tc>
          <w:tcPr>
            <w:tcW w:w="8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33"/>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Litigation settlements and contingencies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105</w:t>
            </w:r>
          </w:p>
        </w:tc>
        <w:tc>
          <w:tcPr>
            <w:tcW w:w="1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114 %</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(692)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31"/>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costs and expenses</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6"/>
              </w:rPr>
              <w:t>236,368</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279,412</w:t>
            </w: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(43,044)</w:t>
            </w:r>
          </w:p>
        </w:tc>
        <w:tc>
          <w:tcPr>
            <w:tcW w:w="108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(15)%</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690,577</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809,709</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3"/>
              </w:rPr>
              <w:t>(119,132)</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r>
      <w:tr>
        <w:trPr>
          <w:trHeight w:val="33"/>
        </w:trPr>
        <w:tc>
          <w:tcPr>
            <w:tcW w:w="3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(16,117)</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31,193</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(47,310)</w:t>
            </w:r>
          </w:p>
        </w:tc>
        <w:tc>
          <w:tcPr>
            <w:tcW w:w="10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(152)%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(2,916)</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41,707</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(44,623)</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w:t>
            </w:r>
          </w:p>
        </w:tc>
      </w:tr>
      <w:tr>
        <w:trPr>
          <w:trHeight w:val="237"/>
        </w:trPr>
        <w:tc>
          <w:tcPr>
            <w:tcW w:w="378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(16,617)</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(4,845)</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11,772</w:t>
            </w:r>
          </w:p>
        </w:tc>
        <w:tc>
          <w:tcPr>
            <w:tcW w:w="1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243 %</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(26,406)</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(15,408)</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10,998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71 %</w:t>
            </w:r>
          </w:p>
        </w:tc>
      </w:tr>
      <w:tr>
        <w:trPr>
          <w:trHeight w:val="237"/>
        </w:trPr>
        <w:tc>
          <w:tcPr>
            <w:tcW w:w="3780" w:type="dxa"/>
            <w:vAlign w:val="bottom"/>
          </w:tcPr>
          <w:p>
            <w:pPr>
              <w:ind w:left="160"/>
              <w:spacing w:after="0"/>
              <w:rPr>
                <w:sz w:val="20"/>
                <w:szCs w:val="20"/>
                <w:color w:val="auto"/>
              </w:rPr>
            </w:pPr>
            <w:r>
              <w:rPr>
                <w:rFonts w:ascii="Arial" w:cs="Arial" w:eastAsia="Arial" w:hAnsi="Arial"/>
                <w:sz w:val="16"/>
                <w:szCs w:val="16"/>
                <w:color w:val="auto"/>
              </w:rPr>
              <w:t>Other income</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0"/>
                <w:szCs w:val="20"/>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(4)</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(100)%</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143</w:t>
            </w:r>
          </w:p>
        </w:tc>
        <w:tc>
          <w:tcPr>
            <w:tcW w:w="18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(136)</w:t>
            </w:r>
          </w:p>
        </w:tc>
        <w:tc>
          <w:tcPr>
            <w:tcW w:w="8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33"/>
        </w:trPr>
        <w:tc>
          <w:tcPr>
            <w:tcW w:w="3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(32,734)</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26,352</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(59,086)</w:t>
            </w:r>
          </w:p>
        </w:tc>
        <w:tc>
          <w:tcPr>
            <w:tcW w:w="10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(224)%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(29,315)</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26,442</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(55,757)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w:t>
            </w:r>
          </w:p>
        </w:tc>
      </w:tr>
      <w:tr>
        <w:trPr>
          <w:trHeight w:val="237"/>
        </w:trPr>
        <w:tc>
          <w:tcPr>
            <w:tcW w:w="378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7,925</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(1,889)</w:t>
            </w:r>
          </w:p>
        </w:tc>
        <w:tc>
          <w:tcPr>
            <w:tcW w:w="200" w:type="dxa"/>
            <w:vAlign w:val="bottom"/>
          </w:tcPr>
          <w:p>
            <w:pPr>
              <w:spacing w:after="0"/>
              <w:rPr>
                <w:sz w:val="20"/>
                <w:szCs w:val="20"/>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9,814</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520 %</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14,866</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11,552</w:t>
            </w:r>
          </w:p>
        </w:tc>
        <w:tc>
          <w:tcPr>
            <w:tcW w:w="180" w:type="dxa"/>
            <w:vAlign w:val="bottom"/>
          </w:tcPr>
          <w:p>
            <w:pPr>
              <w:spacing w:after="0"/>
              <w:rPr>
                <w:sz w:val="20"/>
                <w:szCs w:val="20"/>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3,314</w:t>
            </w:r>
          </w:p>
        </w:tc>
        <w:tc>
          <w:tcPr>
            <w:tcW w:w="80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33"/>
        </w:trPr>
        <w:tc>
          <w:tcPr>
            <w:tcW w:w="3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(24,809)</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24,463</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(49,272)</w:t>
            </w:r>
          </w:p>
        </w:tc>
        <w:tc>
          <w:tcPr>
            <w:tcW w:w="10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(201)%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(14,449)</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37,994</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(52,443)</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w:t>
            </w:r>
          </w:p>
        </w:tc>
      </w:tr>
      <w:tr>
        <w:trPr>
          <w:trHeight w:val="237"/>
        </w:trPr>
        <w:tc>
          <w:tcPr>
            <w:tcW w:w="3780" w:type="dxa"/>
            <w:vAlign w:val="bottom"/>
          </w:tcPr>
          <w:p>
            <w:pPr>
              <w:ind w:left="20"/>
              <w:spacing w:after="0"/>
              <w:rPr>
                <w:sz w:val="20"/>
                <w:szCs w:val="20"/>
                <w:color w:val="auto"/>
              </w:rPr>
            </w:pPr>
            <w:r>
              <w:rPr>
                <w:rFonts w:ascii="Arial" w:cs="Arial" w:eastAsia="Arial" w:hAnsi="Arial"/>
                <w:sz w:val="16"/>
                <w:szCs w:val="16"/>
                <w:b w:val="1"/>
                <w:bCs w:val="1"/>
                <w:color w:val="auto"/>
                <w:w w:val="90"/>
              </w:rPr>
              <w:t>Income (loss) from discontinued operations, net of tax</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(20,199)</w:t>
            </w:r>
          </w:p>
        </w:tc>
        <w:tc>
          <w:tcPr>
            <w:tcW w:w="200" w:type="dxa"/>
            <w:vAlign w:val="bottom"/>
          </w:tcPr>
          <w:p>
            <w:pPr>
              <w:spacing w:after="0"/>
              <w:rPr>
                <w:sz w:val="20"/>
                <w:szCs w:val="20"/>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(20,365)</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(101)%</w:t>
            </w:r>
          </w:p>
        </w:tc>
        <w:tc>
          <w:tcPr>
            <w:tcW w:w="700" w:type="dxa"/>
            <w:vAlign w:val="bottom"/>
          </w:tcPr>
          <w:p>
            <w:pPr>
              <w:jc w:val="right"/>
              <w:spacing w:after="0"/>
              <w:rPr>
                <w:sz w:val="20"/>
                <w:szCs w:val="20"/>
                <w:color w:val="auto"/>
              </w:rPr>
            </w:pPr>
            <w:r>
              <w:rPr>
                <w:rFonts w:ascii="Arial" w:cs="Arial" w:eastAsia="Arial" w:hAnsi="Arial"/>
                <w:sz w:val="16"/>
                <w:szCs w:val="16"/>
                <w:color w:val="auto"/>
              </w:rPr>
              <w:t>(25,550)</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(22,024)</w:t>
            </w:r>
          </w:p>
        </w:tc>
        <w:tc>
          <w:tcPr>
            <w:tcW w:w="180" w:type="dxa"/>
            <w:vAlign w:val="bottom"/>
          </w:tcPr>
          <w:p>
            <w:pPr>
              <w:spacing w:after="0"/>
              <w:rPr>
                <w:sz w:val="20"/>
                <w:szCs w:val="20"/>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3,526</w:t>
            </w:r>
          </w:p>
        </w:tc>
        <w:tc>
          <w:tcPr>
            <w:tcW w:w="80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33"/>
        </w:trPr>
        <w:tc>
          <w:tcPr>
            <w:tcW w:w="3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4"/>
              </w:rPr>
              <w:t>Net (loss) income and comprehensive (loss)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4,264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(28,907)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(678)%  $</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(39,999)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(55,969)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w:t>
            </w:r>
          </w:p>
        </w:tc>
      </w:tr>
      <w:tr>
        <w:trPr>
          <w:trHeight w:val="27"/>
        </w:trPr>
        <w:tc>
          <w:tcPr>
            <w:tcW w:w="37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decreased in the third quarter and first nine months of 2020 compared to the third quarter and first nine months of 2019 due to decreases in our Consumer segment and Other category, partially offset by increases in our Insurance and Home segments.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decreased in the third quarter and first nine months of 2020 from the third quarter and first nine months of 2019, primarily due to decreases in our credit cards, personal loans, student loans and small business loans products.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our credit cards product decreased $48.1 million to $6.7 million in the third quarter of 2020 from $54.8 million in the third quarter of 2019, or 88%, and decreased $100.0 million to $65.4 million in the first nine months of 2020 from $165.4 million in the first nine months of 2019, or 60%, primarily due to the impact of economic conditions related to the COVID-19 pandemic that caused lower issuer demand, resulting in a decrease in the number of approvals and a decrease in revenue earned per approval.</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our personal loans product decreased $31.4 million to $12.5 million in the third quarter of 2020 from $43.9 million in the third quarter of 2019, or 72%, and decreased $64.7 million to $52.8 million in the first nine months of 2020 from $117.5 million in the first nine months of 2019, or 55%, primarily due to the impact of economic conditions related to the COVID-19 pandemic that caused a contraction in the flow of capital and a decrease in revenue earned per consumer.</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periods presented, no other products in our Consumer segment represented more than 10% of revenue; however, certain other Consumer products experienced notable changes primarily due to the impact of economic conditions related to the COVID-19 pandemic. Revenue from our student loans product decreased $11.3 million in the third quarter of 2020 compared to the third quarter of 2019 and decreased $16.9 million in the first nine months of 2020 compared to the first nine months of 2019, due to a decrease in the number of consumers on our marketplace seeking student loans and lower demand for student loan refinancing due to the Coronavirus Aid, Relief, and Economic Security ("CARES") Act providing temporary payment deferral relief. Revenue from our small business loans product decreased $9.9 million in the third quarter of 2020 compared to the third quarter of 2019 and decreased $14.0 million in the first nine months of 2020 compared to the first nine months of 2019, due to a contraction in the flow of capital and a decrease in revenue earned per consumer.</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ongoing COVID-19 pandemic is anticipated to continue to significantly impact our Consumer product revenues in the near-term due to the significant industry-wide contraction in the availability of capital for products in the Consumer segment, specifically credit cards, small business loans and personal loans, as discussed above.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our Insurance segment increased $17.7 million to $92.5 million in the third quarter of 2020 from $74.8 million in the third quarter of 2019, or 24%, and increased $34.3 million to $248.2 million in the first nine months of 2020 from $213.9 million in the first nine months of 2019, or 16%. The increase in the third quarter and first nine months of 2020 is due to increases in the number of consumers seeking insurance coverage, partially offset by a decrease in revenue earned per consumer.</w:t>
      </w:r>
    </w:p>
    <w:p>
      <w:pPr>
        <w:spacing w:after="0" w:line="13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Home segment includes the following products: purchase mortgage, refinance mortgage, home equity loans and lines of credit, reverse mortgage loans, and real estate. Revenue from our Home segment increased $1.6 million in the third quarter of 2020 from the third quarter of 2019, or 2%, and increased $19.7 million in the first nine months of 2020 from the first nine months of 2019, or 9%, primarily due to an increase in revenue from our refinance mortgage product, partially offset by decreases in our purchase mortgage and home equity loans and lines of credit products. Revenue from our refinance mortgage product increased $17.1 million in the third quarter of 2020 compared to the third quarter of 2019, and increased $65.3 million in the first nine months of 2020 compared to the first nine months of 2019, primarily due to an increase in the number of consumers completing request forms resulting from increased refinancing activity in a declining interest rate environment. For the first nine months of 2020 compared to the first nine months of 2019, this was partially offset by a decrease in revenue earned per consumer. Revenue from our purchase mortgage product decreased $8.2 million in the third quarter of 2020 compared to the third quarter of 2019 and decreased $23.4 million in the first nine months of 2020 compared to the first nine months of 2019. Revenue from our home equity loans and lines of credit product decreased $6.6 million in the third quarter of 2020 compared to the third quarter of 2019 and decreased $19.8 million in the first nine months of 2020 compared to the first nine months of 2019. Revenue from our purchase mortgage and home equity loans and lines of credit products decreased due to a shift in lender focus toward refinance products as well as decreases in revenue earned per consumer.</w:t>
      </w:r>
    </w:p>
    <w:p>
      <w:pPr>
        <w:spacing w:after="0" w:line="13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Other category primarily includes revenue from the resale of online advertising space to third parties and revenue from home improvement referrals. Revenue in the Other category decreased $6.0 million in the third quarter of 2020 compared to the third quarter of 2019, and decreased $21.5 million in the first nine months of 2020 compared to the first nine months of 2019, as we ceased offering home improvement referrals during the first quarter of 2019 and ceased reselling online advertising space during the first quarter of 2020.</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costs for online advertising resold to third parties, credit scoring fees, credit card fees, website network hosting and server fees.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Cost of revenue decreased in the third quarter of 2020 from the third quarter of 2019, primarily due to a $5.8 million decrease for the cost of resold advertising space. We ceased reselling online advertising space during the first quarter of 2020. This was partially offset by an increase in credit card fees and customer service costs of $0.5 million and $0.3 million, respectively. Cost of revenue decreased in the first nine months of 2020 from the first nine months of 2019, primarily due to a $17.1 million decrease for the cost of resold advertising space, partially offset by increases in website network hosting and server fees, compensation and benefits, and credit card fees of $2.2 million, $2.1 million, and $1.5 million, respectively.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Cost of revenue as a percentage of revenue remained consistent at 6% for each of the third quarters and first nine months of 2020 and 2019.</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4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Selling and marketing expense decreased in the third quarter and first nine months of 2020 compared to the third quarter and first nine months of 2019 primarily due to decreases in advertising and promotional expense of $47.1 million and $103.7 million, respectively, as discussed below.</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w w:val="92"/>
              </w:rPr>
              <w:t>Three Months Ended 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w w:val="96"/>
              </w:rPr>
              <w:t>Nine Months Ended 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9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140" w:type="dxa"/>
            <w:vAlign w:val="bottom"/>
          </w:tcPr>
          <w:p>
            <w:pPr>
              <w:jc w:val="right"/>
              <w:ind w:right="676"/>
              <w:spacing w:after="0" w:line="153"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5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040" w:type="dxa"/>
            <w:vAlign w:val="bottom"/>
          </w:tcPr>
          <w:p>
            <w:pPr>
              <w:jc w:val="right"/>
              <w:ind w:right="596"/>
              <w:spacing w:after="0" w:line="153"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60" w:type="dxa"/>
            <w:vAlign w:val="bottom"/>
            <w:gridSpan w:val="4"/>
          </w:tcPr>
          <w:p>
            <w:pPr>
              <w:jc w:val="right"/>
              <w:ind w:right="354"/>
              <w:spacing w:after="0"/>
              <w:rPr>
                <w:sz w:val="20"/>
                <w:szCs w:val="20"/>
                <w:color w:val="auto"/>
              </w:rPr>
            </w:pPr>
            <w:r>
              <w:rPr>
                <w:rFonts w:ascii="Arial" w:cs="Arial" w:eastAsia="Arial" w:hAnsi="Arial"/>
                <w:sz w:val="14"/>
                <w:szCs w:val="14"/>
                <w:b w:val="1"/>
                <w:bCs w:val="1"/>
                <w:i w:val="1"/>
                <w:iCs w:val="1"/>
                <w:color w:val="auto"/>
              </w:rPr>
              <w:t>(Dollars in thousands)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Online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182,401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(45,905)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405,993</w:t>
            </w:r>
          </w:p>
        </w:tc>
        <w:tc>
          <w:tcPr>
            <w:tcW w:w="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501,119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(95,126)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240" w:type="dxa"/>
            <w:vAlign w:val="bottom"/>
          </w:tcPr>
          <w:p>
            <w:pPr>
              <w:ind w:left="180"/>
              <w:spacing w:after="0"/>
              <w:rPr>
                <w:sz w:val="20"/>
                <w:szCs w:val="20"/>
                <w:color w:val="auto"/>
              </w:rPr>
            </w:pPr>
            <w:r>
              <w:rPr>
                <w:rFonts w:ascii="Arial" w:cs="Arial" w:eastAsia="Arial" w:hAnsi="Arial"/>
                <w:sz w:val="18"/>
                <w:szCs w:val="18"/>
                <w:color w:val="auto"/>
              </w:rPr>
              <w:t>Broadcast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2,662</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3,952</w:t>
            </w:r>
          </w:p>
        </w:tc>
        <w:tc>
          <w:tcPr>
            <w:tcW w:w="260" w:type="dxa"/>
            <w:vAlign w:val="bottom"/>
          </w:tcPr>
          <w:p>
            <w:pPr>
              <w:spacing w:after="0"/>
              <w:rPr>
                <w:sz w:val="21"/>
                <w:szCs w:val="21"/>
                <w:color w:val="auto"/>
              </w:rPr>
            </w:pPr>
          </w:p>
        </w:tc>
        <w:tc>
          <w:tcPr>
            <w:tcW w:w="1140" w:type="dxa"/>
            <w:vAlign w:val="bottom"/>
          </w:tcPr>
          <w:p>
            <w:pPr>
              <w:jc w:val="right"/>
              <w:ind w:right="216"/>
              <w:spacing w:after="0"/>
              <w:rPr>
                <w:sz w:val="20"/>
                <w:szCs w:val="20"/>
                <w:color w:val="auto"/>
              </w:rPr>
            </w:pPr>
            <w:r>
              <w:rPr>
                <w:rFonts w:ascii="Arial" w:cs="Arial" w:eastAsia="Arial" w:hAnsi="Arial"/>
                <w:sz w:val="18"/>
                <w:szCs w:val="18"/>
                <w:color w:val="auto"/>
              </w:rPr>
              <w:t>(1,290)</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12,140</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20,885</w:t>
            </w:r>
          </w:p>
        </w:tc>
        <w:tc>
          <w:tcPr>
            <w:tcW w:w="260" w:type="dxa"/>
            <w:vAlign w:val="bottom"/>
          </w:tcPr>
          <w:p>
            <w:pPr>
              <w:spacing w:after="0"/>
              <w:rPr>
                <w:sz w:val="21"/>
                <w:szCs w:val="21"/>
                <w:color w:val="auto"/>
              </w:rPr>
            </w:pP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(8,745)</w:t>
            </w: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82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9,588</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9,370</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218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8"/>
              </w:rPr>
              <w:t>Total advertising expense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142,125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189,238</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(47,113)</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427,721</w:t>
            </w:r>
          </w:p>
        </w:tc>
        <w:tc>
          <w:tcPr>
            <w:tcW w:w="3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531,374</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(103,653)</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34"/>
        </w:trPr>
        <w:tc>
          <w:tcPr>
            <w:tcW w:w="2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decreased our advertising expenditures in the third quarter and first nine months of 2020 compared to the third quarter and first nine months of 2019 in response to changes in Network Partner demand on our marketplace as a result of the ongoing COVID-19 pandemic discussed above. We will continue to adjust selling and marketing expenditures dynamically in relation to this and in response to anticipated revenue opportunities.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 and administrative expense increased in the third quarter of 2020 compared to the third quarter of 2019, primarily due to increases in professional fees, facilities expense, and compensation and benefits of $1.9 million, $1.9 million, and $1.2 million, respectively, partially offset by a decrease in travel and entertainment expense of $1.0 million. General and administrative expense increased in the first nine months of 2020 compared to the first nine months of 2019 due to increases in professional fees, facilities expense, and technology expense of $5.1 million, $3.1 million, and $2.3 million, respectively. The first nine months of 2019 also benefited from a $2.7 million gain on the sale of two office buildings. This was partially offset by decreases in travel and entertainment expense, compensation and benefits, employee morale, and other taxes of $2.9 million, $2.2 million, $1.2 million, and $0.9 million,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 as a percentage of revenue increased to 15% in the third quarter of 2020 compared to 10% in the third quarter of 2019, and increased to 14% in the first nine months of 2020 compared to 10% in the first nine months of 2019.</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Product development expense increased in the third quarter and first nine months of 2020 compared to the third quarter and first nine months of 2019 as we continued to invest in internal development of new and enhanced features, functionality and business opportunities that we believe will enable us to better and more fully serve consumers and Network Partners.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increase in depreciation expense in the third quarter and first nine months of 2020 compared to the third quarter and first nine months of 2019 was primarily the result of higher investment in internally developed software in recent years, to support the growth of our business.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third quarter and first nine months of 2020, we recorded aggregate contingent consideration expense of $6.7 million and $7.7 million, respectively, due to adjustments in the estimated fair value of the earnout payments related to our recent acquisitions. For the third quarter of 2020, the contingent consideration expense for the QuoteWizard and Ovation acquisitions was $6.6 million and $0.1 million, respectively. For the first nine months of 2020, the contingent consideration expense for the QuoteWizard, Ovation and SnapCap acquisitions was $6.4 million, $1.3 million and $0.1 million, respectively.</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third quarter and first nine months of 2019, we recorded aggregate contingent consideration expense of $3.8 million and $21.2 million, respectively, due to adjustments in the estimated fair value of the earnout payments related to our recent acquisitions. For the third quarter of 2019, the contingent consideration expense for the QuoteWizard and SnapCap acquisitions was $4.3 million and $0.3 million, respectively. This was partially offset by a contingent consideration gain recorded for the Ovation acquisition of $0.8 million. For the first nine months of 2019, the contingent consideration expense for the QuoteWizard and SnapCap acquisitions was $21.2 million and $1.8 million, respectively. This was partially offset by contingent consideration gains recorded for the Ovation and DepositAccounts acquisitions of $0.8 million and $1.0 million, respectively.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Interest expense increased in the third quarter and first nine months of 2020 compared to the third quarter and first nine months of 2019 due to the issuance of $575.0 million of our 0.50% Convertible Senior Notes due July 15, 2025 (the “2025 Notes”) as well as the repurchase of a portion of our existing 0.625% Convertible Senior Notes due June 1, 2022 (the “2022 Notes”) in July 2020. In the third quarter and first nine months of 2020, interest expense of $4.9 million was recognized on the 2025 Notes. Further, a loss on debt extinguishment of $7.8 million was recognized within interest expense upon the partial repurchase of the 2022 Notes. These increases to interest expense were partially offset by lower interest expense on the 2022 Notes in the third quarter and first nine months of 2020 as a result of the repurchase of $130.3 million principal amount of the 2022 Notes. See Note 14—Debt for additional information on the issuance of the 2025 Notes and the partial repurchase of the 2022 Notes.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third quarter and first nine months of 2020, the effective tax rate varied from the federal statutory rate of 21% in part due to a tax benefit of $0.2 million and $2.0 million, respectively, recognized for excess tax benefits resulting from employee exercises of stock options and vesting of restricted stock in accordance with ASU 2016-09 and the effect of state taxes. The effective tax rate for the first nine months of 2020 was also impacted by a tax benefit of $6.1 million for the impact of the CARES Act, as described below.</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27, 2020, President Trump signed into law the CARES Act. This legislation is an economic relief package in response to the public health and economic impacts of COVID-19 and includes various provisions that impact us, including, but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 limited to, modifications for net operating losses, accelerated timeframe for refunds associated with prior minimum taxes and modifications of the limitation on business interest.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revalued deferred tax assets related to net operating losses in light of the changes in the CARES Act, and recorded a net tax benefit of $6.1 million during the first nine months of 2020. These deferred tax assets are being revalued, as they will be carried back to 2016 and 2017, which are tax periods prior to the Tax Cuts and Jobs Act ("TCJA") when the federal statutory tax rate was 35% versus the 21% federal statutory tax rate in effect after the enactment of the TCJA.</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third quarter and first nine months of 2019, the effective tax rate varied from the federal statutory rate of 21% primarily due to a tax benefit of $2.8 million and $16.5 million, respectively, recognized for excess tax benefits resulting from employee exercises of stock options and vesting of restricted stock in accordance with ASU 2016-09, a tax benefit of $1.9 million recognized from an adjustment to the federal research tax credit and the effect of state taxes.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discontinued operations include the results of the LendingTree Loans business formerly operated by our wholly-owned subsidiary, Home Loan Center, Inc., or HLC. The sale of substantially all of the assets of HLC, including the LendingTree Loans business, was completed on June 6, 2012. HLC filed a petition under Chapter 11 of the United States Bankruptcy Code on July 21, 2019, which was converted to Chapter 7 of the United States Bankruptcy Code on September 16, 2019.</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voluntary bankruptcy petition, as of the initial July 21, 2019 bankruptcy petition filing date, HLC and its consolidated subsidiary were deconsolidated from LendingTree’s consolidated financial statements. The effect of such deconsolidation was the elimination of the consolidated assets and liabilities of HLC (and its consolidated subsidiary) from LendingTree’s consolidated balance sheets.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bankruptcy filing, losses from the LendingTree Loans business were primarily due to litigation settlements and contingencies and legal fees associated with ongoing legal proceedings.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include litigation settlements and contingencies and legal fees associated with ongoing legal proceedings against LendingTree Inc. or LendingTree LLC that arose due to the LendingTree Loans business or the HLC bankruptcy filing.</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18—Discontinued Operations to the consolidated financial statements included elsewhere in this report for more information,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effect of HLC’s bankruptcy filing on our consolidated financial statements.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Segment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center"/>
              <w:ind w:right="95"/>
              <w:spacing w:after="0"/>
              <w:rPr>
                <w:sz w:val="20"/>
                <w:szCs w:val="20"/>
                <w:color w:val="auto"/>
              </w:rPr>
            </w:pPr>
            <w:r>
              <w:rPr>
                <w:rFonts w:ascii="Arial" w:cs="Arial" w:eastAsia="Arial" w:hAnsi="Arial"/>
                <w:sz w:val="14"/>
                <w:szCs w:val="14"/>
                <w:b w:val="1"/>
                <w:bCs w:val="1"/>
                <w:color w:val="auto"/>
                <w:w w:val="92"/>
              </w:rPr>
              <w:t>Nine Months Ended 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120" w:type="dxa"/>
            <w:vAlign w:val="bottom"/>
          </w:tcPr>
          <w:p>
            <w:pPr>
              <w:jc w:val="right"/>
              <w:ind w:right="675"/>
              <w:spacing w:after="0" w:line="153"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9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120" w:type="dxa"/>
            <w:vAlign w:val="bottom"/>
          </w:tcPr>
          <w:p>
            <w:pPr>
              <w:jc w:val="right"/>
              <w:ind w:right="655"/>
              <w:spacing w:after="0" w:line="153"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55"/>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0" w:type="dxa"/>
            <w:vAlign w:val="bottom"/>
            <w:gridSpan w:val="4"/>
          </w:tcPr>
          <w:p>
            <w:pPr>
              <w:jc w:val="right"/>
              <w:ind w:right="373"/>
              <w:spacing w:after="0"/>
              <w:rPr>
                <w:sz w:val="20"/>
                <w:szCs w:val="20"/>
                <w:color w:val="auto"/>
              </w:rPr>
            </w:pPr>
            <w:r>
              <w:rPr>
                <w:rFonts w:ascii="Arial" w:cs="Arial" w:eastAsia="Arial" w:hAnsi="Arial"/>
                <w:sz w:val="14"/>
                <w:szCs w:val="14"/>
                <w:b w:val="1"/>
                <w:bCs w:val="1"/>
                <w:i w:val="1"/>
                <w:iCs w:val="1"/>
                <w:color w:val="auto"/>
              </w:rPr>
              <w:t>(Dollars in thousands)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25,166</w:t>
            </w:r>
          </w:p>
        </w:tc>
        <w:tc>
          <w:tcPr>
            <w:tcW w:w="3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28,092</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rPr>
              <w:t>(2,926)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99,803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76,223</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23,580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21,647</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65,169</w:t>
            </w:r>
          </w:p>
        </w:tc>
        <w:tc>
          <w:tcPr>
            <w:tcW w:w="260" w:type="dxa"/>
            <w:vAlign w:val="bottom"/>
          </w:tcPr>
          <w:p>
            <w:pPr>
              <w:spacing w:after="0"/>
              <w:rPr>
                <w:sz w:val="21"/>
                <w:szCs w:val="21"/>
                <w:color w:val="auto"/>
              </w:rPr>
            </w:pPr>
          </w:p>
        </w:tc>
        <w:tc>
          <w:tcPr>
            <w:tcW w:w="1120" w:type="dxa"/>
            <w:vAlign w:val="bottom"/>
          </w:tcPr>
          <w:p>
            <w:pPr>
              <w:jc w:val="right"/>
              <w:ind w:right="195"/>
              <w:spacing w:after="0"/>
              <w:rPr>
                <w:sz w:val="20"/>
                <w:szCs w:val="20"/>
                <w:color w:val="auto"/>
              </w:rPr>
            </w:pPr>
            <w:r>
              <w:rPr>
                <w:rFonts w:ascii="Arial" w:cs="Arial" w:eastAsia="Arial" w:hAnsi="Arial"/>
                <w:sz w:val="18"/>
                <w:szCs w:val="18"/>
                <w:color w:val="auto"/>
              </w:rPr>
              <w:t>(43,522)</w:t>
            </w: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84,148</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169,914</w:t>
            </w:r>
          </w:p>
        </w:tc>
        <w:tc>
          <w:tcPr>
            <w:tcW w:w="240" w:type="dxa"/>
            <w:vAlign w:val="bottom"/>
          </w:tcPr>
          <w:p>
            <w:pPr>
              <w:spacing w:after="0"/>
              <w:rPr>
                <w:sz w:val="21"/>
                <w:szCs w:val="21"/>
                <w:color w:val="auto"/>
              </w:rPr>
            </w:pP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(85,766)</w:t>
            </w: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Insurance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37,043</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30,003</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rPr>
              <w:t>7,040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97,698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86,673</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11,025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w:t>
            </w:r>
          </w:p>
        </w:tc>
        <w:tc>
          <w:tcPr>
            <w:tcW w:w="260" w:type="dxa"/>
            <w:vAlign w:val="bottom"/>
          </w:tcPr>
          <w:p>
            <w:pPr>
              <w:spacing w:after="0"/>
              <w:rPr>
                <w:sz w:val="21"/>
                <w:szCs w:val="21"/>
                <w:color w:val="auto"/>
              </w:rPr>
            </w:pPr>
          </w:p>
        </w:tc>
        <w:tc>
          <w:tcPr>
            <w:tcW w:w="1120" w:type="dxa"/>
            <w:vAlign w:val="bottom"/>
          </w:tcPr>
          <w:p>
            <w:pPr>
              <w:jc w:val="right"/>
              <w:ind w:right="195"/>
              <w:spacing w:after="0"/>
              <w:rPr>
                <w:sz w:val="20"/>
                <w:szCs w:val="20"/>
                <w:color w:val="auto"/>
              </w:rPr>
            </w:pPr>
            <w:r>
              <w:rPr>
                <w:rFonts w:ascii="Arial" w:cs="Arial" w:eastAsia="Arial" w:hAnsi="Arial"/>
                <w:sz w:val="18"/>
                <w:szCs w:val="18"/>
                <w:color w:val="auto"/>
              </w:rPr>
              <w:t>(382)</w:t>
            </w: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1,488</w:t>
            </w:r>
          </w:p>
        </w:tc>
        <w:tc>
          <w:tcPr>
            <w:tcW w:w="240" w:type="dxa"/>
            <w:vAlign w:val="bottom"/>
          </w:tcPr>
          <w:p>
            <w:pPr>
              <w:spacing w:after="0"/>
              <w:rPr>
                <w:sz w:val="21"/>
                <w:szCs w:val="21"/>
                <w:color w:val="auto"/>
              </w:rPr>
            </w:pP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(1,733)</w:t>
            </w: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83,858</w:t>
            </w:r>
          </w:p>
        </w:tc>
        <w:tc>
          <w:tcPr>
            <w:tcW w:w="3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123,648</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(39,790)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281,404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334,298</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(52,894)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7"/>
        </w:trPr>
        <w:tc>
          <w:tcPr>
            <w:tcW w:w="20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 Segment Information in the notes to the consolidated financial statements for additional information on segments and a reconciliation of segment profit to pre-tax income from continuing operations.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Consumer segment profit decreased $43.5 million in the third quarter of 2020 from the third quarter of 2019, and decreased $85.8 million in the first nine months of 2020 from the first nine months of 2019, primarily due to decreases in revenue, partially offset by corresponding decreases in selling and marketing expense. While the Consumer segment remains challenged from the impact of economic conditions related to the COVID-19 pandemic, we are encouraged that the performance of each of our credit cards, personal loans and small business loans products has steadily improved from the lows in the second quarter of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However, it remains difficult to predict the pace of recovery. We continue to observe favorable trends in consumer credit and spending, but these trends remain unclear due to the uncertainty surrounding further government stimulus and the staying power of COVID-19. Our Network Partners continue to view the market with caution; while many Network Partners have resumed activity on our marketplace, their interest in doing so is primarily to assess consumer behavior and performance rather than to aggressively pursue new origination at scale or market share gains.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considering the coming quarters, it is possible that our unit economics will remain constrained in our credit cards, personal loans and small business loans products due to the lack of heightened competition among our Network Partners. However, we believe that we are strategically positioning ourselves for success when industry conditions return to health. We continue to drive volume to our Network Partners, which could decrease segment profitability in the near term. The strength of our Home and Insurance segments, discussed below, enables us to adopt a longer-term orientation toward our Network Partners in these challenging times.</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Home segment profit decreased $2.9 million in the third quarter of 2020 from the third quarter of 2019, primarily due to an increase in selling and marketing expense, and increased $23.6 million in the first nine months of 2020 from the first nine months of 2019, primarily due to an increase in revenue. Mortgage lender capacity continued to expand in the third quarter of 2020 as refinance mortgage activity abated from the highs in the second quarter of 2020. While increased lender capacity benefits our business and enables improved traffic monetization, these same dynamics drive heightened competition and costs to acquire such traffic, leading to compressed margins. Other factors such as the November 2020 election also contributed to increased traffic acquisition costs; however, we view those dynamics as temporary and expect the industry backdrop to remain favorable in the coming quarters.</w:t>
      </w:r>
    </w:p>
    <w:p>
      <w:pPr>
        <w:spacing w:after="0" w:line="11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Insurance segment profit increased $7.0 million in the third quarter of 2020 from the third quarter of 2019, and increased $11.0 million in the first nine months of 2020 from the first nine months of 2019, primarily due to increases in revenue, partially offset by corresponding increases in selling and marketing expense. While decreased search engine traffic presented modest headwinds in the second quarter of 2020, such headwinds largely dissipated in the third quarter of 2020. We also accelerated the Insurance business in the third quarter of 2020 in a number of areas: the roll out of our publisher platform that is expected to be a significant growth driver in future quarters, the build out of an in-house agency that complements our existing offerings by enabling us to drive volume for insurance carriers who do not write premiums directly, and steady progress made in the health insurance and Medicare categories.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w:t>
      </w:r>
    </w:p>
    <w:p>
      <w:pPr>
        <w:jc w:val="both"/>
        <w:ind w:firstLine="8"/>
        <w:spacing w:after="0" w:line="270" w:lineRule="auto"/>
        <w:tabs>
          <w:tab w:leader="none" w:pos="263"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restructuring and severance expenses, (5) litigation settlements and contingencies, (6) acquisitions and dispositions income or expense (including with respect to changes in fair value of contingent consideration),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there are no adjustments for one-time items.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is a reconciliation of net (loss) income from continuing operations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80" w:type="dxa"/>
            <w:vAlign w:val="bottom"/>
            <w:gridSpan w:val="3"/>
          </w:tcPr>
          <w:p>
            <w:pPr>
              <w:jc w:val="right"/>
              <w:ind w:right="57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(24,809)</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24,463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(14,449)</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37,994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13,090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40,603</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41,485</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3,535</w:t>
            </w:r>
          </w:p>
        </w:tc>
        <w:tc>
          <w:tcPr>
            <w:tcW w:w="5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10,463</w:t>
            </w:r>
          </w:p>
        </w:tc>
        <w:tc>
          <w:tcPr>
            <w:tcW w:w="5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7,737</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Loss (gain) on impairments and disposal of assets</w:t>
            </w:r>
          </w:p>
        </w:tc>
        <w:tc>
          <w:tcPr>
            <w:tcW w:w="30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134</w:t>
            </w:r>
          </w:p>
        </w:tc>
        <w:tc>
          <w:tcPr>
            <w:tcW w:w="5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686</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(1,369)</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14,161</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39,236</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40,832</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6,658</w:t>
            </w:r>
          </w:p>
        </w:tc>
        <w:tc>
          <w:tcPr>
            <w:tcW w:w="5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3,839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7,711</w:t>
            </w:r>
          </w:p>
        </w:tc>
        <w:tc>
          <w:tcPr>
            <w:tcW w:w="5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21,221</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205</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2,405</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(983)</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16,617</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26,406</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15,408</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(7,925)</w:t>
            </w:r>
          </w:p>
        </w:tc>
        <w:tc>
          <w:tcPr>
            <w:tcW w:w="5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(14,866)</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(11,552)</w:t>
            </w:r>
          </w:p>
        </w:tc>
      </w:tr>
      <w:tr>
        <w:trPr>
          <w:trHeight w:val="27"/>
        </w:trPr>
        <w:tc>
          <w:tcPr>
            <w:tcW w:w="5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21,679</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63,021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97,402</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152,298</w:t>
            </w:r>
          </w:p>
        </w:tc>
      </w:tr>
      <w:tr>
        <w:trPr>
          <w:trHeight w:val="27"/>
        </w:trPr>
        <w:tc>
          <w:tcPr>
            <w:tcW w:w="59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2020, we had $187.3 million of cash and cash equivalents, compared to $60.2 million of cash and cash equivalents as of December 31, 2019.</w:t>
      </w:r>
    </w:p>
    <w:p>
      <w:pPr>
        <w:spacing w:after="0" w:line="6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 xml:space="preserve">In February 2020, we acquired an equity interest in Stash for $80.0 million. The investment was funded through $80.0 million drawn on our Amended Revolving Credit Facility.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7—Equity Investment to the consolidated financial statements included elsewhere in this report for more information.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first nine months of 2020, we made net repayments of $75.0 million on our Amended Revolving Credit Facility.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first nine months of 2020, we made two contingent consideration payments of $3.0 million each, related to the prior acquisition of SnapCap. In October 2020, we made a contingent consideration payment of $4.4 million related to the prior acquisition of Ovation. We could make additional potential contingent consideration payments of up to $46.8 million for QuoteWizard.</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2020, we made litigation settlement payments of $26.5 million to the ResCap Liquidating Trust ("ResCap") and $36.0 million to the HLC bankruptcy Trustee for the matters noted in Note 18—Discontinued Operations. In October 2020, due to the timing of distributions from the HLC bankruptcy estate, we were required to make a further payment of $6.4 million to ResCap. We anticipate receiving a total $7.5 million reimbursement from the HLC bankruptcy estate related to the ResCap payments by the first quarter of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July 2020, we issued $575.0 million of our 2025 Notes for net proceeds of approximately $559.9 million. We used approximately $63.0 million of the net proceeds to enter into Convertible Note Hedge and Warrant transactions. Further, we used $234.0 million of the net proceeds to repurchase approximately $130.3 million principal amount of our 2022 Notes. To the extent of the repurchases of the 2022 Notes, we received approximately $15.6 million as a result of terminating a corresponding portion of the Convertible Note Hedge and Warrant transactions entered into on May 31, 2017. See Note 14—Debt for additional information.</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revolving credit facility described below is an additional potential source of liquidity. We will continue to monitor the impact of the ongoing COVID-19 pandemic on our liquidity and capital resources. We expect our cashflow from operating activities to be negatively impacted by the economic recession.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December 10, 2019, we entered into an amended and restated $500.0 million five-year senior secured revolving credit facility, which matures on December 10, 2024 (the “Amended Revolving Credit Facility”). Borrowings under the Amended Revolving Credit Facility can be used to finance working capital needs, capital expenditures and general corporate purposes, including to finance permitted acquisitions. In July 2020, we executed a temporary amendment to the Amended Revolving Credit Facility to provide for certain covenant relief, primarily to facilitate the issuance of the 2025 Notes, the repurchase of a portion of the 2022 Notes, and to pay down existing borrowings under the credit facility. The amendment applies from the effective date through the fiscal quarter ending June 30, 2021, unless terminated in advance by us. See Note 14—Debt for additional information.</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November 5, 2020, we have a $0.2 million letter of credit under the Amended Revolving Credit Facility. The remaining borrowing capacity at November 5, 2020 is $499.8 million.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96,216</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110,880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(100,386)</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(96,187)</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197,375</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(56,779)</w:t>
            </w:r>
          </w:p>
        </w:tc>
      </w:tr>
      <w:tr>
        <w:trPr>
          <w:trHeight w:val="20"/>
        </w:trPr>
        <w:tc>
          <w:tcPr>
            <w:tcW w:w="8220" w:type="dxa"/>
            <w:vAlign w:val="bottom"/>
            <w:shd w:val="clear" w:color="auto" w:fill="999999"/>
          </w:tcPr>
          <w:p>
            <w:pPr>
              <w:spacing w:after="0" w:line="20" w:lineRule="exact"/>
              <w:rPr>
                <w:sz w:val="1"/>
                <w:szCs w:val="1"/>
                <w:color w:val="auto"/>
              </w:rPr>
            </w:pPr>
          </w:p>
        </w:tc>
        <w:tc>
          <w:tcPr>
            <w:tcW w:w="340" w:type="dxa"/>
            <w:vAlign w:val="bottom"/>
            <w:shd w:val="clear" w:color="auto" w:fill="999999"/>
          </w:tcPr>
          <w:p>
            <w:pPr>
              <w:spacing w:after="0" w:line="20" w:lineRule="exact"/>
              <w:rPr>
                <w:sz w:val="1"/>
                <w:szCs w:val="1"/>
                <w:color w:val="auto"/>
              </w:rPr>
            </w:pPr>
          </w:p>
        </w:tc>
        <w:tc>
          <w:tcPr>
            <w:tcW w:w="1160" w:type="dxa"/>
            <w:vAlign w:val="bottom"/>
            <w:shd w:val="clear" w:color="auto" w:fill="999999"/>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980" w:type="dxa"/>
            <w:vAlign w:val="bottom"/>
            <w:shd w:val="clear" w:color="auto" w:fill="999999"/>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provided by operating activities attributable to continuing operations decreased in the first nine months of 2020 from the first nine months of 2019 primarily due to a decrease in revenue, partially offset by a corresponding decrease in selling and marketing expense. This was further partially offset by net favorable changes in working capital, primarily in accounts receivable and accounts payable, accrued expenses and other current liabilities.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attributable to continuing operations in the first nine months of 2020 of $100.4 million consisted of the purchase of an $80.0 million equity interest in Stash and capital expenditures of $20.4 million primarily related to internally developed software and leasehold improvements for our new principal executive offices currently under construction.</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used in investing activities attributable to continuing operations in the first nine months of 2019 of $96.2 million consisted primarily of the acquisition of ValuePenguin for $105.6 million, net of cash acquired, and capital expenditures of $15.2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million primarily related to internally developed software. This was partially offset by proceeds of $24.1 million on the sale of two office buildings, net of closing expenses.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attributable to continuing operations in the first nine months of 2020 of $197.4 million consisted primarily of $575.0 million of gross proceeds from the issuance of the 2025 Notes, partially offset by $233.9 million paid to repurchase a portion of the 2022 Notes, a net $47.4 million paid for the related convertible note hedge and warrant transactions outlined above, $75.0 million of net repayments on our Amended Revolving Credit Facility, and $16.4 million for the payment of debt issuance costs.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attributable to continuing operations in the first nine months of 2019 of $56.8 million consisted primarily of $40.0 million of net repayments on our 2017 Revolving Credit Facility, $4.3 million for the repurchase of our common stock, $9.5 million in withholding taxes paid upon surrender of shares to satisfy obligations on equity awards, net of proceeds from the exercise of stock options, and a $3.0 million contingent consideration payment for SnapCap.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no off-balance sheet arrangements other than a letter of credit and our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w:t>
      </w:r>
      <w:r>
        <w:rPr>
          <w:rFonts w:ascii="Arial" w:cs="Arial" w:eastAsia="Arial" w:hAnsi="Arial"/>
          <w:sz w:val="17"/>
          <w:szCs w:val="17"/>
          <w:b w:val="1"/>
          <w:bCs w:val="1"/>
          <w:color w:val="auto"/>
        </w:rPr>
        <w:t>—</w:t>
      </w:r>
      <w:r>
        <w:rPr>
          <w:rFonts w:ascii="Arial" w:cs="Arial" w:eastAsia="Arial" w:hAnsi="Arial"/>
          <w:sz w:val="17"/>
          <w:szCs w:val="17"/>
          <w:color w:val="auto"/>
        </w:rPr>
        <w:t xml:space="preserve">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than our Amended Revolving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Amended Revolving Credit Facility, if any. As of November 5, 2020, there were no borrowings under the Amended Revolving Credit Facility.</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September 30, 2020,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September 30, 2020 that has materially affected, or is reasonably likely to materially affect, our internal controls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2019 Annual Report and updated that information in Note 15—Contingencies and Note 18—Discontinued Operations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Other than the risk factor set forth below, 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2019 Annual Report.</w:t>
      </w:r>
    </w:p>
    <w:p>
      <w:pPr>
        <w:spacing w:after="0" w:line="1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COVID-19 pandemic has impacted our business, and the ultimate impact on our business, financial condition and results of operations will depend on future developments, which are highly uncertain and cannot be predicted, including the scope and duration of the pandemic and actions taken by governmental authorities in response to the pandemic.</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COVID-19 pandemic has negatively impacted the global economy, disrupted global supply chains, lowered equity market valuations, created significant volatility and disruption in financial markets, and increased unemployment levels. In addition, the pandemic has resulted in temporary closures of many businesses and the institution of social distancing and sheltering in place requirements in many states and communities. As a result, the demand for our products, in particular in our Consumer segment, has been and may continue to be significantly impacted. Within our Consumer segment we have seen reductions of approximately 70% in near-term lender demand for our services reflecting those lenders' uncertainty over the length and depth of the economic recession. Our business operations may also be disrupted if significant portions of our workforce are unable to work effectively, including because of illness, quarantines, government actions, or other restrictions in connection with the pandemic. The extent to which the COVID-19 pandemic impacts our business, financial condition and results of operations, as well as our regulatory capital and liquidity ratios, will depend on future developments, which are highly uncertain and cannot be predicted, including the scope and duration of the pandemic and actions taken by governmental authorities and other third parties in response to the pandemic.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September 30, 2020, no shares of common stock were repurchased under the stock repurchase program. As of </w:t>
      </w:r>
      <w:r>
        <w:rPr>
          <w:rFonts w:ascii="Arial" w:cs="Arial" w:eastAsia="Arial" w:hAnsi="Arial"/>
          <w:sz w:val="15"/>
          <w:szCs w:val="15"/>
          <w:color w:val="auto"/>
        </w:rPr>
        <w:t>October 30, 2020</w:t>
      </w:r>
      <w:r>
        <w:rPr>
          <w:rFonts w:ascii="Arial" w:cs="Arial" w:eastAsia="Arial" w:hAnsi="Arial"/>
          <w:sz w:val="16"/>
          <w:szCs w:val="16"/>
          <w:color w:val="auto"/>
        </w:rPr>
        <w:t>, approximately $179.7 million remains authorized for share repurchase.</w:t>
      </w:r>
    </w:p>
    <w:p>
      <w:pPr>
        <w:spacing w:after="0" w:line="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the LendingTree Sixth Amended and Restated 2008 Stock and Award Incentive Plan and the LendingTree 2017 Inducement Grant Plan allow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September 30, 2020, 4,751 shares were purchased related to these obligations under the LendingTree Sixth Amended and Restated 2008 Stock and Award Incentive Plan and 164 shares were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about the company's purchases of equity securities during the quarter ended September 30,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180" w:type="dxa"/>
            <w:vAlign w:val="bottom"/>
          </w:tcPr>
          <w:p>
            <w:pPr>
              <w:spacing w:after="0"/>
              <w:rPr>
                <w:sz w:val="14"/>
                <w:szCs w:val="14"/>
                <w:color w:val="auto"/>
              </w:rPr>
            </w:pPr>
          </w:p>
        </w:tc>
        <w:tc>
          <w:tcPr>
            <w:tcW w:w="172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80" w:type="dxa"/>
            <w:vAlign w:val="bottom"/>
          </w:tcPr>
          <w:p>
            <w:pPr>
              <w:spacing w:after="0"/>
              <w:rPr>
                <w:sz w:val="12"/>
                <w:szCs w:val="12"/>
                <w:color w:val="auto"/>
              </w:rPr>
            </w:pPr>
          </w:p>
        </w:tc>
        <w:tc>
          <w:tcPr>
            <w:tcW w:w="17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2"/>
                <w:szCs w:val="12"/>
                <w:color w:val="auto"/>
              </w:rPr>
            </w:pPr>
          </w:p>
        </w:tc>
        <w:tc>
          <w:tcPr>
            <w:tcW w:w="15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80" w:type="dxa"/>
            <w:vAlign w:val="bottom"/>
          </w:tcPr>
          <w:p>
            <w:pPr>
              <w:spacing w:after="0"/>
              <w:rPr>
                <w:sz w:val="12"/>
                <w:szCs w:val="12"/>
                <w:color w:val="auto"/>
              </w:rPr>
            </w:pPr>
          </w:p>
        </w:tc>
        <w:tc>
          <w:tcPr>
            <w:tcW w:w="17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8"/>
        </w:trPr>
        <w:tc>
          <w:tcPr>
            <w:tcW w:w="3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80" w:type="dxa"/>
            <w:vAlign w:val="bottom"/>
          </w:tcPr>
          <w:p>
            <w:pPr>
              <w:spacing w:after="0"/>
              <w:rPr>
                <w:sz w:val="12"/>
                <w:szCs w:val="12"/>
                <w:color w:val="auto"/>
              </w:rPr>
            </w:pPr>
          </w:p>
        </w:tc>
        <w:tc>
          <w:tcPr>
            <w:tcW w:w="17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840" w:type="dxa"/>
            <w:vAlign w:val="bottom"/>
            <w:gridSpan w:val="2"/>
            <w:vMerge w:val="continue"/>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 xml:space="preserve">Shares Purchased </w:t>
            </w:r>
            <w:r>
              <w:rPr>
                <w:rFonts w:ascii="Arial" w:cs="Arial" w:eastAsia="Arial" w:hAnsi="Arial"/>
                <w:sz w:val="8"/>
                <w:szCs w:val="8"/>
                <w:b w:val="1"/>
                <w:bCs w:val="1"/>
                <w:color w:val="auto"/>
                <w:w w:val="89"/>
              </w:rPr>
              <w:t>(1)</w:t>
            </w:r>
          </w:p>
        </w:tc>
        <w:tc>
          <w:tcPr>
            <w:tcW w:w="24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Paid per Share</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 xml:space="preserve">Programs </w:t>
            </w:r>
            <w:r>
              <w:rPr>
                <w:rFonts w:ascii="Arial" w:cs="Arial" w:eastAsia="Arial" w:hAnsi="Arial"/>
                <w:sz w:val="8"/>
                <w:szCs w:val="8"/>
                <w:b w:val="1"/>
                <w:bCs w:val="1"/>
                <w:color w:val="auto"/>
                <w:w w:val="96"/>
              </w:rPr>
              <w:t>(2)</w:t>
            </w:r>
          </w:p>
        </w:tc>
        <w:tc>
          <w:tcPr>
            <w:tcW w:w="180" w:type="dxa"/>
            <w:vAlign w:val="bottom"/>
          </w:tcPr>
          <w:p>
            <w:pPr>
              <w:spacing w:after="0"/>
              <w:rPr>
                <w:sz w:val="16"/>
                <w:szCs w:val="16"/>
                <w:color w:val="auto"/>
              </w:rPr>
            </w:pPr>
          </w:p>
        </w:tc>
        <w:tc>
          <w:tcPr>
            <w:tcW w:w="172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center"/>
              <w:ind w:right="10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3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7/1/20 - 7/31/20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339.59</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8/1/20 - 8/31/20</w:t>
            </w:r>
          </w:p>
        </w:tc>
        <w:tc>
          <w:tcPr>
            <w:tcW w:w="120" w:type="dxa"/>
            <w:vAlign w:val="bottom"/>
          </w:tcPr>
          <w:p>
            <w:pPr>
              <w:spacing w:after="0"/>
              <w:rPr>
                <w:sz w:val="21"/>
                <w:szCs w:val="21"/>
                <w:color w:val="auto"/>
              </w:rPr>
            </w:pP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315.35</w:t>
            </w:r>
          </w:p>
        </w:tc>
        <w:tc>
          <w:tcPr>
            <w:tcW w:w="100" w:type="dxa"/>
            <w:vAlign w:val="bottom"/>
          </w:tcPr>
          <w:p>
            <w:pPr>
              <w:spacing w:after="0"/>
              <w:rPr>
                <w:sz w:val="21"/>
                <w:szCs w:val="21"/>
                <w:color w:val="auto"/>
              </w:rPr>
            </w:pPr>
          </w:p>
        </w:tc>
        <w:tc>
          <w:tcPr>
            <w:tcW w:w="190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2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9/1/20 - 9/30/20</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305.96</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37"/>
        </w:trPr>
        <w:tc>
          <w:tcPr>
            <w:tcW w:w="3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4,915</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314.58</w:t>
            </w:r>
          </w:p>
        </w:tc>
        <w:tc>
          <w:tcPr>
            <w:tcW w:w="1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2"/>
          </w:tcPr>
          <w:p>
            <w:pPr>
              <w:ind w:left="15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34"/>
        </w:trPr>
        <w:tc>
          <w:tcPr>
            <w:tcW w:w="3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July 2020, August 2020 and September 2020, 945 shares, 1,129 shares and 2,841 shares, respectively (totaling 4,915 shares), were purchased to satisfy federal and state withholding obligations of our employees upon the settlement of restricted stock units and restricted stock awards, all in accordance with our Sixth Amended and Restated 2008 Stock and Award Incentive Plan and 2017 Inducement Grant Plan, as described above.</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Exhibit</w:t>
            </w:r>
          </w:p>
        </w:tc>
        <w:tc>
          <w:tcPr>
            <w:tcW w:w="400" w:type="dxa"/>
            <w:vAlign w:val="bottom"/>
            <w:tcBorders>
              <w:bottom w:val="single" w:sz="8" w:color="auto"/>
            </w:tcBorders>
          </w:tcPr>
          <w:p>
            <w:pPr>
              <w:spacing w:after="0"/>
              <w:rPr>
                <w:sz w:val="16"/>
                <w:szCs w:val="16"/>
                <w:color w:val="auto"/>
              </w:rPr>
            </w:pPr>
          </w:p>
        </w:tc>
        <w:tc>
          <w:tcPr>
            <w:tcW w:w="6800" w:type="dxa"/>
            <w:vAlign w:val="bottom"/>
            <w:tcBorders>
              <w:bottom w:val="single" w:sz="8" w:color="auto"/>
            </w:tcBorders>
            <w:gridSpan w:val="4"/>
          </w:tcPr>
          <w:p>
            <w:pPr>
              <w:ind w:left="2800"/>
              <w:spacing w:after="0"/>
              <w:rPr>
                <w:sz w:val="20"/>
                <w:szCs w:val="20"/>
                <w:color w:val="auto"/>
              </w:rPr>
            </w:pPr>
            <w:r>
              <w:rPr>
                <w:rFonts w:ascii="Arial" w:cs="Arial" w:eastAsia="Arial" w:hAnsi="Arial"/>
                <w:sz w:val="14"/>
                <w:szCs w:val="14"/>
                <w:b w:val="1"/>
                <w:bCs w:val="1"/>
                <w:color w:val="auto"/>
              </w:rPr>
              <w:t>Description</w:t>
            </w:r>
          </w:p>
        </w:tc>
        <w:tc>
          <w:tcPr>
            <w:tcW w:w="29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Location</w:t>
            </w:r>
          </w:p>
        </w:tc>
      </w:tr>
      <w:tr>
        <w:trPr>
          <w:trHeight w:val="121"/>
        </w:trPr>
        <w:tc>
          <w:tcPr>
            <w:tcW w:w="1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tcPr>
          <w:p>
            <w:pPr>
              <w:spacing w:after="0"/>
              <w:rPr>
                <w:sz w:val="10"/>
                <w:szCs w:val="10"/>
                <w:color w:val="auto"/>
              </w:rPr>
            </w:pPr>
          </w:p>
        </w:tc>
      </w:tr>
      <w:tr>
        <w:trPr>
          <w:trHeight w:val="229"/>
        </w:trPr>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3.1</w:t>
            </w:r>
          </w:p>
        </w:tc>
        <w:tc>
          <w:tcPr>
            <w:tcW w:w="7200" w:type="dxa"/>
            <w:vAlign w:val="bottom"/>
            <w:gridSpan w:val="5"/>
            <w:shd w:val="clear" w:color="auto" w:fill="CCEEFF"/>
          </w:tcPr>
          <w:p>
            <w:pPr>
              <w:spacing w:after="0"/>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Amended and Restated Certificate of Incorporation of LendingTree, Inc.</w:t>
              </w:r>
            </w:hyperlink>
          </w:p>
        </w:tc>
        <w:tc>
          <w:tcPr>
            <w:tcW w:w="29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Exhibit 3.1 to the Registrant's Current</w:t>
            </w:r>
          </w:p>
        </w:tc>
      </w:tr>
      <w:tr>
        <w:trPr>
          <w:trHeight w:val="216"/>
        </w:trPr>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Report on Form 8-K filed August 25,</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2008</w:t>
            </w:r>
          </w:p>
        </w:tc>
      </w:tr>
      <w:tr>
        <w:trPr>
          <w:trHeight w:val="229"/>
        </w:trPr>
        <w:tc>
          <w:tcPr>
            <w:tcW w:w="1060" w:type="dxa"/>
            <w:vAlign w:val="bottom"/>
          </w:tcPr>
          <w:p>
            <w:pPr>
              <w:jc w:val="right"/>
              <w:ind w:right="171"/>
              <w:spacing w:after="0"/>
              <w:rPr>
                <w:sz w:val="20"/>
                <w:szCs w:val="20"/>
                <w:color w:val="auto"/>
              </w:rPr>
            </w:pPr>
            <w:r>
              <w:rPr>
                <w:rFonts w:ascii="Arial" w:cs="Arial" w:eastAsia="Arial" w:hAnsi="Arial"/>
                <w:sz w:val="18"/>
                <w:szCs w:val="18"/>
                <w:color w:val="auto"/>
              </w:rPr>
              <w:t>3.2</w:t>
            </w:r>
          </w:p>
        </w:tc>
        <w:tc>
          <w:tcPr>
            <w:tcW w:w="7200" w:type="dxa"/>
            <w:vAlign w:val="bottom"/>
            <w:gridSpan w:val="5"/>
          </w:tcPr>
          <w:p>
            <w:pPr>
              <w:spacing w:after="0"/>
              <w:rPr>
                <w:rFonts w:ascii="Arial" w:cs="Arial" w:eastAsia="Arial" w:hAnsi="Arial"/>
                <w:sz w:val="18"/>
                <w:szCs w:val="18"/>
                <w:color w:val="0000FF"/>
              </w:rPr>
            </w:pPr>
            <w:hyperlink r:id="rId20">
              <w:r>
                <w:rPr>
                  <w:rFonts w:ascii="Arial" w:cs="Arial" w:eastAsia="Arial" w:hAnsi="Arial"/>
                  <w:sz w:val="18"/>
                  <w:szCs w:val="18"/>
                  <w:u w:val="single" w:color="auto"/>
                  <w:color w:val="0000FF"/>
                </w:rPr>
                <w:t>Fourth Amended and Restated By-laws of LendingTree, Inc</w:t>
              </w:r>
              <w:r>
                <w:rPr>
                  <w:rFonts w:ascii="Arial" w:cs="Arial" w:eastAsia="Arial" w:hAnsi="Arial"/>
                  <w:sz w:val="18"/>
                  <w:szCs w:val="18"/>
                  <w:color w:val="0000FF"/>
                </w:rPr>
                <w:t>.</w:t>
              </w:r>
            </w:hyperlink>
          </w:p>
        </w:tc>
        <w:tc>
          <w:tcPr>
            <w:tcW w:w="2980" w:type="dxa"/>
            <w:vAlign w:val="bottom"/>
          </w:tcPr>
          <w:p>
            <w:pPr>
              <w:ind w:left="100"/>
              <w:spacing w:after="0"/>
              <w:rPr>
                <w:sz w:val="20"/>
                <w:szCs w:val="20"/>
                <w:color w:val="auto"/>
              </w:rPr>
            </w:pPr>
            <w:r>
              <w:rPr>
                <w:rFonts w:ascii="Arial" w:cs="Arial" w:eastAsia="Arial" w:hAnsi="Arial"/>
                <w:sz w:val="18"/>
                <w:szCs w:val="18"/>
                <w:color w:val="auto"/>
                <w:w w:val="95"/>
              </w:rPr>
              <w:t>Exhibit 3.1 to the Registrant's Current</w:t>
            </w:r>
          </w:p>
        </w:tc>
      </w:tr>
      <w:tr>
        <w:trPr>
          <w:trHeight w:val="216"/>
        </w:trPr>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Pr>
          <w:p>
            <w:pPr>
              <w:ind w:left="100"/>
              <w:spacing w:after="0"/>
              <w:rPr>
                <w:sz w:val="20"/>
                <w:szCs w:val="20"/>
                <w:color w:val="auto"/>
              </w:rPr>
            </w:pPr>
            <w:r>
              <w:rPr>
                <w:rFonts w:ascii="Arial" w:cs="Arial" w:eastAsia="Arial" w:hAnsi="Arial"/>
                <w:sz w:val="18"/>
                <w:szCs w:val="18"/>
                <w:color w:val="auto"/>
              </w:rPr>
              <w:t>Report on Form 8-K filed November</w:t>
            </w:r>
          </w:p>
        </w:tc>
      </w:tr>
      <w:tr>
        <w:trPr>
          <w:trHeight w:val="230"/>
        </w:trPr>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80" w:type="dxa"/>
            <w:vAlign w:val="bottom"/>
          </w:tcPr>
          <w:p>
            <w:pPr>
              <w:ind w:left="100"/>
              <w:spacing w:after="0"/>
              <w:rPr>
                <w:sz w:val="20"/>
                <w:szCs w:val="20"/>
                <w:color w:val="auto"/>
              </w:rPr>
            </w:pPr>
            <w:r>
              <w:rPr>
                <w:rFonts w:ascii="Arial" w:cs="Arial" w:eastAsia="Arial" w:hAnsi="Arial"/>
                <w:sz w:val="18"/>
                <w:szCs w:val="18"/>
                <w:color w:val="auto"/>
              </w:rPr>
              <w:t>15, 2017</w:t>
            </w:r>
          </w:p>
        </w:tc>
      </w:tr>
      <w:tr>
        <w:trPr>
          <w:trHeight w:val="27"/>
        </w:trPr>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03"/>
        </w:trPr>
        <w:tc>
          <w:tcPr>
            <w:tcW w:w="1060" w:type="dxa"/>
            <w:vAlign w:val="bottom"/>
            <w:tcBorders>
              <w:bottom w:val="single" w:sz="8" w:color="CCEEFF"/>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31.1</w:t>
            </w:r>
          </w:p>
        </w:tc>
        <w:tc>
          <w:tcPr>
            <w:tcW w:w="714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95"/>
              </w:rPr>
            </w:pPr>
            <w:hyperlink w:anchor="page53">
              <w:r>
                <w:rPr>
                  <w:rFonts w:ascii="Arial" w:cs="Arial" w:eastAsia="Arial" w:hAnsi="Arial"/>
                  <w:sz w:val="18"/>
                  <w:szCs w:val="18"/>
                  <w:color w:val="0000FF"/>
                  <w:w w:val="95"/>
                </w:rPr>
                <w:t>Certification of the Chief Executive Officer pursuant to Rule 13a-14(a) or Rule 15d-14(a) of the</w:t>
              </w:r>
            </w:hyperlink>
          </w:p>
        </w:tc>
        <w:tc>
          <w:tcPr>
            <w:tcW w:w="60" w:type="dxa"/>
            <w:vAlign w:val="bottom"/>
            <w:tcBorders>
              <w:bottom w:val="single" w:sz="8" w:color="CCEEFF"/>
            </w:tcBorders>
            <w:shd w:val="clear" w:color="auto" w:fill="CCEEFF"/>
          </w:tcPr>
          <w:p>
            <w:pPr>
              <w:spacing w:after="0"/>
              <w:rPr>
                <w:sz w:val="17"/>
                <w:szCs w:val="17"/>
                <w:color w:val="auto"/>
              </w:rPr>
            </w:pPr>
          </w:p>
        </w:tc>
        <w:tc>
          <w:tcPr>
            <w:tcW w:w="29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1060" w:type="dxa"/>
            <w:vAlign w:val="bottom"/>
            <w:shd w:val="clear" w:color="auto" w:fill="CCEEFF"/>
          </w:tcPr>
          <w:p>
            <w:pPr>
              <w:spacing w:after="0"/>
              <w:rPr>
                <w:sz w:val="17"/>
                <w:szCs w:val="17"/>
                <w:color w:val="auto"/>
              </w:rPr>
            </w:pPr>
          </w:p>
        </w:tc>
        <w:tc>
          <w:tcPr>
            <w:tcW w:w="7200" w:type="dxa"/>
            <w:vAlign w:val="bottom"/>
            <w:gridSpan w:val="5"/>
            <w:shd w:val="clear" w:color="auto" w:fill="CCEEFF"/>
          </w:tcPr>
          <w:p>
            <w:pPr>
              <w:spacing w:after="0" w:line="196" w:lineRule="exact"/>
              <w:rPr>
                <w:rFonts w:ascii="Arial" w:cs="Arial" w:eastAsia="Arial" w:hAnsi="Arial"/>
                <w:sz w:val="18"/>
                <w:szCs w:val="18"/>
                <w:color w:val="0000FF"/>
                <w:w w:val="91"/>
              </w:rPr>
            </w:pPr>
            <w:hyperlink w:anchor="page53">
              <w:r>
                <w:rPr>
                  <w:rFonts w:ascii="Arial" w:cs="Arial" w:eastAsia="Arial" w:hAnsi="Arial"/>
                  <w:sz w:val="18"/>
                  <w:szCs w:val="18"/>
                  <w:color w:val="0000FF"/>
                  <w:w w:val="91"/>
                </w:rPr>
                <w:t>Securities Exchange Act of 1934 as adopted pursuant to Section 302 of the Sarbanes-Oxley Act of</w:t>
              </w:r>
            </w:hyperlink>
          </w:p>
        </w:tc>
        <w:tc>
          <w:tcPr>
            <w:tcW w:w="2980" w:type="dxa"/>
            <w:vAlign w:val="bottom"/>
            <w:shd w:val="clear" w:color="auto" w:fill="CCEEFF"/>
          </w:tcPr>
          <w:p>
            <w:pPr>
              <w:spacing w:after="0"/>
              <w:rPr>
                <w:sz w:val="17"/>
                <w:szCs w:val="17"/>
                <w:color w:val="auto"/>
              </w:rPr>
            </w:pP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w:anchor="page53">
              <w:r>
                <w:rPr>
                  <w:rFonts w:ascii="Arial" w:cs="Arial" w:eastAsia="Arial" w:hAnsi="Arial"/>
                  <w:sz w:val="18"/>
                  <w:szCs w:val="18"/>
                  <w:color w:val="0000FF"/>
                </w:rPr>
                <w:t>2002.</w:t>
              </w:r>
            </w:hyperlink>
          </w:p>
        </w:tc>
        <w:tc>
          <w:tcPr>
            <w:tcW w:w="28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900" w:type="dxa"/>
            <w:vAlign w:val="bottom"/>
            <w:tcBorders>
              <w:top w:val="single" w:sz="8" w:color="CCEEFF"/>
            </w:tcBorders>
            <w:shd w:val="clear" w:color="auto" w:fill="CCEEFF"/>
          </w:tcPr>
          <w:p>
            <w:pPr>
              <w:spacing w:after="0"/>
              <w:rPr>
                <w:sz w:val="4"/>
                <w:szCs w:val="4"/>
                <w:color w:val="auto"/>
              </w:rPr>
            </w:pPr>
          </w:p>
        </w:tc>
        <w:tc>
          <w:tcPr>
            <w:tcW w:w="2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31.2</w:t>
            </w:r>
          </w:p>
        </w:tc>
        <w:tc>
          <w:tcPr>
            <w:tcW w:w="7120" w:type="dxa"/>
            <w:vAlign w:val="bottom"/>
            <w:tcBorders>
              <w:bottom w:val="single" w:sz="8" w:color="0000FF"/>
            </w:tcBorders>
            <w:gridSpan w:val="3"/>
          </w:tcPr>
          <w:p>
            <w:pPr>
              <w:spacing w:after="0" w:line="202" w:lineRule="exact"/>
              <w:rPr>
                <w:rFonts w:ascii="Arial" w:cs="Arial" w:eastAsia="Arial" w:hAnsi="Arial"/>
                <w:sz w:val="18"/>
                <w:szCs w:val="18"/>
                <w:color w:val="0000FF"/>
                <w:w w:val="95"/>
              </w:rPr>
            </w:pPr>
            <w:hyperlink w:anchor="page54">
              <w:r>
                <w:rPr>
                  <w:rFonts w:ascii="Arial" w:cs="Arial" w:eastAsia="Arial" w:hAnsi="Arial"/>
                  <w:sz w:val="18"/>
                  <w:szCs w:val="18"/>
                  <w:color w:val="0000FF"/>
                  <w:w w:val="95"/>
                </w:rPr>
                <w:t>Certification of the Chief Financial Officer pursuant to Rule 13a-14(a) or Rule 15d-14(a) of the</w:t>
              </w:r>
            </w:hyperlink>
          </w:p>
        </w:tc>
        <w:tc>
          <w:tcPr>
            <w:tcW w:w="80" w:type="dxa"/>
            <w:vAlign w:val="bottom"/>
            <w:gridSpan w:val="2"/>
          </w:tcPr>
          <w:p>
            <w:pPr>
              <w:spacing w:after="0"/>
              <w:rPr>
                <w:sz w:val="17"/>
                <w:szCs w:val="17"/>
                <w:color w:val="auto"/>
              </w:rPr>
            </w:pPr>
          </w:p>
        </w:tc>
        <w:tc>
          <w:tcPr>
            <w:tcW w:w="29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1060" w:type="dxa"/>
            <w:vAlign w:val="bottom"/>
          </w:tcPr>
          <w:p>
            <w:pPr>
              <w:spacing w:after="0"/>
              <w:rPr>
                <w:sz w:val="17"/>
                <w:szCs w:val="17"/>
                <w:color w:val="auto"/>
              </w:rPr>
            </w:pPr>
          </w:p>
        </w:tc>
        <w:tc>
          <w:tcPr>
            <w:tcW w:w="7200" w:type="dxa"/>
            <w:vAlign w:val="bottom"/>
            <w:gridSpan w:val="5"/>
          </w:tcPr>
          <w:p>
            <w:pPr>
              <w:spacing w:after="0" w:line="196" w:lineRule="exact"/>
              <w:rPr>
                <w:rFonts w:ascii="Arial" w:cs="Arial" w:eastAsia="Arial" w:hAnsi="Arial"/>
                <w:sz w:val="18"/>
                <w:szCs w:val="18"/>
                <w:color w:val="0000FF"/>
                <w:w w:val="91"/>
              </w:rPr>
            </w:pPr>
            <w:hyperlink w:anchor="page54">
              <w:r>
                <w:rPr>
                  <w:rFonts w:ascii="Arial" w:cs="Arial" w:eastAsia="Arial" w:hAnsi="Arial"/>
                  <w:sz w:val="18"/>
                  <w:szCs w:val="18"/>
                  <w:color w:val="0000FF"/>
                  <w:w w:val="91"/>
                </w:rPr>
                <w:t>Securities Exchange Act of 1934 as adopted pursuant to Section 302 of the Sarbanes-Oxley Act of</w:t>
              </w:r>
            </w:hyperlink>
          </w:p>
        </w:tc>
        <w:tc>
          <w:tcPr>
            <w:tcW w:w="29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30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54">
              <w:r>
                <w:rPr>
                  <w:rFonts w:ascii="Arial" w:cs="Arial" w:eastAsia="Arial" w:hAnsi="Arial"/>
                  <w:sz w:val="18"/>
                  <w:szCs w:val="18"/>
                  <w:color w:val="0000FF"/>
                </w:rPr>
                <w:t>2002.</w:t>
              </w:r>
            </w:hyperlink>
          </w:p>
        </w:tc>
        <w:tc>
          <w:tcPr>
            <w:tcW w:w="28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48"/>
        </w:trPr>
        <w:tc>
          <w:tcPr>
            <w:tcW w:w="10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9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r>
      <w:tr>
        <w:trPr>
          <w:trHeight w:val="203"/>
        </w:trPr>
        <w:tc>
          <w:tcPr>
            <w:tcW w:w="10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32.1</w:t>
            </w:r>
          </w:p>
        </w:tc>
        <w:tc>
          <w:tcPr>
            <w:tcW w:w="7200" w:type="dxa"/>
            <w:vAlign w:val="bottom"/>
            <w:gridSpan w:val="5"/>
            <w:shd w:val="clear" w:color="auto" w:fill="CCEEFF"/>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Certification of the Chief Executive Officer pursuant to 18 U.S.C. Section 1350 as adopted</w:t>
              </w:r>
            </w:hyperlink>
          </w:p>
        </w:tc>
        <w:tc>
          <w:tcPr>
            <w:tcW w:w="2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color w:val="0000FF"/>
              </w:rPr>
            </w:pPr>
            <w:hyperlink w:anchor="page55">
              <w:r>
                <w:rPr>
                  <w:rFonts w:ascii="Arial" w:cs="Arial" w:eastAsia="Arial" w:hAnsi="Arial"/>
                  <w:sz w:val="18"/>
                  <w:szCs w:val="18"/>
                  <w:color w:val="0000FF"/>
                </w:rPr>
                <w:t>pursuant to Section 906 of the Sarbanes-Oxley Act of 2002.</w:t>
              </w:r>
            </w:hyperlink>
          </w:p>
        </w:tc>
        <w:tc>
          <w:tcPr>
            <w:tcW w:w="80" w:type="dxa"/>
            <w:vAlign w:val="bottom"/>
            <w:tcBorders>
              <w:top w:val="single" w:sz="8" w:color="CCEEFF"/>
            </w:tcBorders>
            <w:gridSpan w:val="2"/>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900" w:type="dxa"/>
            <w:vAlign w:val="bottom"/>
            <w:tcBorders>
              <w:top w:val="single" w:sz="8" w:color="0000FF"/>
            </w:tcBorders>
            <w:shd w:val="clear" w:color="auto" w:fill="CCEEFF"/>
          </w:tcPr>
          <w:p>
            <w:pPr>
              <w:spacing w:after="0"/>
              <w:rPr>
                <w:sz w:val="4"/>
                <w:szCs w:val="4"/>
                <w:color w:val="auto"/>
              </w:rPr>
            </w:pPr>
          </w:p>
        </w:tc>
        <w:tc>
          <w:tcPr>
            <w:tcW w:w="2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32.2</w:t>
            </w:r>
          </w:p>
        </w:tc>
        <w:tc>
          <w:tcPr>
            <w:tcW w:w="7200" w:type="dxa"/>
            <w:vAlign w:val="bottom"/>
            <w:gridSpan w:val="5"/>
          </w:tcPr>
          <w:p>
            <w:pPr>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Certification of the Chief Financial Officer pursuant to 18 U.S.C. Section 1350 as adopted</w:t>
              </w:r>
            </w:hyperlink>
          </w:p>
        </w:tc>
        <w:tc>
          <w:tcPr>
            <w:tcW w:w="29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1060" w:type="dxa"/>
            <w:vAlign w:val="bottom"/>
          </w:tcPr>
          <w:p>
            <w:pPr>
              <w:spacing w:after="0"/>
              <w:rPr>
                <w:sz w:val="17"/>
                <w:szCs w:val="17"/>
                <w:color w:val="auto"/>
              </w:rPr>
            </w:pPr>
          </w:p>
        </w:tc>
        <w:tc>
          <w:tcPr>
            <w:tcW w:w="712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56">
              <w:r>
                <w:rPr>
                  <w:rFonts w:ascii="Arial" w:cs="Arial" w:eastAsia="Arial" w:hAnsi="Arial"/>
                  <w:sz w:val="18"/>
                  <w:szCs w:val="18"/>
                  <w:color w:val="0000FF"/>
                </w:rPr>
                <w:t>pursuant to Section 906 of the Sarbanes-Oxley Act of 2002.</w:t>
              </w:r>
            </w:hyperlink>
          </w:p>
        </w:tc>
        <w:tc>
          <w:tcPr>
            <w:tcW w:w="80" w:type="dxa"/>
            <w:vAlign w:val="bottom"/>
            <w:gridSpan w:val="2"/>
          </w:tcPr>
          <w:p>
            <w:pPr>
              <w:spacing w:after="0"/>
              <w:rPr>
                <w:sz w:val="17"/>
                <w:szCs w:val="17"/>
                <w:color w:val="auto"/>
              </w:rPr>
            </w:pPr>
          </w:p>
        </w:tc>
        <w:tc>
          <w:tcPr>
            <w:tcW w:w="2980" w:type="dxa"/>
            <w:vAlign w:val="bottom"/>
          </w:tcPr>
          <w:p>
            <w:pPr>
              <w:spacing w:after="0"/>
              <w:rPr>
                <w:sz w:val="17"/>
                <w:szCs w:val="17"/>
                <w:color w:val="auto"/>
              </w:rPr>
            </w:pPr>
          </w:p>
        </w:tc>
      </w:tr>
      <w:tr>
        <w:trPr>
          <w:trHeight w:val="48"/>
        </w:trPr>
        <w:tc>
          <w:tcPr>
            <w:tcW w:w="10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900" w:type="dxa"/>
            <w:vAlign w:val="bottom"/>
            <w:tcBorders>
              <w:top w:val="single" w:sz="8" w:color="0000FF"/>
            </w:tcBorders>
          </w:tcPr>
          <w:p>
            <w:pPr>
              <w:spacing w:after="0"/>
              <w:rPr>
                <w:sz w:val="4"/>
                <w:szCs w:val="4"/>
                <w:color w:val="auto"/>
              </w:rPr>
            </w:pPr>
          </w:p>
        </w:tc>
        <w:tc>
          <w:tcPr>
            <w:tcW w:w="2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r>
      <w:tr>
        <w:trPr>
          <w:trHeight w:val="229"/>
        </w:trPr>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101.INS</w:t>
            </w:r>
          </w:p>
        </w:tc>
        <w:tc>
          <w:tcPr>
            <w:tcW w:w="72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 xml:space="preserve">XBRL Instance Document </w:t>
            </w:r>
            <w:r>
              <w:rPr>
                <w:rFonts w:ascii="Arial" w:cs="Arial" w:eastAsia="Arial" w:hAnsi="Arial"/>
                <w:sz w:val="18"/>
                <w:szCs w:val="18"/>
                <w:b w:val="1"/>
                <w:bCs w:val="1"/>
                <w:color w:val="auto"/>
                <w:w w:val="93"/>
              </w:rPr>
              <w:t>—</w:t>
            </w:r>
            <w:r>
              <w:rPr>
                <w:rFonts w:ascii="Arial" w:cs="Arial" w:eastAsia="Arial" w:hAnsi="Arial"/>
                <w:sz w:val="18"/>
                <w:szCs w:val="18"/>
                <w:color w:val="auto"/>
                <w:w w:val="93"/>
              </w:rPr>
              <w:t xml:space="preserve"> The instance document does not appear in the Interactive Data File</w:t>
            </w:r>
          </w:p>
        </w:tc>
        <w:tc>
          <w:tcPr>
            <w:tcW w:w="2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7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2980" w:type="dxa"/>
            <w:vAlign w:val="bottom"/>
            <w:tcBorders>
              <w:bottom w:val="single" w:sz="8" w:color="CCEEFF"/>
            </w:tcBorders>
            <w:shd w:val="clear" w:color="auto" w:fill="CCEEFF"/>
          </w:tcPr>
          <w:p>
            <w:pPr>
              <w:spacing w:after="0"/>
              <w:rPr>
                <w:sz w:val="20"/>
                <w:szCs w:val="20"/>
                <w:color w:val="auto"/>
              </w:rPr>
            </w:pPr>
          </w:p>
        </w:tc>
      </w:tr>
      <w:tr>
        <w:trPr>
          <w:trHeight w:val="243"/>
        </w:trPr>
        <w:tc>
          <w:tcPr>
            <w:tcW w:w="1060" w:type="dxa"/>
            <w:vAlign w:val="bottom"/>
          </w:tcPr>
          <w:p>
            <w:pPr>
              <w:jc w:val="right"/>
              <w:ind w:right="171"/>
              <w:spacing w:after="0"/>
              <w:rPr>
                <w:sz w:val="20"/>
                <w:szCs w:val="20"/>
                <w:color w:val="auto"/>
              </w:rPr>
            </w:pPr>
            <w:r>
              <w:rPr>
                <w:rFonts w:ascii="Arial" w:cs="Arial" w:eastAsia="Arial" w:hAnsi="Arial"/>
                <w:sz w:val="18"/>
                <w:szCs w:val="18"/>
                <w:color w:val="auto"/>
              </w:rPr>
              <w:t>101.SCH</w:t>
            </w:r>
          </w:p>
        </w:tc>
        <w:tc>
          <w:tcPr>
            <w:tcW w:w="72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298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101.CAL</w:t>
            </w:r>
          </w:p>
        </w:tc>
        <w:tc>
          <w:tcPr>
            <w:tcW w:w="7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171"/>
              <w:spacing w:after="0"/>
              <w:rPr>
                <w:sz w:val="20"/>
                <w:szCs w:val="20"/>
                <w:color w:val="auto"/>
              </w:rPr>
            </w:pPr>
            <w:r>
              <w:rPr>
                <w:rFonts w:ascii="Arial" w:cs="Arial" w:eastAsia="Arial" w:hAnsi="Arial"/>
                <w:sz w:val="18"/>
                <w:szCs w:val="18"/>
                <w:color w:val="auto"/>
              </w:rPr>
              <w:t>101.DEF</w:t>
            </w:r>
          </w:p>
        </w:tc>
        <w:tc>
          <w:tcPr>
            <w:tcW w:w="72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98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101.LAB</w:t>
            </w:r>
          </w:p>
        </w:tc>
        <w:tc>
          <w:tcPr>
            <w:tcW w:w="7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171"/>
              <w:spacing w:after="0"/>
              <w:rPr>
                <w:sz w:val="20"/>
                <w:szCs w:val="20"/>
                <w:color w:val="auto"/>
              </w:rPr>
            </w:pPr>
            <w:r>
              <w:rPr>
                <w:rFonts w:ascii="Arial" w:cs="Arial" w:eastAsia="Arial" w:hAnsi="Arial"/>
                <w:sz w:val="18"/>
                <w:szCs w:val="18"/>
                <w:color w:val="auto"/>
              </w:rPr>
              <w:t>101.PRE</w:t>
            </w:r>
          </w:p>
        </w:tc>
        <w:tc>
          <w:tcPr>
            <w:tcW w:w="72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98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56"/>
        </w:trPr>
        <w:tc>
          <w:tcPr>
            <w:tcW w:w="1060" w:type="dxa"/>
            <w:vAlign w:val="bottom"/>
          </w:tcPr>
          <w:p>
            <w:pPr>
              <w:jc w:val="right"/>
              <w:ind w:right="171"/>
              <w:spacing w:after="0"/>
              <w:rPr>
                <w:sz w:val="20"/>
                <w:szCs w:val="20"/>
                <w:color w:val="auto"/>
              </w:rPr>
            </w:pPr>
            <w:r>
              <w:rPr>
                <w:rFonts w:ascii="Arial" w:cs="Arial" w:eastAsia="Arial" w:hAnsi="Arial"/>
                <w:sz w:val="18"/>
                <w:szCs w:val="18"/>
                <w:color w:val="auto"/>
              </w:rPr>
              <w:t>104</w:t>
            </w:r>
          </w:p>
        </w:tc>
        <w:tc>
          <w:tcPr>
            <w:tcW w:w="7200" w:type="dxa"/>
            <w:vAlign w:val="bottom"/>
            <w:gridSpan w:val="5"/>
          </w:tcPr>
          <w:p>
            <w:pPr>
              <w:spacing w:after="0"/>
              <w:rPr>
                <w:sz w:val="20"/>
                <w:szCs w:val="20"/>
                <w:color w:val="auto"/>
              </w:rPr>
            </w:pPr>
            <w:r>
              <w:rPr>
                <w:rFonts w:ascii="Arial" w:cs="Arial" w:eastAsia="Arial" w:hAnsi="Arial"/>
                <w:sz w:val="18"/>
                <w:szCs w:val="18"/>
                <w:color w:val="auto"/>
                <w:w w:val="99"/>
              </w:rPr>
              <w:t>Cover Page Interactive Data File (embedded within the Inline XBRL document contained in</w:t>
            </w:r>
          </w:p>
        </w:tc>
        <w:tc>
          <w:tcPr>
            <w:tcW w:w="298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1060" w:type="dxa"/>
            <w:vAlign w:val="bottom"/>
          </w:tcPr>
          <w:p>
            <w:pPr>
              <w:spacing w:after="0"/>
              <w:rPr>
                <w:sz w:val="20"/>
                <w:szCs w:val="20"/>
                <w:color w:val="auto"/>
              </w:rPr>
            </w:pPr>
          </w:p>
        </w:tc>
        <w:tc>
          <w:tcPr>
            <w:tcW w:w="7200" w:type="dxa"/>
            <w:vAlign w:val="bottom"/>
            <w:gridSpan w:val="5"/>
          </w:tcPr>
          <w:p>
            <w:pPr>
              <w:spacing w:after="0"/>
              <w:rPr>
                <w:sz w:val="20"/>
                <w:szCs w:val="20"/>
                <w:color w:val="auto"/>
              </w:rPr>
            </w:pPr>
            <w:r>
              <w:rPr>
                <w:rFonts w:ascii="Arial" w:cs="Arial" w:eastAsia="Arial" w:hAnsi="Arial"/>
                <w:sz w:val="18"/>
                <w:szCs w:val="18"/>
                <w:color w:val="auto"/>
              </w:rPr>
              <w:t>Exhibit 101)</w:t>
            </w:r>
          </w:p>
        </w:tc>
        <w:tc>
          <w:tcPr>
            <w:tcW w:w="2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3" w:lineRule="auto"/>
        <w:tabs>
          <w:tab w:leader="none" w:pos="2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03" w:lineRule="exact"/>
        <w:rPr>
          <w:sz w:val="20"/>
          <w:szCs w:val="20"/>
          <w:color w:val="auto"/>
        </w:rPr>
      </w:pPr>
    </w:p>
    <w:p>
      <w:pPr>
        <w:jc w:val="both"/>
        <w:ind w:firstLine="8"/>
        <w:spacing w:after="0" w:line="286" w:lineRule="auto"/>
        <w:tabs>
          <w:tab w:leader="none" w:pos="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38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4640"/>
        <w:spacing w:after="0"/>
        <w:tabs>
          <w:tab w:leader="none" w:pos="5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34290</wp:posOffset>
            </wp:positionV>
            <wp:extent cx="37630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6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2020 of LendingTree, Inc.;</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52"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31750</wp:posOffset>
            </wp:positionV>
            <wp:extent cx="38487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63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J.D. Moriarty,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2020 of LendingTree, Inc.;</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52"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31750</wp:posOffset>
            </wp:positionV>
            <wp:extent cx="38487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634"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26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2020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240" w:firstLine="8"/>
        <w:spacing w:after="0" w:line="465" w:lineRule="auto"/>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November 5, 2020</w:t>
      </w:r>
    </w:p>
    <w:p>
      <w:pPr>
        <w:spacing w:after="0" w:line="3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31750</wp:posOffset>
            </wp:positionV>
            <wp:extent cx="38487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63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J.D. Moriarty, certify, pursuant to 18 U.S.C. Section 1350, as adopted pursuant to Section 906 of the Sarbanes-Oxley Act of 2002, that to my knowledge:</w:t>
      </w:r>
    </w:p>
    <w:p>
      <w:pPr>
        <w:spacing w:after="0" w:line="194" w:lineRule="exact"/>
        <w:rPr>
          <w:sz w:val="20"/>
          <w:szCs w:val="20"/>
          <w:color w:val="auto"/>
        </w:rPr>
      </w:pPr>
    </w:p>
    <w:p>
      <w:pPr>
        <w:ind w:left="340" w:right="26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2020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240" w:firstLine="8"/>
        <w:spacing w:after="0" w:line="465" w:lineRule="auto"/>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November 5, 2020</w:t>
      </w:r>
    </w:p>
    <w:p>
      <w:pPr>
        <w:spacing w:after="0" w:line="3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31750</wp:posOffset>
            </wp:positionV>
            <wp:extent cx="38487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6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4"/>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19" Type="http://schemas.openxmlformats.org/officeDocument/2006/relationships/hyperlink" Target="http://www.sec.gov/Archives/edgar/data/1434621/000110465908054882/a08-22125_1ex3d1.htm" TargetMode="External"/><Relationship Id="rId20" Type="http://schemas.openxmlformats.org/officeDocument/2006/relationships/hyperlink" Target="http://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2020-11-05T17:26:52Z</dcterms:created>
  <dcterms:modified xsi:type="dcterms:W3CDTF">2020-11-05T17:26:52Z</dcterms:modified>
</cp:coreProperties>
</file>