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006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1714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59"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-207645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186055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20" w:hanging="554"/>
        <w:spacing w:after="0"/>
        <w:tabs>
          <w:tab w:leader="none" w:pos="9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73" w:lineRule="exact"/>
        <w:rPr>
          <w:rFonts w:ascii="MS PGothic" w:cs="MS PGothic" w:eastAsia="MS PGothic" w:hAnsi="MS PGothic"/>
          <w:sz w:val="19"/>
          <w:szCs w:val="19"/>
          <w:color w:val="auto"/>
        </w:rPr>
      </w:pPr>
    </w:p>
    <w:p>
      <w:pPr>
        <w:ind w:left="370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September 30, 2013</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920" w:right="1160" w:hanging="520"/>
        <w:spacing w:after="0" w:line="243" w:lineRule="auto"/>
        <w:tabs>
          <w:tab w:leader="none" w:pos="92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360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102870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334645</wp:posOffset>
            </wp:positionV>
            <wp:extent cx="124333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TREE.COM,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33" w:right="259" w:bottom="1440" w:gutter="0" w:footer="0" w:header="0"/>
        </w:sectPr>
      </w:pPr>
    </w:p>
    <w:p>
      <w:pPr>
        <w:spacing w:after="0" w:line="15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26-2414818</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360"/>
        <w:spacing w:after="0"/>
        <w:rPr>
          <w:sz w:val="20"/>
          <w:szCs w:val="20"/>
          <w:color w:val="auto"/>
        </w:rPr>
      </w:pPr>
      <w:r>
        <w:rPr>
          <w:rFonts w:ascii="Arial" w:cs="Arial" w:eastAsia="Arial" w:hAnsi="Arial"/>
          <w:sz w:val="17"/>
          <w:szCs w:val="17"/>
          <w:color w:val="auto"/>
        </w:rPr>
        <w:t>Identification No.)</w:t>
      </w:r>
    </w:p>
    <w:p>
      <w:pPr>
        <w:spacing w:after="0" w:line="137" w:lineRule="exact"/>
        <w:rPr>
          <w:sz w:val="24"/>
          <w:szCs w:val="24"/>
          <w:color w:val="auto"/>
        </w:rPr>
      </w:pPr>
    </w:p>
    <w:p>
      <w:pPr>
        <w:sectPr>
          <w:pgSz w:w="11900" w:h="16838" w:orient="portrait"/>
          <w:cols w:equalWidth="0" w:num="2">
            <w:col w:w="6980" w:space="720"/>
            <w:col w:w="3700"/>
          </w:cols>
          <w:pgMar w:left="240" w:top="233" w:right="25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(704) 541-5351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91440</wp:posOffset>
            </wp:positionV>
            <wp:extent cx="32327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8" w:lineRule="exact"/>
        <w:rPr>
          <w:sz w:val="24"/>
          <w:szCs w:val="24"/>
          <w:color w:val="auto"/>
        </w:rPr>
      </w:pPr>
    </w:p>
    <w:p>
      <w:pPr>
        <w:ind w:right="180" w:firstLine="20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1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200" w:firstLine="162"/>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33" w:right="259" w:bottom="1440" w:gutter="0" w:footer="0" w:header="0"/>
          <w:type w:val="continuous"/>
        </w:sectPr>
      </w:pPr>
    </w:p>
    <w:p>
      <w:pPr>
        <w:spacing w:after="0" w:line="93"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6980" w:space="720"/>
            <w:col w:w="3700"/>
          </w:cols>
          <w:pgMar w:left="240" w:top="233" w:right="259" w:bottom="1440" w:gutter="0" w:footer="0" w:header="0"/>
          <w:type w:val="continuous"/>
        </w:sectPr>
      </w:pPr>
    </w:p>
    <w:p>
      <w:pPr>
        <w:spacing w:after="0" w:line="145"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82" w:lineRule="exact"/>
        <w:rPr>
          <w:sz w:val="24"/>
          <w:szCs w:val="24"/>
          <w:color w:val="auto"/>
        </w:rPr>
      </w:pPr>
    </w:p>
    <w:p>
      <w:pPr>
        <w:sectPr>
          <w:pgSz w:w="11900" w:h="16838" w:orient="portrait"/>
          <w:cols w:equalWidth="0" w:num="2">
            <w:col w:w="6600" w:space="720"/>
            <w:col w:w="4080"/>
          </w:cols>
          <w:pgMar w:left="240" w:top="233" w:right="259" w:bottom="1440" w:gutter="0" w:footer="0" w:header="0"/>
          <w:type w:val="continuous"/>
        </w:sectPr>
      </w:pPr>
    </w:p>
    <w:p>
      <w:pPr>
        <w:ind w:left="1320"/>
        <w:spacing w:after="0"/>
        <w:rPr>
          <w:sz w:val="20"/>
          <w:szCs w:val="20"/>
          <w:color w:val="auto"/>
        </w:rPr>
      </w:pPr>
      <w:r>
        <w:rPr>
          <w:rFonts w:ascii="Arial" w:cs="Arial" w:eastAsia="Arial" w:hAnsi="Arial"/>
          <w:sz w:val="14"/>
          <w:szCs w:val="14"/>
          <w:color w:val="auto"/>
        </w:rPr>
        <w:t>(Do not check if a smaller reporting company)</w:t>
      </w:r>
    </w:p>
    <w:p>
      <w:pPr>
        <w:spacing w:after="0" w:line="25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November 5, 2013 there were 11,139,557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0065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65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006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20" w:type="dxa"/>
            <w:vAlign w:val="bottom"/>
            <w:gridSpan w:val="8"/>
          </w:tcPr>
          <w:p>
            <w:pPr>
              <w:jc w:val="center"/>
              <w:ind w:right="2340"/>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2620" w:type="dxa"/>
            <w:vAlign w:val="bottom"/>
            <w:gridSpan w:val="6"/>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3160" w:type="dxa"/>
            <w:vAlign w:val="bottom"/>
            <w:tcBorders>
              <w:top w:val="single" w:sz="8" w:color="0000FF"/>
            </w:tcBorders>
            <w:gridSpan w:val="5"/>
          </w:tcPr>
          <w:p>
            <w:pPr>
              <w:spacing w:after="0"/>
              <w:rPr>
                <w:sz w:val="21"/>
                <w:szCs w:val="21"/>
                <w:color w:val="auto"/>
              </w:rPr>
            </w:pPr>
          </w:p>
        </w:tc>
        <w:tc>
          <w:tcPr>
            <w:tcW w:w="3100" w:type="dxa"/>
            <w:vAlign w:val="bottom"/>
            <w:gridSpan w:val="2"/>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29">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80" w:type="dxa"/>
            <w:vAlign w:val="bottom"/>
            <w:gridSpan w:val="13"/>
          </w:tcPr>
          <w:p>
            <w:pPr>
              <w:spacing w:after="0"/>
              <w:rPr>
                <w:sz w:val="20"/>
                <w:szCs w:val="20"/>
                <w:color w:val="auto"/>
              </w:rPr>
            </w:pPr>
            <w:r>
              <w:rPr>
                <w:rFonts w:ascii="Arial" w:cs="Arial" w:eastAsia="Arial" w:hAnsi="Arial"/>
                <w:sz w:val="18"/>
                <w:szCs w:val="18"/>
                <w:b w:val="1"/>
                <w:bCs w:val="1"/>
                <w:i w:val="1"/>
                <w:iCs w:val="1"/>
                <w:color w:val="0000FF"/>
              </w:rPr>
              <w:t>Management's Discussion and Analysis of Financial Condition and Results of Operations</w:t>
            </w: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27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41">
              <w:r>
                <w:rPr>
                  <w:rFonts w:ascii="Arial" w:cs="Arial" w:eastAsia="Arial" w:hAnsi="Arial"/>
                  <w:sz w:val="18"/>
                  <w:szCs w:val="18"/>
                  <w:b w:val="1"/>
                  <w:bCs w:val="1"/>
                  <w:color w:val="0000FF"/>
                  <w:w w:val="91"/>
                </w:rPr>
                <w:t>Item 3.</w:t>
              </w:r>
            </w:hyperlink>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80" w:type="dxa"/>
            <w:vAlign w:val="bottom"/>
            <w:tcBorders>
              <w:top w:val="single" w:sz="8" w:color="0000FF"/>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41">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FF"/>
            </w:tcBorders>
            <w:gridSpan w:val="3"/>
          </w:tcPr>
          <w:p>
            <w:pPr>
              <w:spacing w:after="0"/>
              <w:rPr>
                <w:sz w:val="23"/>
                <w:szCs w:val="23"/>
                <w:color w:val="auto"/>
              </w:rPr>
            </w:pPr>
          </w:p>
        </w:tc>
        <w:tc>
          <w:tcPr>
            <w:tcW w:w="2200" w:type="dxa"/>
            <w:vAlign w:val="bottom"/>
          </w:tcPr>
          <w:p>
            <w:pPr>
              <w:spacing w:after="0"/>
              <w:rPr>
                <w:sz w:val="23"/>
                <w:szCs w:val="23"/>
                <w:color w:val="auto"/>
              </w:rPr>
            </w:pPr>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30"/>
        </w:trPr>
        <w:tc>
          <w:tcPr>
            <w:tcW w:w="660" w:type="dxa"/>
            <w:vAlign w:val="bottom"/>
            <w:gridSpan w:val="2"/>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Item 4.</w:t>
              </w:r>
            </w:hyperlink>
          </w:p>
        </w:tc>
        <w:tc>
          <w:tcPr>
            <w:tcW w:w="9700" w:type="dxa"/>
            <w:vAlign w:val="bottom"/>
            <w:gridSpan w:val="14"/>
          </w:tcPr>
          <w:p>
            <w:pPr>
              <w:ind w:left="820"/>
              <w:spacing w:after="0"/>
              <w:rPr>
                <w:rFonts w:ascii="Arial" w:cs="Arial" w:eastAsia="Arial" w:hAnsi="Arial"/>
                <w:sz w:val="18"/>
                <w:szCs w:val="18"/>
                <w:b w:val="1"/>
                <w:bCs w:val="1"/>
                <w:i w:val="1"/>
                <w:iCs w:val="1"/>
                <w:color w:val="0000FF"/>
              </w:rPr>
            </w:pPr>
            <w:hyperlink w:anchor="page41">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6"/>
          </w:tcPr>
          <w:p>
            <w:pPr>
              <w:jc w:val="center"/>
              <w:ind w:right="3260"/>
              <w:spacing w:after="0"/>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42">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6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30"/>
        </w:trPr>
        <w:tc>
          <w:tcPr>
            <w:tcW w:w="660" w:type="dxa"/>
            <w:vAlign w:val="bottom"/>
            <w:gridSpan w:val="2"/>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1A.</w:t>
              </w:r>
            </w:hyperlink>
          </w:p>
        </w:tc>
        <w:tc>
          <w:tcPr>
            <w:tcW w:w="820" w:type="dxa"/>
            <w:vAlign w:val="bottom"/>
          </w:tcPr>
          <w:p>
            <w:pPr>
              <w:spacing w:after="0"/>
              <w:rPr>
                <w:sz w:val="20"/>
                <w:szCs w:val="20"/>
                <w:color w:val="auto"/>
              </w:rPr>
            </w:pPr>
          </w:p>
        </w:tc>
        <w:tc>
          <w:tcPr>
            <w:tcW w:w="8880" w:type="dxa"/>
            <w:vAlign w:val="bottom"/>
            <w:gridSpan w:val="13"/>
          </w:tcPr>
          <w:p>
            <w:pPr>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80" w:type="dxa"/>
            <w:vAlign w:val="bottom"/>
            <w:gridSpan w:val="13"/>
          </w:tcPr>
          <w:p>
            <w:pPr>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Other Information</w:t>
              </w:r>
            </w:hyperlink>
          </w:p>
        </w:tc>
        <w:tc>
          <w:tcPr>
            <w:tcW w:w="442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FF"/>
                <w:w w:val="91"/>
              </w:rPr>
            </w:pPr>
            <w:hyperlink w:anchor="page43">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FF"/>
            </w:tcBorders>
            <w:gridSpan w:val="3"/>
          </w:tcPr>
          <w:p>
            <w:pPr>
              <w:spacing w:after="0"/>
              <w:rPr>
                <w:rFonts w:ascii="Arial" w:cs="Arial" w:eastAsia="Arial" w:hAnsi="Arial"/>
                <w:sz w:val="18"/>
                <w:szCs w:val="18"/>
                <w:b w:val="1"/>
                <w:bCs w:val="1"/>
                <w:i w:val="1"/>
                <w:iCs w:val="1"/>
                <w:color w:val="0000FF"/>
              </w:rPr>
            </w:pPr>
            <w:hyperlink w:anchor="page43">
              <w:r>
                <w:rPr>
                  <w:rFonts w:ascii="Arial" w:cs="Arial" w:eastAsia="Arial" w:hAnsi="Arial"/>
                  <w:sz w:val="18"/>
                  <w:szCs w:val="18"/>
                  <w:b w:val="1"/>
                  <w:bCs w:val="1"/>
                  <w:i w:val="1"/>
                  <w:iCs w:val="1"/>
                  <w:color w:val="0000FF"/>
                </w:rPr>
                <w:t>Exhibits</w:t>
              </w:r>
            </w:hyperlink>
          </w:p>
        </w:tc>
        <w:tc>
          <w:tcPr>
            <w:tcW w:w="750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gridSpan w:val="6"/>
          </w:tcPr>
          <w:p>
            <w:pPr>
              <w:ind w:left="30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37,343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102,829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53,501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Cost of revenue (exclusive of depreciation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24,832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13,376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68,473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34,997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 (Note 10)</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2,875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37,121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104,898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222</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(4,752)</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sale of discontinued operations,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w w:val="92"/>
              </w:rPr>
              <w:t>Income (loss) from operations of discontinued operations, net of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24,745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discontinued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6,139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49,058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4,382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4,149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44,306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11,017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11,039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diluted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11,720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 from continuing operations: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share from discontinued operations:</w:t>
            </w: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i w:val="1"/>
                <w:iCs w:val="1"/>
                <w:color w:val="auto"/>
                <w:w w:val="92"/>
              </w:rPr>
              <w:t>(Unaudited)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87,752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80,190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$485 and $503, respectively</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11,488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131,290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122,272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10,712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10,831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Non-current assets of discontinued operations (Note 13)</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151,410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143,171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31,946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31,017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54,366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Non-current liabilities of discontinued operations (Note 13)</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64,777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60,249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$.01 par value; authorized 5,000,000 shares; none issued or outstanding</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$.01 par value; authorized 50,000,000 shares; issued 12,505,331 and 12,195,209 shares,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 and outstanding 11,136,399 and 11,006,730 shares,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906,572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903,692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(811,480)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1,368,932 and 1,188,479 shares, respectively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86,633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82,922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151,410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143,171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6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7"/>
              </w:rPr>
              <w:t>of Shares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7"/>
              </w:rPr>
              <w:t>of Shares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82,922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12,625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903,688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(811,480)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(9,412)</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Revision (Note 1)</w:t>
            </w:r>
          </w:p>
        </w:tc>
        <w:tc>
          <w:tcPr>
            <w:tcW w:w="26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as of December 31, 2012</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(Revised)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82,922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12,195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903,692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(811,480)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(9,412)</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Net income for the nine months ended</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September 30, 2013</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Issuance of common stock upon</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exercise of stock options and</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vesting of restricted stock units, net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of withholding taxes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September 30, 2013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86,633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12,505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906,572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(807,331)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258"/>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44,306</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(6,139)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(49,058)</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Net loss from continuing operations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Adjustments to reconcile net loss from continuing operations to net cash provided by (used in) operating</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disposal of fixed assets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3,204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Bad debt expense (benefit)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(5,201)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accrued expenses and other 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 attributable to continuing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3,395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(increase) in restricted cash</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(4,047)</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 attributable to continuing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 net of withholding taxes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treasury stock</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(3,321)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Decrease in restricted cash</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4,150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 attributable to continuing operations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(5,025)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3,489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cash used in continuing operations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(6,910)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 attributable to discontinued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222,885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 attributable to discontinued operations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10,000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25,923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 attributable to discontinued operations</w:t>
            </w:r>
          </w:p>
        </w:tc>
        <w:tc>
          <w:tcPr>
            <w:tcW w:w="9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(197,659)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cash provided by discontinued operations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7,850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51,149</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7,562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44,239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w w:val="87"/>
              </w:rPr>
              <w:t>80,190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45,541</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87"/>
              </w:rPr>
              <w:t>87,752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89,780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TREE.COM, INC. AND SUBSIDIARIES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right="40" w:firstLine="324"/>
        <w:spacing w:after="0" w:line="290" w:lineRule="auto"/>
        <w:rPr>
          <w:sz w:val="20"/>
          <w:szCs w:val="20"/>
          <w:color w:val="auto"/>
        </w:rPr>
      </w:pPr>
      <w:r>
        <w:rPr>
          <w:rFonts w:ascii="Arial" w:cs="Arial" w:eastAsia="Arial" w:hAnsi="Arial"/>
          <w:sz w:val="17"/>
          <w:szCs w:val="17"/>
          <w:color w:val="auto"/>
        </w:rPr>
        <w:t>Tree.com, Inc.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11"/>
          <w:szCs w:val="11"/>
          <w:color w:val="auto"/>
        </w:rPr>
        <w:t>®</w:t>
      </w:r>
      <w:r>
        <w:rPr>
          <w:rFonts w:ascii="Arial" w:cs="Arial" w:eastAsia="Arial" w:hAnsi="Arial"/>
          <w:sz w:val="17"/>
          <w:szCs w:val="17"/>
          <w:color w:val="auto"/>
        </w:rPr>
        <w:t>, GetSmart</w:t>
      </w:r>
      <w:r>
        <w:rPr>
          <w:rFonts w:ascii="Arial" w:cs="Arial" w:eastAsia="Arial" w:hAnsi="Arial"/>
          <w:sz w:val="11"/>
          <w:szCs w:val="11"/>
          <w:color w:val="auto"/>
        </w:rPr>
        <w:t>®</w:t>
      </w:r>
      <w:r>
        <w:rPr>
          <w:rFonts w:ascii="Arial" w:cs="Arial" w:eastAsia="Arial" w:hAnsi="Arial"/>
          <w:sz w:val="17"/>
          <w:szCs w:val="17"/>
          <w:color w:val="auto"/>
        </w:rPr>
        <w:t>, DegreeTree</w:t>
      </w:r>
      <w:r>
        <w:rPr>
          <w:rFonts w:ascii="Arial" w:cs="Arial" w:eastAsia="Arial" w:hAnsi="Arial"/>
          <w:sz w:val="11"/>
          <w:szCs w:val="11"/>
          <w:color w:val="auto"/>
        </w:rPr>
        <w:t>®</w:t>
      </w:r>
      <w:r>
        <w:rPr>
          <w:rFonts w:ascii="Arial" w:cs="Arial" w:eastAsia="Arial" w:hAnsi="Arial"/>
          <w:sz w:val="17"/>
          <w:szCs w:val="17"/>
          <w:color w:val="auto"/>
        </w:rPr>
        <w:t xml:space="preserve">, LendingTreeAutos, DoneRight! </w:t>
      </w:r>
      <w:r>
        <w:rPr>
          <w:rFonts w:ascii="Arial" w:cs="Arial" w:eastAsia="Arial" w:hAnsi="Arial"/>
          <w:sz w:val="11"/>
          <w:szCs w:val="11"/>
          <w:color w:val="auto"/>
        </w:rPr>
        <w:t>®</w:t>
      </w:r>
      <w:r>
        <w:rPr>
          <w:rFonts w:ascii="Arial" w:cs="Arial" w:eastAsia="Arial" w:hAnsi="Arial"/>
          <w:sz w:val="17"/>
          <w:szCs w:val="17"/>
          <w:color w:val="auto"/>
        </w:rPr>
        <w:t>, ServiceTree</w:t>
      </w:r>
      <w:r>
        <w:rPr>
          <w:rFonts w:ascii="Arial" w:cs="Arial" w:eastAsia="Arial" w:hAnsi="Arial"/>
          <w:sz w:val="11"/>
          <w:szCs w:val="11"/>
          <w:color w:val="auto"/>
        </w:rPr>
        <w:t xml:space="preserve">® </w:t>
      </w:r>
      <w:r>
        <w:rPr>
          <w:rFonts w:ascii="Arial" w:cs="Arial" w:eastAsia="Arial" w:hAnsi="Arial"/>
          <w:sz w:val="17"/>
          <w:szCs w:val="17"/>
          <w:color w:val="auto"/>
        </w:rPr>
        <w:t>and InsuranceTree</w:t>
      </w:r>
      <w:r>
        <w:rPr>
          <w:rFonts w:ascii="Arial" w:cs="Arial" w:eastAsia="Arial" w:hAnsi="Arial"/>
          <w:sz w:val="11"/>
          <w:szCs w:val="11"/>
          <w:color w:val="auto"/>
        </w:rPr>
        <w:t>®</w:t>
      </w:r>
      <w:r>
        <w:rPr>
          <w:rFonts w:ascii="Arial" w:cs="Arial" w:eastAsia="Arial" w:hAnsi="Arial"/>
          <w:sz w:val="17"/>
          <w:szCs w:val="17"/>
          <w:color w:val="auto"/>
        </w:rPr>
        <w:t>. Together, these brands serve as an ally for consumers who are looking to comparison-shop for loans, education</w:t>
      </w:r>
      <w:r>
        <w:rPr>
          <w:rFonts w:ascii="Arial" w:cs="Arial" w:eastAsia="Arial" w:hAnsi="Arial"/>
          <w:sz w:val="11"/>
          <w:szCs w:val="11"/>
          <w:color w:val="auto"/>
        </w:rPr>
        <w:t xml:space="preserve"> </w:t>
      </w:r>
      <w:r>
        <w:rPr>
          <w:rFonts w:ascii="Arial" w:cs="Arial" w:eastAsia="Arial" w:hAnsi="Arial"/>
          <w:sz w:val="17"/>
          <w:szCs w:val="17"/>
          <w:color w:val="auto"/>
        </w:rPr>
        <w:t>programs, home services providers and other services from multiple businesses and professionals that will compete for their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businesses of RealEstate.com and RealEstate.com, REALTORS</w:t>
      </w:r>
      <w:r>
        <w:rPr>
          <w:rFonts w:ascii="Arial" w:cs="Arial" w:eastAsia="Arial" w:hAnsi="Arial"/>
          <w:sz w:val="12"/>
          <w:szCs w:val="12"/>
          <w:color w:val="auto"/>
        </w:rPr>
        <w:t>®</w:t>
      </w:r>
      <w:r>
        <w:rPr>
          <w:rFonts w:ascii="Arial" w:cs="Arial" w:eastAsia="Arial" w:hAnsi="Arial"/>
          <w:sz w:val="18"/>
          <w:szCs w:val="18"/>
          <w:color w:val="auto"/>
        </w:rPr>
        <w:t xml:space="preserve">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12"/>
          <w:szCs w:val="12"/>
          <w:color w:val="auto"/>
        </w:rPr>
        <w:t>®</w:t>
      </w:r>
      <w:r>
        <w:rPr>
          <w:rFonts w:ascii="Arial" w:cs="Arial" w:eastAsia="Arial" w:hAnsi="Arial"/>
          <w:sz w:val="18"/>
          <w:szCs w:val="18"/>
          <w:color w:val="auto"/>
        </w:rPr>
        <w:t>. We exited all markets in which we previously operated by March 31, 2011. In September 2011, we sold the remaining assets of RealEstate.com, which consisted primarily of internet domain names and trademarks, for $8.3 million and recognized a gain on sale of $7.8 million.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LendingTree Loans</w:t>
      </w:r>
    </w:p>
    <w:p>
      <w:pPr>
        <w:spacing w:after="0" w:line="17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as amended on February 7, 2012, for the sale of substantially all of the operating assets of our LendingTree Loans business. We completed the sale on June 6, 2012.</w:t>
      </w:r>
    </w:p>
    <w:p>
      <w:pPr>
        <w:spacing w:after="0" w:line="73"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the contingent amount of $10.0 million was paid in the second quarter of 2013 and recognized as a gain from sale of discontinued operations.</w:t>
      </w:r>
    </w:p>
    <w:p>
      <w:pPr>
        <w:spacing w:after="0" w:line="57"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Discover generally did not assume liabilities of the LendingTree Loans business that arose before the closing date, except for certain liabilities directly related to assets Discover acquired. Of the purchase price paid, $18.1 million is being held in escrow pending resolution of certain actual and/or contingent liabilities that remain with us following the sale, as of September 30, 2013. The escrowed amount is recorded as restricted cash at September 30, 2013.</w:t>
      </w:r>
    </w:p>
    <w:p>
      <w:pPr>
        <w:spacing w:after="0" w:line="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Separate from the asset purchase agreement, we agreed to provide certain marketing-related services to Discover in connection with its mortgage origination business for approximately seventeen months following the closing, or such earlier point as the agreed-upon services are satisfactorily completed. The services were satisfactorily completed in the second quarter of 2013. Discover remains a network lender on our mortgage exchange following completion of the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accompanying unaudited interim consolidated financial statements as of September 30, 2013 and for the three and nine months ended September 30, 2013 and 2012, respectively, have been prepared in accordance with accounting principles generally accepted in the United States of America ("GAAP") for interim financial information and the rules and regulations of the U.S. Securities and Exchange Commission ("SEC"). Accordingly, they do not include all of the information and footnotes required by GAAP for annual financial statements. In the opinion of management, the unaudited interim consolidated financial statements have been prepared on the same basis as the audited financial statements, and include all adjustments, consisting only of normal recurring adjustments, necessary for the fair presentation of our financial position for the periods presented. The results for the three and nine months ended September 30, 2013 are not necessarily indicative of the results to be expected for the year ending December 31, 2013, or any other period. These financial statements and notes should be read in conjunction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with the audited financial statements and notes thereto included in our annual report on Form 10-K for the year ended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Prior Period Financial Statements</w:t>
      </w:r>
    </w:p>
    <w:p>
      <w:pPr>
        <w:spacing w:after="0" w:line="175" w:lineRule="exact"/>
        <w:rPr>
          <w:sz w:val="20"/>
          <w:szCs w:val="20"/>
          <w:color w:val="auto"/>
        </w:rPr>
      </w:pPr>
    </w:p>
    <w:p>
      <w:pPr>
        <w:ind w:right="260" w:firstLine="324"/>
        <w:spacing w:after="0" w:line="290" w:lineRule="auto"/>
        <w:rPr>
          <w:sz w:val="20"/>
          <w:szCs w:val="20"/>
          <w:color w:val="auto"/>
        </w:rPr>
      </w:pPr>
      <w:r>
        <w:rPr>
          <w:rFonts w:ascii="Arial" w:cs="Arial" w:eastAsia="Arial" w:hAnsi="Arial"/>
          <w:sz w:val="16"/>
          <w:szCs w:val="16"/>
          <w:color w:val="auto"/>
        </w:rPr>
        <w:t>In connection with the preparation of our consolidated financial statements for the first quarter of 2013, we determined that the number of outstanding shares had been overstated in prior periods due to issuances of unrestricted shares upon satisfaction of vesting conditions on restricted shares from 2009 to 2012, without canceling the original restricted share certificates. This resulted in double counting of certain vested restricted shares in the calculation of shares outstanding. Management has determined that unrestricted shares issued upon vesting of restricted shares should not have been considered validly issued or outstanding until the associated restricted shares were canceled. All of the restricted stock awards that were double-counted were issued to our Chairman and CEO. The error in shares noted above was not reflected in our Chairman and CEO's filings made under Section 13(d) or Section 16 of the Securities Exchange Act of 1934 or in our disclosures of his holdings in public filings. In addition, our weighted average share calculation had erroneously included restricted shares, resulting in errors in the previously reported weighted average shares and earnings per share.</w:t>
      </w:r>
    </w:p>
    <w:p>
      <w:pPr>
        <w:spacing w:after="0" w:line="5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On December 26, 2012, we paid a special dividend of $1.00 per share to our shareholders of record on December 17, 2012. The dividend was paid on all shares shown as outstanding in our records, including the shares granted to our Chairman and CEO for which management has determined should not have been considered issued or outstanding. As a result, we unintentionally overpaid $0.4 million in dividends to our Chairman and CEO, which was presented as a financing cash outflow for the year ended December 31, 2012. Such amount was repaid to the company during the second quarter of 2013 and is presented as a financing cash inflow in the nine months ended September 30, 2013. Other than that special dividend, we have not declared or paid any cash dividends on our common stock. There was also a related error in the dividend accrual recorded for unvested shares entitled to the special dividend upon vesting, resulting in an over-accrual of $0.2 million at December 31, 2012.</w:t>
      </w:r>
    </w:p>
    <w:p>
      <w:pPr>
        <w:spacing w:after="0" w:line="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accordance with ASC 250-10, we assessed materiality of the errors and concluded that the errors were not material to any of our previously issued financial statements. Accordingly, we corrected the dividend errors in the first quarter of 2013 and we are revising our previously issued financial statements prospectively to correct share errors.</w:t>
      </w:r>
    </w:p>
    <w:p>
      <w:pPr>
        <w:spacing w:after="0" w:line="28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 xml:space="preserve">The following table presents the effect of these corrections on the company's consolidated statements of operations for the years ended December 31, 2012 and December 31, 2011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734"/>
              <w:spacing w:after="0"/>
              <w:rPr>
                <w:sz w:val="20"/>
                <w:szCs w:val="20"/>
                <w:color w:val="auto"/>
              </w:rPr>
            </w:pPr>
            <w:r>
              <w:rPr>
                <w:rFonts w:ascii="Arial" w:cs="Arial" w:eastAsia="Arial" w:hAnsi="Arial"/>
                <w:sz w:val="14"/>
                <w:szCs w:val="14"/>
                <w:b w:val="1"/>
                <w:bCs w:val="1"/>
                <w:color w:val="auto"/>
                <w:w w:val="92"/>
              </w:rPr>
              <w:t>Year Ended December 31, 2012</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4"/>
                <w:szCs w:val="14"/>
                <w:b w:val="1"/>
                <w:bCs w:val="1"/>
                <w:color w:val="auto"/>
                <w:w w:val="92"/>
              </w:rPr>
              <w:t>Year Ended December 31, 2011</w:t>
            </w:r>
          </w:p>
        </w:tc>
        <w:tc>
          <w:tcPr>
            <w:tcW w:w="10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Revised</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22"/>
                <w:szCs w:val="2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60" w:type="dxa"/>
            <w:vAlign w:val="bottom"/>
          </w:tcPr>
          <w:p>
            <w:pPr>
              <w:spacing w:after="0"/>
              <w:rPr>
                <w:sz w:val="22"/>
                <w:szCs w:val="22"/>
                <w:color w:val="auto"/>
              </w:rPr>
            </w:pPr>
          </w:p>
        </w:tc>
        <w:tc>
          <w:tcPr>
            <w:tcW w:w="1000" w:type="dxa"/>
            <w:vAlign w:val="bottom"/>
          </w:tcPr>
          <w:p>
            <w:pPr>
              <w:jc w:val="right"/>
              <w:ind w:right="212"/>
              <w:spacing w:after="0"/>
              <w:rPr>
                <w:sz w:val="20"/>
                <w:szCs w:val="20"/>
                <w:color w:val="auto"/>
              </w:rPr>
            </w:pPr>
            <w:r>
              <w:rPr>
                <w:rFonts w:ascii="Arial" w:cs="Arial" w:eastAsia="Arial" w:hAnsi="Arial"/>
                <w:sz w:val="14"/>
                <w:szCs w:val="14"/>
                <w:b w:val="1"/>
                <w:bCs w:val="1"/>
                <w:color w:val="auto"/>
                <w:w w:val="90"/>
              </w:rPr>
              <w:t>As Revised</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Weighted average basic shares outstanding</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10,377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0"/>
              </w:rPr>
              <w:t>Weighted average diluted shares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11,313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10,377</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from continuing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Net income (loss) per share from</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discontinuing operations: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3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For the years ended December 31, 2012 and 2011, we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all earnings per share amounts.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 xml:space="preserve">The following tables present the effect of these corrections on the company's consolidated statements of operations for each of the quarters in the year ended December 31, 2012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7"/>
          </w:tcPr>
          <w:p>
            <w:pPr>
              <w:jc w:val="right"/>
              <w:ind w:right="592"/>
              <w:spacing w:after="0"/>
              <w:rPr>
                <w:sz w:val="20"/>
                <w:szCs w:val="20"/>
                <w:color w:val="auto"/>
              </w:rPr>
            </w:pPr>
            <w:r>
              <w:rPr>
                <w:rFonts w:ascii="Arial" w:cs="Arial" w:eastAsia="Arial" w:hAnsi="Arial"/>
                <w:sz w:val="14"/>
                <w:szCs w:val="14"/>
                <w:b w:val="1"/>
                <w:bCs w:val="1"/>
                <w:color w:val="auto"/>
              </w:rPr>
              <w:t>Three Months Ended March 31, 2012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672"/>
              <w:spacing w:after="0"/>
              <w:rPr>
                <w:sz w:val="20"/>
                <w:szCs w:val="20"/>
                <w:color w:val="auto"/>
              </w:rPr>
            </w:pPr>
            <w:r>
              <w:rPr>
                <w:rFonts w:ascii="Arial" w:cs="Arial" w:eastAsia="Arial" w:hAnsi="Arial"/>
                <w:sz w:val="14"/>
                <w:szCs w:val="14"/>
                <w:b w:val="1"/>
                <w:bCs w:val="1"/>
                <w:color w:val="auto"/>
              </w:rPr>
              <w:t>Three Months Ended June 30, 2012</w:t>
            </w:r>
          </w:p>
        </w:tc>
      </w:tr>
      <w:tr>
        <w:trPr>
          <w:trHeight w:val="264"/>
        </w:trPr>
        <w:tc>
          <w:tcPr>
            <w:tcW w:w="3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22"/>
                <w:szCs w:val="22"/>
                <w:color w:val="auto"/>
              </w:rPr>
            </w:pPr>
          </w:p>
        </w:tc>
        <w:tc>
          <w:tcPr>
            <w:tcW w:w="1020" w:type="dxa"/>
            <w:vAlign w:val="bottom"/>
          </w:tcPr>
          <w:p>
            <w:pPr>
              <w:jc w:val="right"/>
              <w:ind w:right="152"/>
              <w:spacing w:after="0"/>
              <w:rPr>
                <w:sz w:val="20"/>
                <w:szCs w:val="20"/>
                <w:color w:val="auto"/>
              </w:rPr>
            </w:pPr>
            <w:r>
              <w:rPr>
                <w:rFonts w:ascii="Arial" w:cs="Arial" w:eastAsia="Arial" w:hAnsi="Arial"/>
                <w:sz w:val="14"/>
                <w:szCs w:val="14"/>
                <w:b w:val="1"/>
                <w:bCs w:val="1"/>
                <w:color w:val="auto"/>
                <w:w w:val="98"/>
              </w:rPr>
              <w:t>Adjustment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Revised</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200" w:type="dxa"/>
            <w:vAlign w:val="bottom"/>
          </w:tcPr>
          <w:p>
            <w:pPr>
              <w:spacing w:after="0"/>
              <w:rPr>
                <w:sz w:val="22"/>
                <w:szCs w:val="22"/>
                <w:color w:val="auto"/>
              </w:rPr>
            </w:pPr>
          </w:p>
        </w:tc>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As Revised</w:t>
            </w: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10,685</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Net income per share from discontinuing</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2.58</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0.07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r>
      <w:tr>
        <w:trPr>
          <w:trHeight w:val="142"/>
        </w:trPr>
        <w:tc>
          <w:tcPr>
            <w:tcW w:w="3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256" w:lineRule="exact"/>
        <w:rPr>
          <w:sz w:val="20"/>
          <w:szCs w:val="20"/>
          <w:color w:val="auto"/>
        </w:rPr>
      </w:pPr>
    </w:p>
    <w:p>
      <w:pPr>
        <w:ind w:left="500" w:right="480" w:hanging="168"/>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correction of an error of 241 shares and $0.03 per share made during the first quarter of 2012 related to the control number utilized for diluted earnings per share.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8"/>
          </w:tcPr>
          <w:p>
            <w:pPr>
              <w:jc w:val="center"/>
              <w:ind w:right="28"/>
              <w:spacing w:after="0"/>
              <w:rPr>
                <w:sz w:val="20"/>
                <w:szCs w:val="20"/>
                <w:color w:val="auto"/>
              </w:rPr>
            </w:pPr>
            <w:r>
              <w:rPr>
                <w:rFonts w:ascii="Arial" w:cs="Arial" w:eastAsia="Arial" w:hAnsi="Arial"/>
                <w:sz w:val="14"/>
                <w:szCs w:val="14"/>
                <w:b w:val="1"/>
                <w:bCs w:val="1"/>
                <w:color w:val="auto"/>
                <w:w w:val="93"/>
              </w:rPr>
              <w:t>Three Months Ended September 30, 2012</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1"/>
          </w:tcPr>
          <w:p>
            <w:pPr>
              <w:jc w:val="center"/>
              <w:ind w:right="73"/>
              <w:spacing w:after="0"/>
              <w:rPr>
                <w:sz w:val="20"/>
                <w:szCs w:val="20"/>
                <w:color w:val="auto"/>
              </w:rPr>
            </w:pPr>
            <w:r>
              <w:rPr>
                <w:rFonts w:ascii="Arial" w:cs="Arial" w:eastAsia="Arial" w:hAnsi="Arial"/>
                <w:sz w:val="14"/>
                <w:szCs w:val="14"/>
                <w:b w:val="1"/>
                <w:bCs w:val="1"/>
                <w:color w:val="auto"/>
                <w:w w:val="93"/>
              </w:rPr>
              <w:t>Three Months Ended December 31, 2012</w:t>
            </w:r>
          </w:p>
        </w:tc>
      </w:tr>
      <w:tr>
        <w:trPr>
          <w:trHeight w:val="264"/>
        </w:trPr>
        <w:tc>
          <w:tcPr>
            <w:tcW w:w="3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200" w:type="dxa"/>
            <w:vAlign w:val="bottom"/>
          </w:tcPr>
          <w:p>
            <w:pPr>
              <w:spacing w:after="0"/>
              <w:rPr>
                <w:sz w:val="22"/>
                <w:szCs w:val="22"/>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7"/>
              </w:rPr>
              <w:t>As Revised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6"/>
              </w:rPr>
              <w:t>As Reported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140" w:type="dxa"/>
            <w:vAlign w:val="bottom"/>
          </w:tcPr>
          <w:p>
            <w:pPr>
              <w:spacing w:after="0"/>
              <w:rPr>
                <w:sz w:val="22"/>
                <w:szCs w:val="22"/>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b w:val="1"/>
                <w:bCs w:val="1"/>
                <w:color w:val="auto"/>
              </w:rPr>
              <w:t>As Revised</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Weighted average basic shares outstanding</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11,386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10,768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0"/>
              </w:rPr>
              <w:t>Weighted average diluted shares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12,003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11,385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ind w:right="48"/>
              <w:spacing w:after="0"/>
              <w:rPr>
                <w:sz w:val="20"/>
                <w:szCs w:val="20"/>
                <w:color w:val="auto"/>
              </w:rPr>
            </w:pPr>
            <w:r>
              <w:rPr>
                <w:rFonts w:ascii="Arial" w:cs="Arial" w:eastAsia="Arial" w:hAnsi="Arial"/>
                <w:sz w:val="18"/>
                <w:szCs w:val="18"/>
                <w:color w:val="auto"/>
              </w:rPr>
              <w:t>12,175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11,557</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from continuing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3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48"/>
              <w:spacing w:after="0"/>
              <w:rPr>
                <w:sz w:val="20"/>
                <w:szCs w:val="20"/>
                <w:color w:val="auto"/>
              </w:rPr>
            </w:pPr>
            <w:r>
              <w:rPr>
                <w:rFonts w:ascii="Arial" w:cs="Arial" w:eastAsia="Arial" w:hAnsi="Arial"/>
                <w:sz w:val="18"/>
                <w:szCs w:val="18"/>
                <w:color w:val="auto"/>
              </w:rPr>
              <w:t>0.22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0.23</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0.21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Net income (loss) per share from</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discontinuing operations: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6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3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3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48"/>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0.22</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60" w:type="dxa"/>
            <w:vAlign w:val="bottom"/>
            <w:tcBorders>
              <w:bottom w:val="single" w:sz="8" w:color="CCEEFF"/>
            </w:tcBorders>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0.19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r>
      <w:tr>
        <w:trPr>
          <w:trHeight w:val="378"/>
        </w:trPr>
        <w:tc>
          <w:tcPr>
            <w:tcW w:w="8700" w:type="dxa"/>
            <w:vAlign w:val="bottom"/>
            <w:gridSpan w:val="16"/>
          </w:tcPr>
          <w:p>
            <w:pPr>
              <w:ind w:left="380"/>
              <w:spacing w:after="0"/>
              <w:rPr>
                <w:sz w:val="20"/>
                <w:szCs w:val="20"/>
                <w:color w:val="auto"/>
              </w:rPr>
            </w:pPr>
            <w:r>
              <w:rPr>
                <w:rFonts w:ascii="Arial" w:cs="Arial" w:eastAsia="Arial" w:hAnsi="Arial"/>
                <w:sz w:val="18"/>
                <w:szCs w:val="18"/>
                <w:color w:val="auto"/>
                <w:w w:val="91"/>
              </w:rPr>
              <w:t>The following table presents the effect these errors had on the consolidated balance sheet at December 31, 2012: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2"/>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91"/>
              </w:rPr>
              <w:t>December 31, 2012</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60" w:type="dxa"/>
            <w:vAlign w:val="bottom"/>
            <w:gridSpan w:val="7"/>
          </w:tcPr>
          <w:p>
            <w:pPr>
              <w:jc w:val="center"/>
              <w:ind w:right="368"/>
              <w:spacing w:after="0"/>
              <w:rPr>
                <w:sz w:val="20"/>
                <w:szCs w:val="20"/>
                <w:color w:val="auto"/>
              </w:rPr>
            </w:pPr>
            <w:r>
              <w:rPr>
                <w:rFonts w:ascii="Arial" w:cs="Arial" w:eastAsia="Arial" w:hAnsi="Arial"/>
                <w:sz w:val="14"/>
                <w:szCs w:val="14"/>
                <w:b w:val="1"/>
                <w:bCs w:val="1"/>
                <w:color w:val="auto"/>
                <w:w w:val="91"/>
              </w:rPr>
              <w:t>As Reported</w:t>
            </w:r>
          </w:p>
        </w:tc>
        <w:tc>
          <w:tcPr>
            <w:tcW w:w="146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Arial" w:cs="Arial" w:eastAsia="Arial" w:hAnsi="Arial"/>
                <w:sz w:val="14"/>
                <w:szCs w:val="14"/>
                <w:b w:val="1"/>
                <w:bCs w:val="1"/>
                <w:color w:val="auto"/>
                <w:w w:val="90"/>
              </w:rPr>
              <w:t>As Adjusted</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shares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gridSpan w:val="4"/>
            <w:shd w:val="clear" w:color="auto" w:fill="CCEEFF"/>
          </w:tcPr>
          <w:p>
            <w:pPr>
              <w:jc w:val="right"/>
              <w:ind w:right="34"/>
              <w:spacing w:after="0"/>
              <w:rPr>
                <w:sz w:val="20"/>
                <w:szCs w:val="20"/>
                <w:color w:val="auto"/>
              </w:rPr>
            </w:pPr>
            <w:r>
              <w:rPr>
                <w:rFonts w:ascii="Arial" w:cs="Arial" w:eastAsia="Arial" w:hAnsi="Arial"/>
                <w:sz w:val="18"/>
                <w:szCs w:val="18"/>
                <w:color w:val="auto"/>
                <w:w w:val="93"/>
              </w:rPr>
              <w:t>12,625,678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(430,469)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12,195,209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Outstanding shares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4"/>
          </w:tcPr>
          <w:p>
            <w:pPr>
              <w:jc w:val="right"/>
              <w:ind w:right="34"/>
              <w:spacing w:after="0"/>
              <w:rPr>
                <w:sz w:val="20"/>
                <w:szCs w:val="20"/>
                <w:color w:val="auto"/>
              </w:rPr>
            </w:pPr>
            <w:r>
              <w:rPr>
                <w:rFonts w:ascii="Arial" w:cs="Arial" w:eastAsia="Arial" w:hAnsi="Arial"/>
                <w:sz w:val="18"/>
                <w:szCs w:val="18"/>
                <w:color w:val="auto"/>
                <w:w w:val="93"/>
              </w:rPr>
              <w:t>11,437,199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(430,469)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11,006,730</w:t>
            </w:r>
          </w:p>
        </w:tc>
      </w:tr>
      <w:tr>
        <w:trPr>
          <w:trHeight w:val="702"/>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U.S. generally accepted accounting principles.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Restricted cash and cash equivalents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 escrow for surety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in escrow for corporate purchasing card program</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 escrow for sale of LTL (Note 13)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in escrow for earnout related to an acquisition</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1,956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restricted for loan loss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restricted 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29,414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During the third quarter of 2013, we obtained a reduction in the collateral requirement for certain of our surety bonds, which are required by the various states in which the company currently operates or previously operated. As a result, $4.0 million of cash previously held in escrow was released.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Financial instruments, which potentially subject us to concentration of credit risk, consist primarily of cash and cash equivalents. Cash and cash equivalents are in excess of Federal Deposit Insurance Corporation insurance limits, but are maintained with quality financial institutions of high credit.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Due to the nature of the mortgage lending industry, interest rate increases may negatively impact future revenue from our lender network.</w:t>
      </w:r>
    </w:p>
    <w:p>
      <w:pPr>
        <w:spacing w:after="0" w:line="117"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Lenders participating on our lender network can offer their products directly to consumers through brokers, mass marketing campaigns or through other traditional methods of credit distribution. These lenders can also offer their products online, either directly to prospective borrowers, through one or more of our online competitors, or both. If a significant number of potential consumers are able to obtain loans from our participating lenders without utilizing our service, our ability to generate revenue may be limited. Because we do not have exclusive relationships with the lenders whose loan offerings are offered on our online marketplace, consumers may obtain offers and loans from these lenders without using our service.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maintain operations solely in the United States.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December 2011, the Financial Accounting Standards Board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is effective on a retrospective basis for all comparative periods presented beginning on January 1, 2013. The adoption of this guidance did not have a material impact on our consolidated financial statements.</w:t>
      </w:r>
    </w:p>
    <w:p>
      <w:pPr>
        <w:spacing w:after="0" w:line="8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July 2012, the FASB issued new guidance which allows an entity to first assess qualitative factors to determine whether the existence of events and circumstances indicates that it is more likely than not that an indefinite-lived intangible asset is impaired. This assessment should be used as a basis for determining whether it is necessary to perform the quantitative impairment test. An entity would not be required to calculate the fair value of the intangible asset and perform the quantitative test unless the entity determines, based upon its qualitative assessment, that it is more likely than not that its fair value is less than its carrying value. The update expands previous guidance by providing more examples of events and circumstances that an entity should consider in determining whether it is more likely than not that the fair value of an indefinite-lived intangible asset is less than its carrying amount. The update also allows an entity the option to bypass the qualitative assessment for any indefinite-lived intangible asset in any period and proceed directly to performing the quantitative impairment test. An entity will be able to resume performing the qualitative assessment in any subsequent period. This update is effective for annual and interim periods beginning after September 15, 2012, with early adoption permitted. The adoption of this guidance did not have a material impact on our consolidated financial statements.</w:t>
      </w:r>
    </w:p>
    <w:p>
      <w:pPr>
        <w:spacing w:after="0" w:line="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February 2013, the FASB issued new accounting guidance that requires an entity to measure obligations resulting from joint and several liability arrangements for which the total amount of the obligation within the scope of this guidance is fixed at the reporting date, as the sum of the amount the reporting entity agreed to pay on the basis of its arrangement among its co-obligors and any additional amount the reporting entity expects to pay on behalf of its co-obligors. The guidance also requires an entity to disclose the nature and amount of the obligation as well as other information about those obligations. The new accounting guidance is effective for fiscal years, and interim periods within those years, beginning after December 15, 2013. We are evaluating the impact that the adoption will have on our consolidated financial statements in fiscal 2014.</w:t>
      </w:r>
    </w:p>
    <w:p>
      <w:pPr>
        <w:spacing w:after="0" w:line="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July 2013, the FASB issued guidance on the financial statement presentation of an unrecognized tax benefit when a net operating loss carryforward, a similar tax loss, or a tax credit carryforward exists. The new accounting guidance is effective for interim and annual reporting periods beginning after December 15, 2013, with early adoption permitted. Prospective or retrospective application is permitted. The adoption of this guidance is not expected to have a material impact on our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40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486,720</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(483,088)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(483,088)</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goodwill</w:t>
            </w:r>
          </w:p>
        </w:tc>
        <w:tc>
          <w:tcPr>
            <w:tcW w:w="4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3,632</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4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4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intangible assets, net</w:t>
            </w:r>
          </w:p>
        </w:tc>
        <w:tc>
          <w:tcPr>
            <w:tcW w:w="4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10,712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10,831</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Intangible assets with indefinite lives relate to our trademarks. Intangible assets with definite lives relate to the following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25,194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at September 30, 2013</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33,629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line="20" w:lineRule="exact"/>
              <w:rPr>
                <w:sz w:val="1"/>
                <w:szCs w:val="1"/>
                <w:color w:val="auto"/>
              </w:rPr>
            </w:pPr>
          </w:p>
        </w:tc>
      </w:tr>
      <w:tr>
        <w:trPr>
          <w:trHeight w:val="268"/>
        </w:trPr>
        <w:tc>
          <w:tcPr>
            <w:tcW w:w="5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agreements</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25,194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Balance at December 31, 2012</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33,629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689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September 30, 2013 balances, such amortization for the next five years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p>
      <w:pPr>
        <w:ind w:left="10000"/>
        <w:spacing w:after="0"/>
        <w:rPr>
          <w:sz w:val="20"/>
          <w:szCs w:val="20"/>
          <w:color w:val="auto"/>
        </w:rPr>
      </w:pPr>
      <w:r>
        <w:rPr>
          <w:rFonts w:ascii="Arial" w:cs="Arial" w:eastAsia="Arial" w:hAnsi="Arial"/>
          <w:sz w:val="13"/>
          <w:szCs w:val="13"/>
          <w:b w:val="1"/>
          <w:bCs w:val="1"/>
          <w:color w:val="auto"/>
        </w:rPr>
        <w:t>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Three months ending December 31,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Total intangible assets with definite lives, net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165" w:hanging="1165"/>
        <w:spacing w:after="0"/>
        <w:tabs>
          <w:tab w:leader="none" w:pos="1165" w:val="left"/>
        </w:tabs>
        <w:numPr>
          <w:ilvl w:val="0"/>
          <w:numId w:val="4"/>
        </w:numPr>
        <w:rPr>
          <w:rFonts w:ascii="Arial" w:cs="Arial" w:eastAsia="Arial" w:hAnsi="Arial"/>
          <w:sz w:val="16"/>
          <w:szCs w:val="16"/>
          <w:color w:val="auto"/>
        </w:rPr>
      </w:pPr>
      <w:r>
        <w:rPr>
          <w:rFonts w:ascii="Arial" w:cs="Arial" w:eastAsia="Arial" w:hAnsi="Arial"/>
          <w:sz w:val="16"/>
          <w:szCs w:val="16"/>
          <w:color w:val="auto"/>
        </w:rPr>
        <w:t>28</w:t>
      </w:r>
    </w:p>
    <w:p>
      <w:pPr>
        <w:spacing w:after="0" w:line="86"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86</w:t>
      </w:r>
    </w:p>
    <w:p>
      <w:pPr>
        <w:spacing w:after="0" w:line="86"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60</w:t>
      </w:r>
    </w:p>
    <w:p>
      <w:pPr>
        <w:spacing w:after="0" w:line="86"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60</w:t>
      </w:r>
    </w:p>
    <w:p>
      <w:pPr>
        <w:spacing w:after="0" w:line="86" w:lineRule="exact"/>
        <w:rPr>
          <w:rFonts w:ascii="Arial" w:cs="Arial" w:eastAsia="Arial" w:hAnsi="Arial"/>
          <w:sz w:val="16"/>
          <w:szCs w:val="16"/>
          <w:color w:val="auto"/>
        </w:rPr>
      </w:pPr>
    </w:p>
    <w:p>
      <w:pPr>
        <w:ind w:left="1165"/>
        <w:spacing w:after="0"/>
        <w:rPr>
          <w:rFonts w:ascii="Arial" w:cs="Arial" w:eastAsia="Arial" w:hAnsi="Arial"/>
          <w:sz w:val="16"/>
          <w:szCs w:val="16"/>
          <w:color w:val="auto"/>
        </w:rPr>
      </w:pPr>
      <w:r>
        <w:rPr>
          <w:rFonts w:ascii="Arial" w:cs="Arial" w:eastAsia="Arial" w:hAnsi="Arial"/>
          <w:sz w:val="16"/>
          <w:szCs w:val="16"/>
          <w:color w:val="auto"/>
        </w:rPr>
        <w:t>60</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276</w:t>
      </w:r>
    </w:p>
    <w:p>
      <w:pPr>
        <w:spacing w:after="0" w:line="73" w:lineRule="exact"/>
        <w:rPr>
          <w:sz w:val="20"/>
          <w:szCs w:val="20"/>
          <w:color w:val="auto"/>
        </w:rPr>
      </w:pPr>
    </w:p>
    <w:p>
      <w:pPr>
        <w:ind w:left="1065" w:hanging="1065"/>
        <w:spacing w:after="0"/>
        <w:tabs>
          <w:tab w:leader="none" w:pos="106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570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934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55" w:space="720"/>
            <w:col w:w="1445"/>
          </w:cols>
          <w:pgMar w:left="240" w:top="125" w:right="239"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property and equipment,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2,055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Projects in progress</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gross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31,383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29,449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(23,294)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property and equipment,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5,537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6,155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accruals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advertising expense</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6,638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1,399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2,101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6,103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24,562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19,960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An additional $0.3 million and $0.5 million of accrued restructuring liability is classified in other non-current liabilities at September 30, 2013 and December 31, 2012,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6—EARNINGS PER SHARE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basic and diluted earnings per share were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income per share:</w:t>
            </w: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Weighted average common shares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11,017</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10,771</w:t>
            </w:r>
          </w:p>
        </w:tc>
        <w:tc>
          <w:tcPr>
            <w:tcW w:w="10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11,039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10,670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income per share:</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Effect of stock options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share awards</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Weighted average common shares</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11,720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11,039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10,670</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For the three months ended September 30, 2013 and 2012, we had net income from continuing operations. Accordingly, potentially dilutive securities were included in the denominator for computing diluted earnings per share. Approximately 0.3 million shares related to potentially dilutive securities were excluded from the calculation of diluted earnings per share for the three months ended September 30, 2012 because their inclusion would have been anti-dilutive. No anti-dilutive shares were excluded for the three months ended September 30, 2013.</w:t>
      </w:r>
    </w:p>
    <w:p>
      <w:pPr>
        <w:spacing w:after="0" w:line="117"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For the nine months ended September 30, 2013 and 2012, we had losses from continuing operations and, as a result, no potentially dilutive securities were included in the denominator for computing diluted earnings per share, because the impact would have been anti-dilutive. Accordingly, the weighted average basic shares outstanding were used to compute earnings per share amounts for these periods. For the nine months ended September 30, 2013 and 2012, approximately 0.7 million and 2.1 million shares, respectively, related to potentially dilutive securities were excluded from the calculation of diluted earnings per share, because their inclusion would have been anti-dilutive.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On January 11, 2010, our board of directors authorized the repurchase of up to $10 million of our common stock. During the three and nine months ended September 30, 2013, we purchased 97,726 and 180,453 shares of our common stock for aggregate consideration of $1.8 million and $3.3 million, respectively. At September 30, 2013, we had approximately $0.8 million remaining in our share repurchase authorization.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7—STOCK-BASED COMPENSATION</w:t>
      </w:r>
    </w:p>
    <w:p>
      <w:pPr>
        <w:spacing w:after="0" w:line="17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 xml:space="preserve">Non-cash compensation expense related to equity awards is included in the following line items in the accompanying consolidated statements of operations for the three and nine months ended September 30,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393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non-cash compensation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1,412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4,278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forms of stock-based awards granted to Tree.com employees are principally RSUs, restricted stock and stock options. RSUs are awards in the form of units, denominated in a hypothetical equivalent number of shares of Tree.com common stock and with the value of each award equal to the fair value of Tree.com common stock at the date of grant. RSUs may be settled in cash, stock or both, as determined by the Compensation Committee at the time of grant. Each stock-based award is subject to service-based vesting, where a specific period of continued employment must pass before an award vests. Certain restricted stock awards also include market condition vesting, where certain market conditions must be achieved before an award vests. Tree.com recognizes expense for all stock-based awards for which vesting is considered probable. For stock-based awards, the accounting charge is measured at the grant date as the fair value of Tree.com common stock awarded and expensed ratably as non-cash compensation over the vesting term.</w:t>
      </w:r>
    </w:p>
    <w:p>
      <w:pPr>
        <w:spacing w:after="0" w:line="5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7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During February 2013, our Chairman and CEO was granted 62,500 shares of restricted stock with a fair value of $1.1 million and a three year vesting period. The fair value of the restricted stock is based upon the market price of the underlying common stock as of the date of grant. Compensation expense is recognized on a straight-line basis over the vesting period. He was also granted 62,500 shares of restricted stock which vest based on the achievement of a market-based performance target within three years, but not earlier than one year from the grant date. The market-based performance target was achieved during the third quarter of 2013. The fair value of the market-based performance restricted stock was determined to be $0.9 million using a Monte Carlo simulation model. The fair value on grant date is recognized over the requisite service period.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nine months ended September 30, 2013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left="340"/>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308"/>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4"/>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1040" w:type="dxa"/>
            <w:vAlign w:val="bottom"/>
          </w:tcPr>
          <w:p>
            <w:pPr>
              <w:jc w:val="center"/>
              <w:ind w:lef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360"/>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Term</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jc w:val="center"/>
              <w:ind w:left="288"/>
              <w:spacing w:after="0"/>
              <w:rPr>
                <w:sz w:val="20"/>
                <w:szCs w:val="20"/>
                <w:color w:val="auto"/>
              </w:rPr>
            </w:pPr>
            <w:r>
              <w:rPr>
                <w:rFonts w:ascii="Arial" w:cs="Arial" w:eastAsia="Arial" w:hAnsi="Arial"/>
                <w:sz w:val="14"/>
                <w:szCs w:val="14"/>
                <w:b w:val="1"/>
                <w:bCs w:val="1"/>
                <w:i w:val="1"/>
                <w:iCs w:val="1"/>
                <w:color w:val="auto"/>
                <w:w w:val="89"/>
              </w:rPr>
              <w:t>(in years)</w:t>
            </w: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66"/>
        </w:trPr>
        <w:tc>
          <w:tcPr>
            <w:tcW w:w="51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2013</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1,072,503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4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60" w:type="dxa"/>
            <w:vAlign w:val="bottom"/>
            <w:gridSpan w:val="3"/>
          </w:tcPr>
          <w:p>
            <w:pPr>
              <w:jc w:val="right"/>
              <w:ind w:right="124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60" w:type="dxa"/>
            <w:vAlign w:val="bottom"/>
            <w:gridSpan w:val="3"/>
          </w:tcPr>
          <w:p>
            <w:pPr>
              <w:jc w:val="right"/>
              <w:ind w:right="124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2013</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1,043,737</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8.99</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5.00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18,020</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at September 30, 2013</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892,445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4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15,092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500" w:type="dxa"/>
            <w:vAlign w:val="bottom"/>
          </w:tcPr>
          <w:p>
            <w:pPr>
              <w:jc w:val="right"/>
              <w:ind w:right="77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Option Exercise Prices</w:t>
            </w:r>
          </w:p>
        </w:tc>
        <w:tc>
          <w:tcPr>
            <w:tcW w:w="120" w:type="dxa"/>
            <w:vAlign w:val="bottom"/>
            <w:vMerge w:val="restart"/>
          </w:tcPr>
          <w:p>
            <w:pPr>
              <w:spacing w:after="0"/>
              <w:rPr>
                <w:sz w:val="12"/>
                <w:szCs w:val="12"/>
                <w:color w:val="auto"/>
              </w:rPr>
            </w:pPr>
          </w:p>
        </w:tc>
        <w:tc>
          <w:tcPr>
            <w:tcW w:w="12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in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$0.01 to $4.99</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$5.00 to $7.45</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304,327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153,035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$7.46 to $9.99</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602,418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$10.00 to $14.99</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10,029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$15.00 to $19.99</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80,127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80,127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$20.00 to $20.19</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46,663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46,663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 of September 30, 2013</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1,043,737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892,445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Nonvested RSUs, restricted stock and restricted stock with a market condition as of September 30, 2013 and changes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RSUs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vMerge w:val="restart"/>
          </w:tcPr>
          <w:p>
            <w:pPr>
              <w:jc w:val="right"/>
              <w:ind w:right="142"/>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jc w:val="right"/>
              <w:ind w:right="697"/>
              <w:spacing w:after="0"/>
              <w:rPr>
                <w:sz w:val="20"/>
                <w:szCs w:val="20"/>
                <w:color w:val="auto"/>
              </w:rPr>
            </w:pPr>
            <w:r>
              <w:rPr>
                <w:rFonts w:ascii="Arial" w:cs="Arial" w:eastAsia="Arial" w:hAnsi="Arial"/>
                <w:sz w:val="14"/>
                <w:szCs w:val="14"/>
                <w:b w:val="1"/>
                <w:bCs w:val="1"/>
                <w:color w:val="auto"/>
              </w:rPr>
              <w:t>Restricted Stock</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5"/>
          </w:tcPr>
          <w:p>
            <w:pPr>
              <w:jc w:val="right"/>
              <w:ind w:right="657"/>
              <w:spacing w:after="0"/>
              <w:rPr>
                <w:sz w:val="20"/>
                <w:szCs w:val="20"/>
                <w:color w:val="auto"/>
              </w:rPr>
            </w:pPr>
            <w:r>
              <w:rPr>
                <w:rFonts w:ascii="Arial" w:cs="Arial" w:eastAsia="Arial" w:hAnsi="Arial"/>
                <w:sz w:val="14"/>
                <w:szCs w:val="14"/>
                <w:b w:val="1"/>
                <w:bCs w:val="1"/>
                <w:color w:val="auto"/>
              </w:rPr>
              <w:t>Market Condition</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4"/>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2013</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757,111</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187,501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289,745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17.49</w:t>
            </w:r>
          </w:p>
        </w:tc>
        <w:tc>
          <w:tcPr>
            <w:tcW w:w="120" w:type="dxa"/>
            <w:vAlign w:val="bottom"/>
          </w:tcPr>
          <w:p>
            <w:pPr>
              <w:spacing w:after="0"/>
              <w:rPr>
                <w:sz w:val="21"/>
                <w:szCs w:val="21"/>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(76,545)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2013</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694,020</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62,500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7"/>
              </w:rPr>
              <w:t>17.49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62,500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13.93</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NOTE 8—INCOME TAXES</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3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8"/>
          </w:tcPr>
          <w:p>
            <w:pPr>
              <w:jc w:val="right"/>
              <w:ind w:right="441"/>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60" w:type="dxa"/>
            <w:vAlign w:val="bottom"/>
            <w:gridSpan w:val="3"/>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98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w w:val="90"/>
              </w:rPr>
              <w:t>(188)</w:t>
            </w:r>
          </w:p>
        </w:tc>
        <w:tc>
          <w:tcPr>
            <w:tcW w:w="5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40" w:type="dxa"/>
            <w:vAlign w:val="bottom"/>
            <w:gridSpan w:val="4"/>
          </w:tcPr>
          <w:p>
            <w:pPr>
              <w:jc w:val="right"/>
              <w:ind w:right="798"/>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established a valuation allowance of approximately $55 million during the year ended December 31, 2012 to offset its U.S. net deferred tax assets, after excluding deferred tax liabilities related to indefinite-lived intangible assets that are not anticipated to provide a source of taxable income in the foreseeable future. For the three and nine months ended September 30, 2013, the effective tax rate was impacted by the indefinite-lived intangible assets, which were adjusted for the change to the North Carolina income tax rate enacted during the period. The effect of a change in tax rates on deferred tax balances is not apportioned among interim periods, but is recognized discretely in the period in which the change occurs. As such, all of the impact of the rate change has been recorded during the three months ended September 30, 2013, resulting in a higher effective tax rate. For the three and nine months ended September 30, 2012, our effective tax rates were higher than the federal statutory rate primarily due to the impact of state income taxes.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9—DISCRETIONARY CASH BONUS</w:t>
      </w:r>
    </w:p>
    <w:p>
      <w:pPr>
        <w:spacing w:after="0" w:line="17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February 2013, the company incurred a compensation charge of $0.9 million related to a discretionary cash bonus payment to employee stock option holders.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are involved in legal proceedings on an ongoing basis. If we believe that a loss arising from such matters is probable and can be reasonably estimated, we accrue the estimated liability in our financial statements. If only a range of estimated losses can be determined, we accrue an amount within the range that, in our judgment, reflects the most likely outcome; if none of the estimates within that range is a better estimate than any other amount, we accrue the low end of the range. For those proceedings in which an unfavorable outcome is reasonably possible but not probable, we have disclosed an estimate of the reasonably possible loss or range of losses or we have concluded that an estimate of the reasonably possible loss or range of losses arising directly from the proceeding (i.e., monetary damages or amounts paid in judgment or settlement) is not material.</w:t>
      </w:r>
    </w:p>
    <w:p>
      <w:pPr>
        <w:spacing w:after="0" w:line="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assessing the materiality of a legal proceeding, we evaluate, among other factors, the amount of monetary damages claimed, as well as the potential impact of non-monetary remedies sought by plaintiffs (e.g., injunctive relief) that may require us to change our business practices in a manner that could have a material adverse impact on our business. With respect to the matters disclosed in this Note 10, unless otherwise indicated, we are unable to estimate the possible loss or range of losses that could potentially result from the application of such non-monetary remedies.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Intellectual Property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Zillow</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LendingTree v. Zillow, Inc., et al. Civil Action No. 3:10-cv-439</w:t>
      </w:r>
      <w:r>
        <w:rPr>
          <w:rFonts w:ascii="Arial" w:cs="Arial" w:eastAsia="Arial" w:hAnsi="Arial"/>
          <w:sz w:val="17"/>
          <w:szCs w:val="17"/>
          <w:color w:val="auto"/>
        </w:rPr>
        <w:t>. On September 8, 2010, the company filed an action for patent infringement in the US</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Court for the Western District of North Carolina against Zillow, Inc., Nextag, Inc., Quinstreet, Inc., Quinstreet Media, Inc. and Adchemy, Inc. The complaint was amended to include Leadpoint, Inc. d/b/a Securerights on September 24, 2010. The complaint alleges that each of the defendants infringe one or both of the company's patents—U.S. Patent No. 6,385,594, entitled "Method and Computer Network for Co-Ordinating a Loan over the Internet," and U.S. Patent No. 6,611,816, entitled "Method and Computer Network for Co-Ordinating a Loan over the Internet." Collectively, the asserted patents cover computer hardware and software used in facilitating business between computer users and multiple lenders on the internet. The defendants in this action asserted various counterclaims against the company, including the assertion by certain of the defendants of counterclaims alleging illegal monopolization via our maintenance of the asserted patents. In July 2011, the company reached a settlement agreement with Leadpoint, Inc. On July 20, 2011, all claims against Leadpoint, Inc. and all counter-claims against the company by Leadpoint, Inc. were dismissed. In November 2012, the company reached a settlement agreement with Quinstreet, Inc. and Quinstreet Media, Inc. (collectively, the Quinstreet Parties); all claims against the Quinstreet Parties and all counterclaims against the company by the Quinstreet Parties were dismissed. Trial is currently expected in early 2014. The company intends to vigorously defend against all such counterclaims.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Internet Patents Corp.</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Internet Patents Corporation f/k/a InsWeb v. Tree.com, Inc., No. C-12-6505 (U.S. Dist. Ct., N.D. Cal.). </w:t>
      </w:r>
      <w:r>
        <w:rPr>
          <w:rFonts w:ascii="Arial" w:cs="Arial" w:eastAsia="Arial" w:hAnsi="Arial"/>
          <w:sz w:val="17"/>
          <w:szCs w:val="17"/>
          <w:color w:val="auto"/>
        </w:rPr>
        <w:t>In December 2012, the plaintiff filed a patent</w:t>
      </w:r>
      <w:r>
        <w:rPr>
          <w:rFonts w:ascii="Arial" w:cs="Arial" w:eastAsia="Arial" w:hAnsi="Arial"/>
          <w:sz w:val="17"/>
          <w:szCs w:val="17"/>
          <w:i w:val="1"/>
          <w:iCs w:val="1"/>
          <w:color w:val="auto"/>
        </w:rPr>
        <w:t xml:space="preserve"> </w:t>
      </w:r>
      <w:r>
        <w:rPr>
          <w:rFonts w:ascii="Arial" w:cs="Arial" w:eastAsia="Arial" w:hAnsi="Arial"/>
          <w:sz w:val="17"/>
          <w:szCs w:val="17"/>
          <w:color w:val="auto"/>
        </w:rPr>
        <w:t>infringement lawsuit against the company seeking a judgment that we had infringed a patent held by the plaintiff. Process was formally served with respect to this matter in April 2013. The plaintiff sought injunctive relief, damages, costs, expenses, pre- and post-judgment interest, punitive damages and attorneys' fees. The plaintiff alleged that we infringe U.S. Patent No. 7,707,505, entitled "Dynamic Tabs for a Graphical User Interface". On October 25, 2013, the court dismissed the suit based on the finding that the plaintiff's claims failed as a matter of law because the asserted patent is invalid for lack of patent-eligible subject matter. Plaintiff filed a notice of appeal on November 7, 2013.</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Suite</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The Money Suite Company v. Lending Tree, LLC, No. 1:13-ev-986 (U.S. Dist. Ct, D Del.). </w:t>
      </w:r>
      <w:r>
        <w:rPr>
          <w:rFonts w:ascii="Arial" w:cs="Arial" w:eastAsia="Arial" w:hAnsi="Arial"/>
          <w:sz w:val="18"/>
          <w:szCs w:val="18"/>
          <w:color w:val="auto"/>
        </w:rPr>
        <w:t>In June 2013, the plaintiff filed a patent infringement lawsuit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company seeking a judgment that we infringed a patent held by plaintiff. The plaintiff alleges that we infringe U.S. Patent No. 6,685,189 for "an apparatus and method using front end network gateways and search criteria for efficient quoting at a remote location". The plaintiff seeks damages (including pre- and post- judgment interest thereon), costs and attorneys' fees. We believe the plaintiff's allegations lack merit and intend to defend against this action vigorously.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Boschma</w:t>
      </w:r>
    </w:p>
    <w:p>
      <w:pPr>
        <w:spacing w:after="0" w:line="171"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i w:val="1"/>
          <w:iCs w:val="1"/>
          <w:color w:val="auto"/>
        </w:rPr>
        <w:t xml:space="preserve">Boschma v. Home Loan Center, Inc., No. SACV7-613 (U.S. Dist. Ct., C.D. Cal.). </w:t>
      </w:r>
      <w:r>
        <w:rPr>
          <w:rFonts w:ascii="Arial" w:cs="Arial" w:eastAsia="Arial" w:hAnsi="Arial"/>
          <w:sz w:val="16"/>
          <w:szCs w:val="16"/>
          <w:color w:val="auto"/>
        </w:rPr>
        <w:t>On May 25, 2007, the plaintiffs filed this putative class action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Home Loan Center, Inc. (HLC) in the U.S. District Court for the Central District of California. The plaintiffs allege that HLC sold them an option "ARM" (adjustable-rate mortgage) loan but failed to disclose in a clear and conspicuous manner, among other things, that the interest rate was not fixed, that negative amortization could occur and that the loan had a prepayment penalty. Based upon these factual allegations, the plaintiffs asserted violations of the federal Truth in Lending Act, violations of the Unfair Competition Law, breach of contract, and breach of the covenant of good faith and fair dealing. The plaintiffs purport to represent a class of all individuals who between June 1, 2003 and May 31, 2007 obtained through HLC an option ARM loan on their primary residence located in California, and seek rescission, damages, attorneys' fees and injunctive relief. The plaintiffs have not yet filed a motion for class certification, but have filed a total of eight complaints in connection with this lawsuit. Each of the first seven complaints has been dismissed by the federal and state courts. The plaintiffs filed the eighth complaint (a Second Amended Complaint) in Orange County (California) Superior Court on March 4, 2010 alleging only the fraud and Unfair Competition Law claims. As with each of the seven previous versions of plaintiffs' complaint, the Second Amended Complaint was dismissed in April 2010. The plaintiffs appealed the dismissal and on August 10, 2011, the appellate court reversed the trial court's dismissal and directed the trial court to overrule the demurrer. The case was remanded to superior court. During the second quarter of 2013, the parties reached a tentative settlement agreement with respect to this matter. A preliminary settlement approval hearing is scheduled for November 2013. A provision is included in current liabilities of discontinued operations as of September 30, 2013. The impact of the settlement was not material.</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Store, Inc.</w:t>
      </w:r>
    </w:p>
    <w:p>
      <w:pPr>
        <w:spacing w:after="0" w:line="171"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i w:val="1"/>
          <w:iCs w:val="1"/>
          <w:color w:val="auto"/>
        </w:rPr>
        <w:t xml:space="preserve">Mortgage Store, Inc. v. LendingTree Loans d/b/a Home Loan Center, Inc., No. 6CC250 (Cal. Super. Ct., Orange Cty.). </w:t>
      </w:r>
      <w:r>
        <w:rPr>
          <w:rFonts w:ascii="Arial" w:cs="Arial" w:eastAsia="Arial" w:hAnsi="Arial"/>
          <w:sz w:val="16"/>
          <w:szCs w:val="16"/>
          <w:color w:val="auto"/>
        </w:rPr>
        <w:t>On November 30, 2006, The</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Store, Inc. and Castleview Home Loans, Inc. filed this putative class action against HLC in the California Superior Court for Orange County. The plaintiffs, two former network lenders, alleged that HLC interfered with LendingTree's contracts with network lenders by taking referrals from LendingTree without adequately disclosing the relationship between them and that HLC charged the plaintiffs higher rates and fees than they otherwise would have been charged. Based upon these factual allegations, the plaintiffs assert claims for intentional interference with contractual relations, intentional interference with prospective economic advantage, and violation of the California Unfair Competition Law and California Business and Professions Code §17500. The plaintiffs purport to represent all network lenders from December 14, 2004 to date, and seek damages, restitution, attorneys' fees and punitive damages.</w:t>
      </w:r>
    </w:p>
    <w:p>
      <w:pPr>
        <w:spacing w:after="0" w:line="5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plaintiffs' motion for class certification was granted April 29, 2010. On October 17, 2011, the court granted HLC's motion for summary judgment. Judgment was entered in favor of HLC on April 9, 2012. On June 15, 2012, the plaintiffs filed a Notice of Appeal. The plaintiffs filed their opening appellate brief on December 17, 2012. We filed our opposition to the plaintiffs' appellate brief in April 2013. Oral arguments were heard on this matter on September 25, 2013. We believe the plaintiffs' allegations lack merit and we intend to defend against this action vigorously.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Dijkstra</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i w:val="1"/>
          <w:iCs w:val="1"/>
          <w:color w:val="auto"/>
        </w:rPr>
        <w:t xml:space="preserve">Lijkel Dijkstra v. Harry Carenbauer, Home Loan Center, Inc. et al., No. 5:11-cv-152-JPB (U.S. Dist. Ct., N.D.WV). </w:t>
      </w:r>
      <w:r>
        <w:rPr>
          <w:rFonts w:ascii="Arial" w:cs="Arial" w:eastAsia="Arial" w:hAnsi="Arial"/>
          <w:sz w:val="16"/>
          <w:szCs w:val="16"/>
          <w:color w:val="auto"/>
        </w:rPr>
        <w:t>On November 7, 2008,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filed this putative class action in Circuit Court of Ohio County, West Virginia against Harry Carenbauer, HLC, HLC Escrow, Inc. et al. The complaint alleges that HLC engaged in the unauthorized practice of law in West Virginia by permitting persons who were neither admitted to the practice of law in West Virginia nor under the direct supervision of a lawyer admitted to the practice of law in West Virginia to close mortgage loans. The plaintiffs assert claims for declaratory judgment, contempt, injunctive relief, conversion, unjust enrichment, breach of fiduciary duty, intentional misrepresentation or fraud, negligent misrepresentation, violation of the West Virginia Consumer Credit and Protection Act (CCPA), violation of the West Virginia Lender, Broker &amp; Services Act, civil conspiracy, outrage and negligence. The claims against all defendants other than Mr. Carenbauer, HLC and HLC Escrow, Inc. have been dismissed. The case was removed to federal court in October 2011. On January 3, 2013, the court granted a conditional class certification only with respect to the declaratory judgment, contempt, unjust enrichment and CCPA claims. The conditional class includes consumers with mortgage loans in effect any time after November 8, 2007 who obtained such loans through HLC, and whose loans were closed by persons not admitted to the practice of law in West Virginia or by persons not under the direct supervision of a lawyer admitted to the practice of law in West Virginia. A trial is expected in March 2014</w:t>
      </w:r>
      <w:r>
        <w:rPr>
          <w:rFonts w:ascii="Arial" w:cs="Arial" w:eastAsia="Arial" w:hAnsi="Arial"/>
          <w:sz w:val="16"/>
          <w:szCs w:val="16"/>
          <w:color w:val="FF0000"/>
        </w:rPr>
        <w:t>.</w:t>
      </w:r>
      <w:r>
        <w:rPr>
          <w:rFonts w:ascii="Arial" w:cs="Arial" w:eastAsia="Arial" w:hAnsi="Arial"/>
          <w:sz w:val="16"/>
          <w:szCs w:val="16"/>
          <w:color w:val="auto"/>
        </w:rPr>
        <w:t xml:space="preserve"> We believe that the plaintiffs' allegations lack merit and we intend to defend against this action vigorously.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Massachusetts Division of Banks</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February 11, 2011, the Massachusetts Division of Banks (the "Division") delivered a Report of Examination/Inspection to LendingTree, LLC, which identified various alleged violations of Massachusetts and federal laws, including the alleged insufficient delivery by LendingTree, LLC of various disclosures to its customers. On October 14, 2011, the Division provided a proposed Consent Agreement and Order to settle the Division's allegations, which the Division had shared with other state mortgage lending regulators. Thirty-four of such state mortgage lending regulators (the "Joining Regulators") indicated that if LendingTree, LLC would enter into the Consent Agreement and Order, they would agree not to pursue any analogous allegations that they otherwise might assert. As of the date of this report, none of the Joining Regulators have asserted any such allegations.</w:t>
      </w:r>
    </w:p>
    <w:p>
      <w:pPr>
        <w:spacing w:after="0" w:line="70" w:lineRule="exact"/>
        <w:rPr>
          <w:sz w:val="20"/>
          <w:szCs w:val="20"/>
          <w:color w:val="auto"/>
        </w:rPr>
      </w:pPr>
    </w:p>
    <w:p>
      <w:pPr>
        <w:ind w:firstLine="366"/>
        <w:spacing w:after="0" w:line="293" w:lineRule="auto"/>
        <w:rPr>
          <w:sz w:val="20"/>
          <w:szCs w:val="20"/>
          <w:color w:val="auto"/>
        </w:rPr>
      </w:pPr>
      <w:r>
        <w:rPr>
          <w:rFonts w:ascii="Arial" w:cs="Arial" w:eastAsia="Arial" w:hAnsi="Arial"/>
          <w:sz w:val="16"/>
          <w:szCs w:val="16"/>
          <w:color w:val="auto"/>
        </w:rPr>
        <w:t>The proposed Consent Agreement and Order calls for a fine to be allocated among the Division and the Joining Regulators and for LendingTree, LLC to adopt various new procedures and practices. We have commenced negotiations toward an acceptable Consent Agreement and Order. We do not believe our mortgage exchange business violated any federal or state mortgage lending laws; nor do we believe that any past operations of the mortgage business have resulted in a material violation of any such laws. Should the Division or any Joining Regulator bring any actions relating to the matters alleged in the February 2011 Report of Examination/Inspection, we intend to defend against such actions vigorously. The range of possible loss is estimated to be between $0.5 million and $6.5 million, and a reserve of $0.5 million has been established for this matter as of September 30,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11—SEGMENT INFORMATION</w:t>
      </w:r>
    </w:p>
    <w:p>
      <w:pPr>
        <w:spacing w:after="0" w:line="12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home services and other operating segments, which are not yet mature businesses and have been aggregated. Prior period results have been reclassified to conform with the change in reportable segments.</w:t>
      </w:r>
    </w:p>
    <w:p>
      <w:pPr>
        <w:spacing w:after="0" w:line="64"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The expenses presented below for each segment include allocations of certain corporate expenses that are identifiable and directly benefit those segments. The unallocated expenses are those corporate overhead expenses that are not directly attributable to a segment and include: corporate expenses such as finance, legal, executive technology support and human resources, as well as elimination of inter-segment revenue and costs.</w:t>
      </w:r>
    </w:p>
    <w:p>
      <w:pPr>
        <w:spacing w:after="0" w:line="39" w:lineRule="exact"/>
        <w:rPr>
          <w:sz w:val="20"/>
          <w:szCs w:val="20"/>
          <w:color w:val="auto"/>
        </w:rPr>
      </w:pPr>
    </w:p>
    <w:p>
      <w:pPr>
        <w:ind w:right="300" w:firstLine="324"/>
        <w:spacing w:after="0" w:line="286" w:lineRule="auto"/>
        <w:rPr>
          <w:sz w:val="20"/>
          <w:szCs w:val="20"/>
          <w:color w:val="auto"/>
        </w:rPr>
      </w:pPr>
      <w:r>
        <w:rPr>
          <w:rFonts w:ascii="Arial" w:cs="Arial" w:eastAsia="Arial" w:hAnsi="Arial"/>
          <w:sz w:val="16"/>
          <w:szCs w:val="16"/>
          <w:color w:val="auto"/>
        </w:rPr>
        <w:t>Adjusted EBITDA, a non-GAAP measure, is the primary metric by which the chief operating decision maker evaluates the performance of our businesses, on which our internal budgets are based and by which management is compensated. Adjusted EBITDA is defined as operating income or loss (which excludes interest expense and taxes) adjusted to exclude amortization of intangibles and depreciation, and to further exclude (1) non-cash compensation expense, (2) non-cash intangible asset impairment charges, (3) gain/loss on disposal of assets, (4) restructuring and severance expenses,</w:t>
      </w:r>
    </w:p>
    <w:p>
      <w:pPr>
        <w:spacing w:after="0" w:line="2" w:lineRule="exact"/>
        <w:rPr>
          <w:sz w:val="20"/>
          <w:szCs w:val="20"/>
          <w:color w:val="auto"/>
        </w:rPr>
      </w:pPr>
    </w:p>
    <w:p>
      <w:pPr>
        <w:ind w:left="340" w:right="2220" w:hanging="332"/>
        <w:spacing w:after="0" w:line="386"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settlements and contingencies, (6) adjustments for significant acquisitions or dispositions, and (7) one-time items. Assets and other balance sheet information are not used by the chief operating decision maker.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125" w:right="29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Summarized information by segment and reconciliations to Adjusted EBITDA and income (loss) before income taxes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September 30, 2013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Mortgage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Non-Mortgage</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Cost of revenue (exclusive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23,072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37,121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7,581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8,350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5,364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Adjustments to reconcile to income before income taxes: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771"/>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September 30, 2012</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Mortgage</w:t>
            </w:r>
          </w:p>
        </w:tc>
        <w:tc>
          <w:tcPr>
            <w:tcW w:w="180" w:type="dxa"/>
            <w:vAlign w:val="bottom"/>
          </w:tcPr>
          <w:p>
            <w:pPr>
              <w:spacing w:after="0"/>
              <w:rPr>
                <w:sz w:val="22"/>
                <w:szCs w:val="22"/>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Non-Mortgage</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Cost of revenue (exclusive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6,774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7,664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3,897</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Adjustments to reconcile to income before income taxes: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771"/>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 2013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Mortgage</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Non-Mortgage</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Cost of revenue (exclusive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62,351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68,473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17,817</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104,898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20,030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Discretionary cash bonus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22,437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12,809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to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vMerge w:val="restart"/>
          </w:tcPr>
          <w:p>
            <w:pPr>
              <w:jc w:val="right"/>
              <w:ind w:right="77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 2012</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Mortgage</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Non-Mortgage</w:t>
            </w:r>
          </w:p>
        </w:tc>
        <w:tc>
          <w:tcPr>
            <w:tcW w:w="2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60" w:type="dxa"/>
            <w:vAlign w:val="bottom"/>
          </w:tcPr>
          <w:p>
            <w:pPr>
              <w:spacing w:after="0"/>
              <w:rPr>
                <w:sz w:val="22"/>
                <w:szCs w:val="22"/>
                <w:color w:val="auto"/>
              </w:rPr>
            </w:pPr>
          </w:p>
        </w:tc>
        <w:tc>
          <w:tcPr>
            <w:tcW w:w="112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53,501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Cost of revenue (exclusive of depreciation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23,708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34,997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8,751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(7,232)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3,565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10,809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1,034</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Adjustments to reconcile to loss before income taxes: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12—RESTRUCTURING</w:t>
      </w:r>
    </w:p>
    <w:p>
      <w:pPr>
        <w:spacing w:after="0" w:line="175" w:lineRule="exact"/>
        <w:rPr>
          <w:sz w:val="20"/>
          <w:szCs w:val="20"/>
          <w:color w:val="auto"/>
        </w:rPr>
      </w:pPr>
    </w:p>
    <w:p>
      <w:pPr>
        <w:jc w:val="both"/>
        <w:ind w:right="40" w:firstLine="324"/>
        <w:spacing w:after="0" w:line="308" w:lineRule="auto"/>
        <w:rPr>
          <w:sz w:val="20"/>
          <w:szCs w:val="20"/>
          <w:color w:val="auto"/>
        </w:rPr>
      </w:pPr>
      <w:r>
        <w:rPr>
          <w:rFonts w:ascii="Arial" w:cs="Arial" w:eastAsia="Arial" w:hAnsi="Arial"/>
          <w:sz w:val="17"/>
          <w:szCs w:val="17"/>
          <w:color w:val="auto"/>
        </w:rPr>
        <w:t xml:space="preserve">The liabilities at September 30, 2013 and December 31, 2012 are primarily related to lease obligations for call center and corporate office leases exited in 2010, which are expected to be completed by 2015. Restructuring expense and payments against liabilities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Continuing</w:t>
            </w:r>
          </w:p>
        </w:tc>
      </w:tr>
      <w:tr>
        <w:trPr>
          <w:trHeight w:val="149"/>
        </w:trPr>
        <w:tc>
          <w:tcPr>
            <w:tcW w:w="9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Lease</w:t>
            </w:r>
          </w:p>
        </w:tc>
      </w:tr>
      <w:tr>
        <w:trPr>
          <w:trHeight w:val="192"/>
        </w:trPr>
        <w:tc>
          <w:tcPr>
            <w:tcW w:w="9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3"/>
              </w:rPr>
              <w:t>Obligations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906</w:t>
            </w:r>
          </w:p>
        </w:tc>
      </w:tr>
      <w:tr>
        <w:trPr>
          <w:trHeight w:val="243"/>
        </w:trPr>
        <w:tc>
          <w:tcPr>
            <w:tcW w:w="9940" w:type="dxa"/>
            <w:vAlign w:val="bottom"/>
          </w:tcPr>
          <w:p>
            <w:pPr>
              <w:ind w:left="2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25</w:t>
            </w:r>
          </w:p>
        </w:tc>
      </w:tr>
      <w:tr>
        <w:trPr>
          <w:trHeight w:val="27"/>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2013</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563</w:t>
            </w:r>
          </w:p>
        </w:tc>
      </w:tr>
      <w:tr>
        <w:trPr>
          <w:trHeight w:val="27"/>
        </w:trPr>
        <w:tc>
          <w:tcPr>
            <w:tcW w:w="9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At September 30, 2013, restructuring liabilities of $0.3 million are included in accrued expenses and other current liabilities and $0.3 million are included in other non-current liabilities in the accompanying consolidated balance sheet. At December 31, 2012, restructuring liabilities of $0.4 million are included in accrued expenses and other current liabilities and $0.5 million are included in other non-current liabilities in the accompanying consolidated balance sheet. We do not expect to incur significant additional costs related to the restructuring noted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w:t>
      </w:r>
      <w:r>
        <w:rPr>
          <w:rFonts w:ascii="Arial" w:cs="Arial" w:eastAsia="Arial" w:hAnsi="Arial"/>
          <w:sz w:val="12"/>
          <w:szCs w:val="12"/>
          <w:color w:val="auto"/>
        </w:rPr>
        <w:t>®</w:t>
      </w:r>
      <w:r>
        <w:rPr>
          <w:rFonts w:ascii="Arial" w:cs="Arial" w:eastAsia="Arial" w:hAnsi="Arial"/>
          <w:sz w:val="18"/>
          <w:szCs w:val="18"/>
          <w:color w:val="auto"/>
        </w:rPr>
        <w:t>. We exited all markets by March 31, 2011. In September 2011, we sold the remaining assets of RealEstate.com, which consisted primarily of internet domain names and trademarks. Accordingly, these real estate businesses are presented as discontinued operations in the accompanying consolidated balance sheets and consolidated statements of operations and cash flows for all periods presented. No significant future cash flows are anticipated from the disposition of this business.</w:t>
      </w:r>
    </w:p>
    <w:p>
      <w:pPr>
        <w:spacing w:after="0" w:line="76"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 xml:space="preserve">The revenue and net loss for the real estate businesses that are reported as discontinued operations for the applicable periods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2012</w:t>
            </w:r>
          </w:p>
        </w:tc>
      </w:tr>
      <w:tr>
        <w:trPr>
          <w:trHeight w:val="26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243"/>
        <w:spacing w:after="0" w:line="277" w:lineRule="auto"/>
        <w:rPr>
          <w:sz w:val="20"/>
          <w:szCs w:val="20"/>
          <w:color w:val="auto"/>
        </w:rPr>
      </w:pPr>
      <w:r>
        <w:rPr>
          <w:rFonts w:ascii="Arial" w:cs="Arial" w:eastAsia="Arial" w:hAnsi="Arial"/>
          <w:sz w:val="18"/>
          <w:szCs w:val="18"/>
          <w:color w:val="auto"/>
        </w:rPr>
        <w:t xml:space="preserve">The assets and liabilities of real estate businesses that are reported as discontinued operations as of September 30, 2013 and December 31,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70"/>
        </w:trPr>
        <w:tc>
          <w:tcPr>
            <w:tcW w:w="8340" w:type="dxa"/>
            <w:vAlign w:val="bottom"/>
            <w:tcBorders>
              <w:bottom w:val="single" w:sz="8" w:color="CCEEFF"/>
            </w:tcBorders>
            <w:shd w:val="clear" w:color="auto" w:fill="CCEEFF"/>
          </w:tcPr>
          <w:p>
            <w:pPr>
              <w:jc w:val="center"/>
              <w:ind w:right="6910"/>
              <w:spacing w:after="0"/>
              <w:rPr>
                <w:sz w:val="20"/>
                <w:szCs w:val="20"/>
                <w:color w:val="auto"/>
              </w:rPr>
            </w:pPr>
            <w:r>
              <w:rPr>
                <w:rFonts w:ascii="Arial" w:cs="Arial" w:eastAsia="Arial" w:hAnsi="Arial"/>
                <w:sz w:val="18"/>
                <w:szCs w:val="18"/>
                <w:color w:val="auto"/>
                <w:w w:val="94"/>
              </w:rPr>
              <w:t>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7"/>
        </w:trPr>
        <w:tc>
          <w:tcPr>
            <w:tcW w:w="8340" w:type="dxa"/>
            <w:vAlign w:val="bottom"/>
          </w:tcPr>
          <w:p>
            <w:pPr>
              <w:jc w:val="center"/>
              <w:ind w:right="6890"/>
              <w:spacing w:after="0"/>
              <w:rPr>
                <w:sz w:val="20"/>
                <w:szCs w:val="20"/>
                <w:color w:val="auto"/>
              </w:rPr>
            </w:pPr>
            <w:r>
              <w:rPr>
                <w:rFonts w:ascii="Arial" w:cs="Arial" w:eastAsia="Arial" w:hAnsi="Arial"/>
                <w:sz w:val="18"/>
                <w:szCs w:val="18"/>
                <w:b w:val="1"/>
                <w:bCs w:val="1"/>
                <w:color w:val="auto"/>
                <w:w w:val="90"/>
              </w:rPr>
              <w:t>Net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LendingTree Loans</w:t>
      </w:r>
    </w:p>
    <w:p>
      <w:pPr>
        <w:spacing w:after="0" w:line="12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On May 12, 2011, we entered into an asset purchase agreement that provided for the sale of substantially all of the operating assets of our LendingTree Loans business to Discover. On February 7, 2012, we entered into an amendment to the asset purchase agreement. We completed the transaction on June 6, 2012. Discover has participated as a network lender on our mortgage exchange since the closing of the transaction. We have evaluated the facts and circumstances of the transaction and the applicable accounting guidance for discontinued operations, and have concluded that the LendingTree Loans business should be reflected as discontinued operations in the accompanying consolidated balance sheets and consolidated statements of operations and cash flows for all periods presented. The continuing cash flows related to this transaction are not significant and, accordingly, are not deemed to be direct cash flows of the divested business.</w:t>
      </w:r>
    </w:p>
    <w:p>
      <w:pPr>
        <w:spacing w:after="0" w:line="8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agreed to indemnify Discover for a breach or inaccuracy of any representation, warranty or covenant made by us in the asset purchase agreement, for any liability of ours that was not assumed, for any claims by our stockholders against Discover and for our failure to comply with any applicable bulk sales law, subject to certain limitations. Subsequent to closing of the transaction, Discover submitted a claim for indemnification relating to our sale prior to the closing of certain loans that were listed in the asset purchase agreement as to be conveyed to Discover at closing. In May 2013, we settled this indemnification claim and other miscellaneous items by agreeing to credit Discover for $1.3 million in future services. The remaining liability for these future services is included in current liabilities of discontinued operations in the accompanying consolidated balance sheet at September 30, 2013.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 xml:space="preserve">The revenue and net income (loss) for LendingTree Loans that are reported as discontinued operations for the applicable periods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2012</w:t>
            </w: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5,943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87,338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27,660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10,101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24,313</w:t>
            </w: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6,160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49,500</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 xml:space="preserve">The assets and liabilities of LendingTree Loans that are reported as discontinued operations as of September 30, 2013 and December 31,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(30,528)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175"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Upon closing of the sale of substantially all of the operating assets of our LendingTree Loans business on June 6, 2012, LendingTree Loans ceased to originate consumer loans. The remaining operations are being wound down. These wind-down activities have included, among other things, selling the balance of loans held for sale to investors, which has been completed, paying off and then terminating the warehouse lines of credit, which occurred on July 21, 2012, and settling derivative obligations, which has been completed. Liability for losses on previously sold loans will remain with LendingTree Loans. Below is a discussion of these significant items.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A financial instrument's categorization within the fair value hierarchy is based upon the lowest level of input that is significant to the fair value measurement. Transfers in and out of Level 1, 2 or 3 are recorded at fair value at the beginning of the reporting period.</w:t>
      </w:r>
    </w:p>
    <w:p>
      <w:pPr>
        <w:spacing w:after="0" w:line="116"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Following is a description of valuation methodologies used for instruments measured at fair value, as well as the general classification of such instruments pursuant to the fair value hierarchy.</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LendingTree Loans entered into commitments with consumers to originate loans at specified interest rates (interest rate lock commitments—"IRLCs"). We reported IRLCs as derivative instruments at fair value, with changes in fair value being recorded in discontinued operations. IRLCs for loans to be sold to investors using a mandatory or assignment of trade ("AOT") method were hedged using "to be announced mortgage-backed securities" ("TBA MBS") and were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included, but were not limited to, loan type, underlying loan amount, note rate, loan program and expected sale date of the loan. IRLCs for loans sold to investors on a best-efforts basis were hedged using best-efforts forward delivery commitments and were valued on an individual loan basis using a proprietary database program prior to January 1, 2012. These valuations were based on investor pricing tables stratified by product, note rate and term. The valuations were adjusted at the loan level to consider the servicing-release premium and loan pricing adjustments specific to each loan. Effective January 1, 2012, LendingTree Loans began valuing IRLCs for loans sold to investors on a best-efforts basis using quantitative risk models on a loan-level basis. The decision to modify the valuation calculation for IRLCs for loans sold on a best-efforts basis evolved from a desire to achieve principally two goals: 1) to include this portion of the IRLCs into the main operating system we used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fair value (known as QRM), allowing us to improve our estimate of loan funding probability and 2) to include elements of the all-in fair value that we could not previously calculate in the previous models. The most significant data inputs used in the valuation of these IRLCs included, but were not limited to, investor pricing tables stratified by product, note rate and term, adjusted for current market conditions. These valuations were adjusted at the loan level to consider the servicing-release premium and loan pricing adjustments specific to each loan. LendingTree Loans applied an anticipated loan funding probability based on its own experience to value IRLCs, which resulted in the classification of these derivatives as Level 3. The value of the underlying loans and the anticipated loan funding probability were the most significant assumptions affecting the valuation of IRLCs. A significant change in the unobservable inputs could have resulted in a significant change in the ending fair value measurement. At September 30, 2013 and December 31, 2012, there were no IRLCs outstanding.</w:t>
      </w:r>
    </w:p>
    <w:p>
      <w:pPr>
        <w:spacing w:after="0" w:line="138"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Loans held for sale measured at fair value and sold to investors using a mandatory or AOT method were also hedged using TBA MBS and valued using quantitative risk models. The valuation was based on the loan amount, note rate, loan program and expected sale date of the loan. Loans held for sale measured at fair value and sold to investors on a best-efforts basis were hedged using best-efforts forward delivery commitments and were valued using a proprietary database program prior to January 1, 2012. The best-efforts valuations prior to that date were based on daily investor pricing tables stratified by product, note rate and term. These valuations were adjusted at the loan level to consider the servicing-release premium and loan pricing adjustments specific to each loan. Effective January 1, 2012, LendingTree Loans began valuing the loans held for sale and sold to investors on a best-efforts basis using quantitative risk models. The most significant data inputs used in the valuation of these loans included investor pricing tables stratified by product, note rate and term, adjusted for current market conditions. Loans held for sale, excluding impaired loans, were classified as Level 2. Loans held for sale measured at fair value that became impaired were transferred from Level 2 to Level 3, as the estimate of fair value was based on LendingTree Loans' experience considering lien position and current status of the loan. A significant change in the unobservable inputs could have resulted in a significant change in the ending fair value measurement. LendingTree Loans recognized interest income separately from other changes in fair value.</w:t>
      </w:r>
    </w:p>
    <w:p>
      <w:pPr>
        <w:spacing w:after="0" w:line="119"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hedged the changes in fair value of IRLCs and loans held for sale caused by changes in interest rates by using TBA MBS and entering into best-efforts forward delivery commitments. These hedging instruments were recorded at fair value with changes in fair value recorded in current earnings as a component of revenue from the origination and sale of loans. TBA MBS used to hedge both IRLCs and loans were valued using quantitative risk models based primarily on inputs related to characteristics of the MBS stratified by product, coupon and settlement date. These derivatives were classified as Level 2. Prior to January 1, 2012, best-efforts forward delivery commitments were valued using a proprietary database program using investor pricing tables considering the current base loan price. Effective January 1, 2012, best-efforts forward delivery commitments were valued using quantitative risk models based on investor pricing tables stratified by product, note rate and term, adjusted for current market conditions. An anticipated loan funding probability was applied to value best-efforts commitments hedging IRLCs, which resulted in the classification of these contracts as Level 3. The current base loan price and the anticipated loan funding probability were the most significant assumptions affecting the value of the best-efforts commitments. A significant change in the unobservable inputs could have resulted in a significant change in the ending fair value measurement. The best-efforts forward delivery commitments hedging loans held for sale were classified as Level 2, so such contracts were transferred from Level 3 to Level 2 at the time the underlying loan was originated. For the purposes of the tables below, we refer to TBA MBS and best-efforts forward delivery commitments collectively as "Forward Delivery Contracts".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assets and liabilities that are measured at fair value on a recurring basis at September 30, 2013 and December 31, 2012.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 xml:space="preserve">The following presents the changes in our assets and liabilities that were measured at fair value on a recurring basis using significant unobservable inputs (Level 3) for the three and nine months ended September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September 30, 2012</w:t>
            </w:r>
          </w:p>
        </w:tc>
        <w:tc>
          <w:tcPr>
            <w:tcW w:w="1320" w:type="dxa"/>
            <w:vAlign w:val="bottom"/>
            <w:tcBorders>
              <w:bottom w:val="single" w:sz="8" w:color="auto"/>
            </w:tcBorders>
          </w:tcPr>
          <w:p>
            <w:pPr>
              <w:spacing w:after="0"/>
              <w:rPr>
                <w:sz w:val="16"/>
                <w:szCs w:val="16"/>
                <w:color w:val="auto"/>
              </w:rPr>
            </w:pPr>
          </w:p>
        </w:tc>
      </w:tr>
      <w:tr>
        <w:trPr>
          <w:trHeight w:val="152"/>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Interest Rate Lock</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Forward Delivery</w:t>
            </w:r>
          </w:p>
        </w:tc>
        <w:tc>
          <w:tcPr>
            <w:tcW w:w="380" w:type="dxa"/>
            <w:vAlign w:val="bottom"/>
          </w:tcPr>
          <w:p>
            <w:pPr>
              <w:spacing w:after="0"/>
              <w:rPr>
                <w:sz w:val="13"/>
                <w:szCs w:val="13"/>
                <w:color w:val="auto"/>
              </w:rPr>
            </w:pPr>
          </w:p>
        </w:tc>
        <w:tc>
          <w:tcPr>
            <w:tcW w:w="1320" w:type="dxa"/>
            <w:vAlign w:val="bottom"/>
          </w:tcPr>
          <w:p>
            <w:pPr>
              <w:jc w:val="center"/>
              <w:ind w:right="293"/>
              <w:spacing w:after="0" w:line="153" w:lineRule="exact"/>
              <w:rPr>
                <w:sz w:val="20"/>
                <w:szCs w:val="20"/>
                <w:color w:val="auto"/>
              </w:rPr>
            </w:pPr>
            <w:r>
              <w:rPr>
                <w:rFonts w:ascii="Arial" w:cs="Arial" w:eastAsia="Arial" w:hAnsi="Arial"/>
                <w:sz w:val="14"/>
                <w:szCs w:val="14"/>
                <w:b w:val="1"/>
                <w:bCs w:val="1"/>
                <w:color w:val="auto"/>
                <w:w w:val="92"/>
              </w:rPr>
              <w:t>Loans Held</w:t>
            </w:r>
          </w:p>
        </w:tc>
      </w:tr>
      <w:tr>
        <w:trPr>
          <w:trHeight w:val="192"/>
        </w:trPr>
        <w:tc>
          <w:tcPr>
            <w:tcW w:w="59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Commitments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for Sale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July 1, 2012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167</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2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124</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2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35"/>
        </w:trPr>
        <w:tc>
          <w:tcPr>
            <w:tcW w:w="5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Nine Months Ended September 30, 2012</w:t>
            </w:r>
          </w:p>
        </w:tc>
        <w:tc>
          <w:tcPr>
            <w:tcW w:w="1320" w:type="dxa"/>
            <w:vAlign w:val="bottom"/>
            <w:tcBorders>
              <w:bottom w:val="single" w:sz="8" w:color="auto"/>
            </w:tcBorders>
          </w:tcPr>
          <w:p>
            <w:pPr>
              <w:spacing w:after="0"/>
              <w:rPr>
                <w:sz w:val="24"/>
                <w:szCs w:val="24"/>
                <w:color w:val="auto"/>
              </w:rPr>
            </w:pPr>
          </w:p>
        </w:tc>
      </w:tr>
      <w:tr>
        <w:trPr>
          <w:trHeight w:val="152"/>
        </w:trPr>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Interest Rate Lock</w:t>
            </w: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Forward Delivery</w:t>
            </w:r>
          </w:p>
        </w:tc>
        <w:tc>
          <w:tcPr>
            <w:tcW w:w="380" w:type="dxa"/>
            <w:vAlign w:val="bottom"/>
          </w:tcPr>
          <w:p>
            <w:pPr>
              <w:spacing w:after="0"/>
              <w:rPr>
                <w:sz w:val="13"/>
                <w:szCs w:val="13"/>
                <w:color w:val="auto"/>
              </w:rPr>
            </w:pPr>
          </w:p>
        </w:tc>
        <w:tc>
          <w:tcPr>
            <w:tcW w:w="1320" w:type="dxa"/>
            <w:vAlign w:val="bottom"/>
          </w:tcPr>
          <w:p>
            <w:pPr>
              <w:jc w:val="center"/>
              <w:ind w:right="293"/>
              <w:spacing w:after="0" w:line="153" w:lineRule="exact"/>
              <w:rPr>
                <w:sz w:val="20"/>
                <w:szCs w:val="20"/>
                <w:color w:val="auto"/>
              </w:rPr>
            </w:pPr>
            <w:r>
              <w:rPr>
                <w:rFonts w:ascii="Arial" w:cs="Arial" w:eastAsia="Arial" w:hAnsi="Arial"/>
                <w:sz w:val="14"/>
                <w:szCs w:val="14"/>
                <w:b w:val="1"/>
                <w:bCs w:val="1"/>
                <w:color w:val="auto"/>
                <w:w w:val="92"/>
              </w:rPr>
              <w:t>Loans Held</w:t>
            </w:r>
          </w:p>
        </w:tc>
      </w:tr>
      <w:tr>
        <w:trPr>
          <w:trHeight w:val="192"/>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Commitments</w:t>
            </w:r>
          </w:p>
        </w:tc>
        <w:tc>
          <w:tcPr>
            <w:tcW w:w="22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380" w:type="dxa"/>
            <w:vAlign w:val="bottom"/>
          </w:tcPr>
          <w:p>
            <w:pPr>
              <w:spacing w:after="0"/>
              <w:rPr>
                <w:sz w:val="16"/>
                <w:szCs w:val="16"/>
                <w:color w:val="auto"/>
              </w:rPr>
            </w:pPr>
          </w:p>
        </w:tc>
        <w:tc>
          <w:tcPr>
            <w:tcW w:w="1320" w:type="dxa"/>
            <w:vAlign w:val="bottom"/>
          </w:tcPr>
          <w:p>
            <w:pPr>
              <w:jc w:val="center"/>
              <w:ind w:right="293"/>
              <w:spacing w:after="0"/>
              <w:rPr>
                <w:sz w:val="20"/>
                <w:szCs w:val="20"/>
                <w:color w:val="auto"/>
              </w:rPr>
            </w:pPr>
            <w:r>
              <w:rPr>
                <w:rFonts w:ascii="Arial" w:cs="Arial" w:eastAsia="Arial" w:hAnsi="Arial"/>
                <w:sz w:val="14"/>
                <w:szCs w:val="14"/>
                <w:b w:val="1"/>
                <w:bCs w:val="1"/>
                <w:color w:val="auto"/>
                <w:w w:val="89"/>
              </w:rPr>
              <w:t>for Sale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2012</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295</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Transfers into Level 3</w:t>
            </w:r>
          </w:p>
        </w:tc>
        <w:tc>
          <w:tcPr>
            <w:tcW w:w="2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564</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Transfers out of Level 3</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Total net gains (losses) included in earnings (realized and unrealized)</w:t>
            </w:r>
          </w:p>
        </w:tc>
        <w:tc>
          <w:tcPr>
            <w:tcW w:w="2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73,378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sales, and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Transfers of IRLCs to closed loans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color w:val="auto"/>
        </w:rPr>
        <w:t xml:space="preserve">The following presents the gains (losses) included in earnings for the three and nine months ended September 30, 2012 relating to our assets and liabilities that were measured at fair value on a recurring basis using significant unobservable inputs (Level 3)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Three Months Ended September 30, 2012</w:t>
            </w:r>
          </w:p>
        </w:tc>
        <w:tc>
          <w:tcPr>
            <w:tcW w:w="160" w:type="dxa"/>
            <w:vAlign w:val="bottom"/>
          </w:tcPr>
          <w:p>
            <w:pPr>
              <w:spacing w:after="0"/>
              <w:rPr>
                <w:sz w:val="16"/>
                <w:szCs w:val="16"/>
                <w:color w:val="auto"/>
              </w:rPr>
            </w:pPr>
          </w:p>
        </w:tc>
        <w:tc>
          <w:tcPr>
            <w:tcW w:w="3800" w:type="dxa"/>
            <w:vAlign w:val="bottom"/>
            <w:gridSpan w:val="7"/>
          </w:tcPr>
          <w:p>
            <w:pPr>
              <w:jc w:val="center"/>
              <w:ind w:right="61"/>
              <w:spacing w:after="0"/>
              <w:rPr>
                <w:sz w:val="20"/>
                <w:szCs w:val="20"/>
                <w:color w:val="auto"/>
              </w:rPr>
            </w:pPr>
            <w:r>
              <w:rPr>
                <w:rFonts w:ascii="Arial" w:cs="Arial" w:eastAsia="Arial" w:hAnsi="Arial"/>
                <w:sz w:val="14"/>
                <w:szCs w:val="14"/>
                <w:b w:val="1"/>
                <w:bCs w:val="1"/>
                <w:color w:val="auto"/>
                <w:w w:val="92"/>
              </w:rPr>
              <w:t>Nine Months Ended September 30, 2012</w:t>
            </w:r>
          </w:p>
        </w:tc>
        <w:tc>
          <w:tcPr>
            <w:tcW w:w="0" w:type="dxa"/>
            <w:vAlign w:val="bottom"/>
          </w:tcPr>
          <w:p>
            <w:pPr>
              <w:spacing w:after="0"/>
              <w:rPr>
                <w:sz w:val="1"/>
                <w:szCs w:val="1"/>
                <w:color w:val="auto"/>
              </w:rPr>
            </w:pPr>
          </w:p>
        </w:tc>
      </w:tr>
      <w:tr>
        <w:trPr>
          <w:trHeight w:val="80"/>
        </w:trPr>
        <w:tc>
          <w:tcPr>
            <w:tcW w:w="33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Interest Rate</w:t>
            </w: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Forward</w:t>
            </w: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6"/>
              </w:rPr>
              <w:t>Interest Rate</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Forward</w:t>
            </w:r>
          </w:p>
        </w:tc>
        <w:tc>
          <w:tcPr>
            <w:tcW w:w="260" w:type="dxa"/>
            <w:vAlign w:val="bottom"/>
          </w:tcPr>
          <w:p>
            <w:pPr>
              <w:spacing w:after="0"/>
              <w:rPr>
                <w:sz w:val="12"/>
                <w:szCs w:val="12"/>
                <w:color w:val="auto"/>
              </w:rPr>
            </w:pPr>
          </w:p>
        </w:tc>
        <w:tc>
          <w:tcPr>
            <w:tcW w:w="1000" w:type="dxa"/>
            <w:vAlign w:val="bottom"/>
          </w:tcPr>
          <w:p>
            <w:pPr>
              <w:jc w:val="center"/>
              <w:ind w:right="181"/>
              <w:spacing w:after="0" w:line="147" w:lineRule="exact"/>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Lock</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Delivery</w:t>
            </w: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Held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Lock</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Delivery</w:t>
            </w:r>
          </w:p>
        </w:tc>
        <w:tc>
          <w:tcPr>
            <w:tcW w:w="260" w:type="dxa"/>
            <w:vAlign w:val="bottom"/>
          </w:tcPr>
          <w:p>
            <w:pPr>
              <w:spacing w:after="0"/>
              <w:rPr>
                <w:sz w:val="12"/>
                <w:szCs w:val="12"/>
                <w:color w:val="auto"/>
              </w:rPr>
            </w:pPr>
          </w:p>
        </w:tc>
        <w:tc>
          <w:tcPr>
            <w:tcW w:w="10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8"/>
              </w:rPr>
              <w:t>Held</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Commitments</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Contracts</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 Sale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Commitments</w:t>
            </w: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260" w:type="dxa"/>
            <w:vAlign w:val="bottom"/>
          </w:tcPr>
          <w:p>
            <w:pPr>
              <w:spacing w:after="0"/>
              <w:rPr>
                <w:sz w:val="16"/>
                <w:szCs w:val="16"/>
                <w:color w:val="auto"/>
              </w:rPr>
            </w:pPr>
          </w:p>
        </w:tc>
        <w:tc>
          <w:tcPr>
            <w:tcW w:w="100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for Sale</w:t>
            </w:r>
          </w:p>
        </w:tc>
        <w:tc>
          <w:tcPr>
            <w:tcW w:w="0" w:type="dxa"/>
            <w:vAlign w:val="bottom"/>
          </w:tcPr>
          <w:p>
            <w:pPr>
              <w:spacing w:after="0"/>
              <w:rPr>
                <w:sz w:val="1"/>
                <w:szCs w:val="1"/>
                <w:color w:val="auto"/>
              </w:rPr>
            </w:pPr>
          </w:p>
        </w:tc>
      </w:tr>
      <w:tr>
        <w:trPr>
          <w:trHeight w:val="215"/>
        </w:trPr>
        <w:tc>
          <w:tcPr>
            <w:tcW w:w="3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Total net gains (losses) included in earnings,</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which are included in discontinued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73,378</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60" w:type="dxa"/>
            <w:vAlign w:val="bottom"/>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Change in unrealized gains (losses) relating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to assets and liabilities still held at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w w:val="95"/>
              </w:rPr>
              <w:t>September 30, 2012, which are included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vMerge w:val="restart"/>
          </w:tcPr>
          <w:p>
            <w:pPr>
              <w:ind w:left="82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7"/>
        </w:trPr>
        <w:tc>
          <w:tcPr>
            <w:tcW w:w="3300" w:type="dxa"/>
            <w:vAlign w:val="bottom"/>
          </w:tcPr>
          <w:p>
            <w:pPr>
              <w:ind w:left="200"/>
              <w:spacing w:after="0"/>
              <w:rPr>
                <w:sz w:val="20"/>
                <w:szCs w:val="20"/>
                <w:color w:val="auto"/>
              </w:rPr>
            </w:pPr>
            <w:r>
              <w:rPr>
                <w:rFonts w:ascii="Arial" w:cs="Arial" w:eastAsia="Arial" w:hAnsi="Arial"/>
                <w:sz w:val="18"/>
                <w:szCs w:val="18"/>
                <w:color w:val="auto"/>
              </w:rPr>
              <w:t>in discontinued operations</w:t>
            </w:r>
          </w:p>
        </w:tc>
        <w:tc>
          <w:tcPr>
            <w:tcW w:w="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 xml:space="preserve">The gain (loss) recognized in the consolidated statements of operations for derivatives for the three and nine months ended September 30, 2012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 of Gain (Loss) Recognized</w:t>
            </w:r>
          </w:p>
        </w:tc>
        <w:tc>
          <w:tcPr>
            <w:tcW w:w="20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tcPr>
          <w:p>
            <w:pPr>
              <w:jc w:val="right"/>
              <w:ind w:right="217"/>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4120" w:type="dxa"/>
            <w:vAlign w:val="bottom"/>
            <w:tcBorders>
              <w:bottom w:val="single" w:sz="8" w:color="CCEEFF"/>
            </w:tcBorders>
          </w:tcPr>
          <w:p>
            <w:pPr>
              <w:spacing w:after="0"/>
              <w:rPr>
                <w:sz w:val="16"/>
                <w:szCs w:val="16"/>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Income on Derivative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9"/>
              </w:rPr>
              <w:t>September 30, 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w w:val="97"/>
              </w:rPr>
              <w:t>September 30, 2012</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Lock Commitments</w:t>
            </w:r>
          </w:p>
        </w:tc>
        <w:tc>
          <w:tcPr>
            <w:tcW w:w="3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73,378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Forward Delivery Contracts</w:t>
            </w: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Discontinued operations</w:t>
            </w: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4,244</w:t>
            </w:r>
          </w:p>
        </w:tc>
      </w:tr>
      <w:tr>
        <w:trPr>
          <w:trHeight w:val="27"/>
        </w:trPr>
        <w:tc>
          <w:tcPr>
            <w:tcW w:w="412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77,622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under the fair value option</w:t>
      </w:r>
    </w:p>
    <w:p>
      <w:pPr>
        <w:spacing w:after="0" w:line="17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LendingTree Loans elected to account for loans held for sale originated on or after January 1, 2008 at fair value. Electing the fair value option allowed a better offset of the changes in fair values of the loans and the forward delivery contracts used to economically hedge them, without the burden of complying with the requirements for hedge accounting.</w:t>
      </w:r>
    </w:p>
    <w:p>
      <w:pPr>
        <w:spacing w:after="0" w:line="73"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LendingTree Loans did not elect the fair value option on loans held for sale originated prior to January 1, 2008 and on loans that were repurchased from investors on or subsequent to that date. As of September 30, 2013 and December 31, 2012, there were no loans held for sale or carried at the lower of cost or market ("LOCOM") value assessed on an individual loan basis.</w:t>
      </w:r>
    </w:p>
    <w:p>
      <w:pPr>
        <w:spacing w:after="0" w:line="7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nine months ended September 30, 2012, the change in fair value of loans held for sale for which the fair value option was elected was a gain of $2.7 million, and is included in discontinued operations in the accompanying consolidated statements of operations.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LendingTree Loans sold loans it originated to investors on a servicing-released basis, so the risk of loss or default by the borrower was generally transferred to the investor. However, LendingTree Loans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 In the case of early loan payoffs and early defaults on certain loans, LendingTree Loans may be required to repay all or a portion of the premium initially paid by the investor.</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Home Loan Center, Inc. subsidiary continues to be liable for these indemnification obligations, repurchase obligations and premium repayment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obligations following the sale of substantially all of the operating assets of our LendingTree Loans business in the second quarter of 2012.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$18.1 million of the purchase price associated with the sale is being held in escrow pending resolution of certain of these contingent liabilities. We have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negotiating with certain secondary market purchasers to settle any existing and future contingent liabilities, but we may not be able to complete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negotiations on acceptable terms, or at all.</w:t>
      </w:r>
    </w:p>
    <w:p>
      <w:pPr>
        <w:spacing w:after="0" w:line="10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obligation for losses related to the representations and warranties and other provisions discussed above is initially recorded at its estimated fair value, which includes a projection of expected future losses as well as a market-based premium. Because LendingTree Loans does not service the loans it sold, it does not maintain nor generally have access to the current balances and loan performance data with respect to the individual loans previously sold to investors. Accordingly, LendingTree Loans is unable to determine, with precision, its maximum exposure for breaches of the representations and warranties it makes to the investors that purchased such loans.</w:t>
      </w:r>
    </w:p>
    <w:p>
      <w:pPr>
        <w:spacing w:after="0" w:line="80"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During the third quarter of 2012, in order to reflect our exit from the mortgage loan origination business in the second quarter of 2012 and our current commercial objective to pursue bulk settlements with investors, management revised the estimation process for evaluating the adequacy of the reserve for loan losses.</w:t>
      </w:r>
    </w:p>
    <w:p>
      <w:pPr>
        <w:spacing w:after="0" w:line="73"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Prior to the third quarter of 2012, in estimating our exposure to losses on loans previously sold, LendingTree Loans used a model that considered the original loan balance (before it was sold to an investor), historical and projected loss frequency and loss severity ratios by loan type, as well as analyses of losses in process. Subsequent adjustments to the obligation, if any, are made once further losses are determined to be both probable and estimable. Further, LendingTree Loans segmented its loan sales into four segments, based on the extent of the documentation provided by the borrower to substantiate their income and/or assets (full or limited documentation) and the lien position of the mortgage in the underlying property (first or second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these segments typically has a different loss experience, with full documentation, first lien position loans generally having the lowest loss ratios, and limited documentation, second lien position loans generally having the highest loss ratios.</w:t>
      </w:r>
    </w:p>
    <w:p>
      <w:pPr>
        <w:spacing w:after="0" w:line="6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revised methodology uses the model described above, but also incorporates into the estimation process (a) recent bulk settlements entered into by certain of our investors with governmental agencies and other counterparties, as applied to the attributes of the loans sold by LendingTree Loans and currently held by investors and (b) our own recent investor bulk settlement experience. The historical model described above was weighted 50% in the revised analysis, and each of the other factors were weighted 25% to estimate the range of remaining loan losses, which was determined to be $18.0 million to $37.0 million at September 30, 2013. The reserve balance recorded as of September 30, 2013 is $28.7 million. Management has considered both objective and subjective factors in the estimation process, but given current general industry trends in mortgage loans as well as housing prices, market expectations and actual losses related to LendingTree Loans' obligations could vary significantly from the obligation recorded as of the balance sheet date or the range estimated above.</w:t>
      </w:r>
    </w:p>
    <w:p>
      <w:pPr>
        <w:spacing w:after="0" w:line="5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Additionally, Tree.com has guaranteed certain loans sold to two investors in the event that LendingTree Loans is unable to satisfy its repurchase and warranty obligations related to such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loans sold for the periods shown and the aggregate loan losses through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 2013</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8"/>
              </w:rPr>
              <w:t>Original</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Original</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principal</w:t>
            </w:r>
          </w:p>
        </w:tc>
        <w:tc>
          <w:tcPr>
            <w:tcW w:w="240" w:type="dxa"/>
            <w:vAlign w:val="bottom"/>
          </w:tcPr>
          <w:p>
            <w:pPr>
              <w:spacing w:after="0"/>
              <w:rPr>
                <w:sz w:val="12"/>
                <w:szCs w:val="12"/>
                <w:color w:val="auto"/>
              </w:rPr>
            </w:pPr>
          </w:p>
        </w:tc>
        <w:tc>
          <w:tcPr>
            <w:tcW w:w="124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balance of</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 of Loan Sales</w:t>
            </w:r>
          </w:p>
        </w:tc>
        <w:tc>
          <w:tcPr>
            <w:tcW w:w="120" w:type="dxa"/>
            <w:vAlign w:val="bottom"/>
            <w:vMerge w:val="restart"/>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loans</w:t>
            </w:r>
          </w:p>
        </w:tc>
        <w:tc>
          <w:tcPr>
            <w:tcW w:w="26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principal</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loans with</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loans with</w:t>
            </w:r>
          </w:p>
        </w:tc>
        <w:tc>
          <w:tcPr>
            <w:tcW w:w="240" w:type="dxa"/>
            <w:vAlign w:val="bottom"/>
          </w:tcPr>
          <w:p>
            <w:pPr>
              <w:spacing w:after="0"/>
              <w:rPr>
                <w:sz w:val="12"/>
                <w:szCs w:val="12"/>
                <w:color w:val="auto"/>
              </w:rPr>
            </w:pPr>
          </w:p>
        </w:tc>
        <w:tc>
          <w:tcPr>
            <w:tcW w:w="12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sold</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8"/>
              </w:rPr>
              <w:t>balance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93"/>
              </w:rPr>
              <w:t>(in billions)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i w:val="1"/>
                <w:iCs w:val="1"/>
                <w:color w:val="auto"/>
                <w:w w:val="91"/>
              </w:rPr>
              <w:t>(in millions)</w:t>
            </w:r>
          </w:p>
        </w:tc>
        <w:tc>
          <w:tcPr>
            <w:tcW w:w="240" w:type="dxa"/>
            <w:vAlign w:val="bottom"/>
          </w:tcPr>
          <w:p>
            <w:pPr>
              <w:spacing w:after="0"/>
              <w:rPr>
                <w:sz w:val="16"/>
                <w:szCs w:val="16"/>
                <w:color w:val="auto"/>
              </w:rPr>
            </w:pPr>
          </w:p>
        </w:tc>
        <w:tc>
          <w:tcPr>
            <w:tcW w:w="1240" w:type="dxa"/>
            <w:vAlign w:val="bottom"/>
          </w:tcPr>
          <w:p>
            <w:pPr>
              <w:jc w:val="center"/>
              <w:ind w:right="155"/>
              <w:spacing w:after="0"/>
              <w:rPr>
                <w:sz w:val="20"/>
                <w:szCs w:val="20"/>
                <w:color w:val="auto"/>
              </w:rPr>
            </w:pPr>
            <w:r>
              <w:rPr>
                <w:rFonts w:ascii="Arial" w:cs="Arial" w:eastAsia="Arial" w:hAnsi="Arial"/>
                <w:sz w:val="14"/>
                <w:szCs w:val="14"/>
                <w:b w:val="1"/>
                <w:bCs w:val="1"/>
                <w:i w:val="1"/>
                <w:iCs w:val="1"/>
                <w:color w:val="auto"/>
                <w:w w:val="91"/>
              </w:rPr>
              <w:t>(in millions)</w:t>
            </w:r>
          </w:p>
        </w:tc>
        <w:tc>
          <w:tcPr>
            <w:tcW w:w="0" w:type="dxa"/>
            <w:vAlign w:val="bottom"/>
          </w:tcPr>
          <w:p>
            <w:pPr>
              <w:spacing w:after="0"/>
              <w:rPr>
                <w:sz w:val="1"/>
                <w:szCs w:val="1"/>
                <w:color w:val="auto"/>
              </w:rPr>
            </w:pPr>
          </w:p>
        </w:tc>
      </w:tr>
      <w:tr>
        <w:trPr>
          <w:trHeight w:val="66"/>
        </w:trPr>
        <w:tc>
          <w:tcPr>
            <w:tcW w:w="3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9,200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12,400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2005 and prior years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86,700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235,900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29.1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pipeline increased from 398 requests at December 31, 2012 to 440 requests at September 30, 2013 for loan repurchases and indemnifications which were considered in determining the appropriate reserve amount. The status of these loans varied from an initial review stage, which may result in a rescission of the request, to in-process, where the probability of incurring a loss is high, to indemnification, whereby LendingTree Loans has agreed to reimburse the purchaser of that loan if and when losses are incurred. An indemnification obligation may have a specific term, thereby limiting the exposure to LendingTree Loans. The original principal amount of these loans is approximately $87.6 million, comprised of approximately 74% full documentation first liens, 2% full documentation second liens, 21% limited documentation first liens and 3% limited documentation second liens.</w:t>
      </w:r>
    </w:p>
    <w:p>
      <w:pPr>
        <w:spacing w:after="0" w:line="5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Based on historical experience, it is anticipated that LendingTree Loans will continue to receive repurchase requests and incur losses on loans sold in prior years.</w:t>
      </w:r>
    </w:p>
    <w:p>
      <w:pPr>
        <w:spacing w:after="0" w:line="6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 xml:space="preserve">The activity related to loss reserves on previously sold loans for the three and nine months ended September 30, 2013 and 2012,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28,675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27,182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31,512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Provisions (recoveries)</w:t>
            </w: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 offs to reserves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Balance,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28,713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26,589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28,713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26,589</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7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TREE.COM, INC. AND SUBSIDIARIES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September 30, 2013 and December 31, 2012.</w:t>
      </w:r>
    </w:p>
    <w:p>
      <w:pPr>
        <w:spacing w:after="0" w:line="6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Home Loan Center, Inc. continues to be liable for indemnification obligations, repurchase obligations and premium repayment obligations following the sale of substantially all of the operating assets of the LendingTree Loans business to Discover. A portion of the initial purchase price paid by Discover is being held in escrow pending resolution of certain of these contingent liabilities. We have been negotiating with certain secondary market purchasers to settle any existing and future contingent liabilities, but may not be able to complete such negotiations on acceptable terms, or at all.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a result of the closing of the sale of substantially all of the operating assets of our LendingTree Loans business on June 6, 2012, all three then-existing warehouse lines of credit totaling $325.0 million expired and terminated on July 21, 2012. Borrowings under these lines of credit were used to fund, and were secured by, consumer residential loans that were held for sale. Loans under these lines of credit were repaid using proceeds from the sales of loans by LendingTree Loans. The LendingTree Loans business was highly dependent on the availability of these warehouse lines.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81"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in Part II, Item 1A—Risk Factors.</w:t>
      </w:r>
    </w:p>
    <w:p>
      <w:pPr>
        <w:spacing w:after="0" w:line="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175" w:lineRule="exact"/>
        <w:rPr>
          <w:sz w:val="20"/>
          <w:szCs w:val="20"/>
          <w:color w:val="auto"/>
        </w:rPr>
      </w:pPr>
    </w:p>
    <w:p>
      <w:pPr>
        <w:ind w:right="60" w:firstLine="324"/>
        <w:spacing w:after="0" w:line="270" w:lineRule="auto"/>
        <w:rPr>
          <w:sz w:val="20"/>
          <w:szCs w:val="20"/>
          <w:color w:val="auto"/>
        </w:rPr>
      </w:pPr>
      <w:r>
        <w:rPr>
          <w:rFonts w:ascii="Arial" w:cs="Arial" w:eastAsia="Arial" w:hAnsi="Arial"/>
          <w:sz w:val="18"/>
          <w:szCs w:val="18"/>
          <w:color w:val="auto"/>
        </w:rPr>
        <w:t>Tree.com is the parent of LendingTree, LLC which owns several brands and businesses that provide information, tools, advice, products and services for critical transactions in consumers' lives. Our family of brands includes: LendingTree</w:t>
      </w:r>
      <w:r>
        <w:rPr>
          <w:rFonts w:ascii="Arial" w:cs="Arial" w:eastAsia="Arial" w:hAnsi="Arial"/>
          <w:sz w:val="12"/>
          <w:szCs w:val="12"/>
          <w:color w:val="auto"/>
        </w:rPr>
        <w:t>®</w:t>
      </w:r>
      <w:r>
        <w:rPr>
          <w:rFonts w:ascii="Arial" w:cs="Arial" w:eastAsia="Arial" w:hAnsi="Arial"/>
          <w:sz w:val="18"/>
          <w:szCs w:val="18"/>
          <w:color w:val="auto"/>
        </w:rPr>
        <w:t>, GetSmart</w:t>
      </w:r>
      <w:r>
        <w:rPr>
          <w:rFonts w:ascii="Arial" w:cs="Arial" w:eastAsia="Arial" w:hAnsi="Arial"/>
          <w:sz w:val="12"/>
          <w:szCs w:val="12"/>
          <w:color w:val="auto"/>
        </w:rPr>
        <w:t>®</w:t>
      </w:r>
      <w:r>
        <w:rPr>
          <w:rFonts w:ascii="Arial" w:cs="Arial" w:eastAsia="Arial" w:hAnsi="Arial"/>
          <w:sz w:val="18"/>
          <w:szCs w:val="18"/>
          <w:color w:val="auto"/>
        </w:rPr>
        <w:t>, DegreeTree</w:t>
      </w:r>
      <w:r>
        <w:rPr>
          <w:rFonts w:ascii="Arial" w:cs="Arial" w:eastAsia="Arial" w:hAnsi="Arial"/>
          <w:sz w:val="12"/>
          <w:szCs w:val="12"/>
          <w:color w:val="auto"/>
        </w:rPr>
        <w:t>®</w:t>
      </w:r>
      <w:r>
        <w:rPr>
          <w:rFonts w:ascii="Arial" w:cs="Arial" w:eastAsia="Arial" w:hAnsi="Arial"/>
          <w:sz w:val="18"/>
          <w:szCs w:val="18"/>
          <w:color w:val="auto"/>
        </w:rPr>
        <w:t>, LendingTreeAutos, DoneRight!</w:t>
      </w:r>
      <w:r>
        <w:rPr>
          <w:rFonts w:ascii="Arial" w:cs="Arial" w:eastAsia="Arial" w:hAnsi="Arial"/>
          <w:sz w:val="12"/>
          <w:szCs w:val="12"/>
          <w:color w:val="auto"/>
        </w:rPr>
        <w:t>®</w:t>
      </w:r>
      <w:r>
        <w:rPr>
          <w:rFonts w:ascii="Arial" w:cs="Arial" w:eastAsia="Arial" w:hAnsi="Arial"/>
          <w:sz w:val="18"/>
          <w:szCs w:val="18"/>
          <w:color w:val="auto"/>
        </w:rPr>
        <w:t>, ServiceTree</w:t>
      </w:r>
      <w:r>
        <w:rPr>
          <w:rFonts w:ascii="Arial" w:cs="Arial" w:eastAsia="Arial" w:hAnsi="Arial"/>
          <w:sz w:val="12"/>
          <w:szCs w:val="12"/>
          <w:color w:val="auto"/>
        </w:rPr>
        <w:t>®</w:t>
      </w:r>
      <w:r>
        <w:rPr>
          <w:rFonts w:ascii="Arial" w:cs="Arial" w:eastAsia="Arial" w:hAnsi="Arial"/>
          <w:sz w:val="18"/>
          <w:szCs w:val="18"/>
          <w:color w:val="auto"/>
        </w:rPr>
        <w:t xml:space="preserve"> and InsuranceTree</w:t>
      </w:r>
      <w:r>
        <w:rPr>
          <w:rFonts w:ascii="Arial" w:cs="Arial" w:eastAsia="Arial" w:hAnsi="Arial"/>
          <w:sz w:val="12"/>
          <w:szCs w:val="12"/>
          <w:color w:val="auto"/>
        </w:rPr>
        <w:t>®</w:t>
      </w:r>
      <w:r>
        <w:rPr>
          <w:rFonts w:ascii="Arial" w:cs="Arial" w:eastAsia="Arial" w:hAnsi="Arial"/>
          <w:sz w:val="18"/>
          <w:szCs w:val="18"/>
          <w:color w:val="auto"/>
        </w:rPr>
        <w:t>. Together, these brands serve as an ally for consumers who are looking to comparison-shop for loans and other services from multiple businesses and professionals that will compete for their business.</w:t>
      </w:r>
    </w:p>
    <w:p>
      <w:pPr>
        <w:spacing w:after="0" w:line="68" w:lineRule="exact"/>
        <w:rPr>
          <w:sz w:val="20"/>
          <w:szCs w:val="20"/>
          <w:color w:val="auto"/>
        </w:rPr>
      </w:pPr>
    </w:p>
    <w:p>
      <w:pPr>
        <w:jc w:val="both"/>
        <w:ind w:right="840" w:firstLine="324"/>
        <w:spacing w:after="0" w:line="320" w:lineRule="auto"/>
        <w:rPr>
          <w:sz w:val="20"/>
          <w:szCs w:val="20"/>
          <w:color w:val="auto"/>
        </w:rPr>
      </w:pPr>
      <w:r>
        <w:rPr>
          <w:rFonts w:ascii="Arial" w:cs="Arial" w:eastAsia="Arial" w:hAnsi="Arial"/>
          <w:sz w:val="16"/>
          <w:szCs w:val="16"/>
          <w:color w:val="auto"/>
        </w:rPr>
        <w:t>The businesses of RealEstate.com and RealEstate.com, REALTORS</w:t>
      </w:r>
      <w:r>
        <w:rPr>
          <w:rFonts w:ascii="Arial" w:cs="Arial" w:eastAsia="Arial" w:hAnsi="Arial"/>
          <w:sz w:val="11"/>
          <w:szCs w:val="11"/>
          <w:color w:val="auto"/>
        </w:rPr>
        <w:t>®</w:t>
      </w:r>
      <w:r>
        <w:rPr>
          <w:rFonts w:ascii="Arial" w:cs="Arial" w:eastAsia="Arial" w:hAnsi="Arial"/>
          <w:sz w:val="16"/>
          <w:szCs w:val="16"/>
          <w:color w:val="auto"/>
        </w:rPr>
        <w:t xml:space="preserve"> and LendingTree Loans are presented as discontinued operations in the accompanying consolidated balance sheets and consolidated statements of operations and cash flows for all periods presented. The analysis within Management's Discussion and Analysis of Financial Condition and Results of Operations reflects our continuing operations.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third-party leads, as there are fewer consumers in the marketplace and, accordingly, the supply of organic mortgage lead volume decreases.</w:t>
      </w:r>
    </w:p>
    <w:p>
      <w:pPr>
        <w:spacing w:after="0" w:line="5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According to Freddie Mac, 2012 began the year at what were then record low mortgage interest rates of approximately 3.92% on 30-year fixed rate mortgages. Mortgage interest rates declined throughout the year to new lows, reaching an average of 3.35% in December 2012. Beginning in January 2013, the trend of declining mortgage rates reversed and rates rose gradually through the first five months of the year. In June 2013, mortgage rates increased more significantly and by September 2013 had reached an average 4.49%, the highest level since mid-2011.</w:t>
      </w:r>
    </w:p>
    <w:p>
      <w:pPr>
        <w:spacing w:after="0" w:line="6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increase in mortgage interest rates during the third quarter of 2013 resulted in a 27% decline in the total dollar volume of mortgage originations as compared to the same period in 2012, according to Mortgage Bankers Association ("MBA") data. However, an 18% increase in the total dollar volume of mortgage originations during the first six months of 2013 was sufficient to more than slightly offset the impact of third quarter, such that the total dollar volume of mortgage originations is estimated to have increased 1% in the first nine months of 2013 as compared with the same period in 2012, according to MBA data. MBA is projecting the dollar value of mortgage originations to continue to decline in the fourth quarter of 2013, as compared to both the third quarter of 2013 and the fourth quarter of 2012.</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the third quarter of 2013, the average nationwide seasonally adjusted annual rate of existing homes sales increased 13% over the same period in 2012, according to the National Association of Realtors. In September 2013, the demand for existing homes remained high, resulting in year-over-year sale prices increasing by double digits for the tenth consecutive month. A decrease in distressed home sales as a percentage of total existing home sales accounts for some of the year-over-year growth in sales prices. However, notwithstanding recent improvements, the National Association of Realtors indicated that affordability is at a five-year low as home price increases have outpaced income growth and, according to the S&amp;P/Case-Shiller U.S. National Home Price Index, average home prices are still down 24% from the market's peak in early 2006.</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 of Assets of LendingTree Loans</w:t>
      </w:r>
    </w:p>
    <w:p>
      <w:pPr>
        <w:spacing w:after="0" w:line="17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On May 12, 2011, we entered into an asset purchase agreement with Discover Bank, a wholly-owned subsidiary of Discover Financial Services, which was amended on February 7, 2012, for the sale of substantially all of the operating assets of our LendingTree Loans business. We completed the sale on June 6, 2012.</w:t>
      </w:r>
    </w:p>
    <w:p>
      <w:pPr>
        <w:spacing w:after="0" w:line="73"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The asset purchase agreement, as amended, provided for a purchase price of approximately $55.9 million in cash for the assets, subject to certain conditions. Of this total purchase price, $8.0 million was paid prior to the closing, $37.9 million was paid upon the closing and the contingent amount of $10.0 million was paid in the second quarter of 2013 and recognized as a gain from sale of discontinued operations.</w:t>
      </w:r>
    </w:p>
    <w:p>
      <w:pPr>
        <w:spacing w:after="0" w:line="57"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Discover generally did not assume liabilities of the LendingTree Loans business that arose before the closing date, except for certain liabilities directly related to assets Discover acquired. Of the purchase price paid, $18.1 million is being held in escrow pending resolution of certain actual and/or contingent liabilities that remain with us following the sale. The escrowed amount is recorded as restricted cash at September 30, 2013.</w:t>
      </w:r>
    </w:p>
    <w:p>
      <w:pPr>
        <w:spacing w:after="0" w:line="5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also agreed to provide certain services to Discover over a term ending approximately seventeen months following the closing, or such earlier point as the agreed-upon services are satisfactorily completed. Those services were fully completed during the second quarter of 2013. Discover remains a network lender on our mortgage exchange following completion of the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Effective December 31, 2012, we expanded our reportable segments from one to two, consisting of mortgage and non-mortgage. The change was made as the convergence of economic similarities associated with our mortgage and non-mortgage operating segments was no longer expected. This decision was made in connection with the update of our annual budget and forecast, which occurs in the fourth quarter each year. The non-mortgage reportable segment consists of our auto, education home services, and other operating segments, which are not yet mature businesses and have been aggregated. Prior period results have been reclassified to conform with the change in reportable segments.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2013 and 2012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19"/>
              <w:spacing w:after="0" w:line="153" w:lineRule="exact"/>
              <w:rPr>
                <w:sz w:val="20"/>
                <w:szCs w:val="20"/>
                <w:color w:val="auto"/>
              </w:rPr>
            </w:pPr>
            <w:r>
              <w:rPr>
                <w:rFonts w:ascii="Arial" w:cs="Arial" w:eastAsia="Arial" w:hAnsi="Arial"/>
                <w:sz w:val="14"/>
                <w:szCs w:val="14"/>
                <w:b w:val="1"/>
                <w:bCs w:val="1"/>
                <w:color w:val="auto"/>
              </w:rPr>
              <w:t>$</w:t>
            </w:r>
          </w:p>
        </w:tc>
        <w:tc>
          <w:tcPr>
            <w:tcW w:w="1820" w:type="dxa"/>
            <w:vAlign w:val="bottom"/>
          </w:tcPr>
          <w:p>
            <w:pPr>
              <w:jc w:val="right"/>
              <w:ind w:right="756"/>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18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gridSpan w:val="2"/>
          </w:tcPr>
          <w:p>
            <w:pPr>
              <w:jc w:val="right"/>
              <w:ind w:right="936"/>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14,786</w:t>
            </w:r>
          </w:p>
        </w:tc>
        <w:tc>
          <w:tcPr>
            <w:tcW w:w="1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76 %</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19,471</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57"/>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37,343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14,047</w:t>
            </w:r>
          </w:p>
        </w:tc>
        <w:tc>
          <w:tcPr>
            <w:tcW w:w="1820" w:type="dxa"/>
            <w:vAlign w:val="bottom"/>
          </w:tcPr>
          <w:p>
            <w:pPr>
              <w:jc w:val="right"/>
              <w:ind w:right="56"/>
              <w:spacing w:after="0"/>
              <w:rPr>
                <w:sz w:val="20"/>
                <w:szCs w:val="20"/>
                <w:color w:val="auto"/>
              </w:rPr>
            </w:pPr>
            <w:r>
              <w:rPr>
                <w:rFonts w:ascii="Arial" w:cs="Arial" w:eastAsia="Arial" w:hAnsi="Arial"/>
                <w:sz w:val="18"/>
                <w:szCs w:val="18"/>
                <w:b w:val="1"/>
                <w:bCs w:val="1"/>
                <w:color w:val="auto"/>
              </w:rPr>
              <w:t>60 %</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23,296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5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jc w:val="right"/>
              <w:ind w:right="536"/>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19"/>
              <w:spacing w:after="0" w:line="153" w:lineRule="exact"/>
              <w:rPr>
                <w:sz w:val="20"/>
                <w:szCs w:val="20"/>
                <w:color w:val="auto"/>
              </w:rPr>
            </w:pPr>
            <w:r>
              <w:rPr>
                <w:rFonts w:ascii="Arial" w:cs="Arial" w:eastAsia="Arial" w:hAnsi="Arial"/>
                <w:sz w:val="14"/>
                <w:szCs w:val="14"/>
                <w:b w:val="1"/>
                <w:bCs w:val="1"/>
                <w:color w:val="auto"/>
              </w:rPr>
              <w:t>$</w:t>
            </w:r>
          </w:p>
        </w:tc>
        <w:tc>
          <w:tcPr>
            <w:tcW w:w="1820" w:type="dxa"/>
            <w:vAlign w:val="bottom"/>
          </w:tcPr>
          <w:p>
            <w:pPr>
              <w:jc w:val="right"/>
              <w:ind w:right="756"/>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18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gridSpan w:val="2"/>
          </w:tcPr>
          <w:p>
            <w:pPr>
              <w:jc w:val="right"/>
              <w:ind w:right="936"/>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93,305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53,436</w:t>
            </w:r>
          </w:p>
        </w:tc>
        <w:tc>
          <w:tcPr>
            <w:tcW w:w="1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134 %</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39,869</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(3,608)</w:t>
            </w:r>
          </w:p>
        </w:tc>
        <w:tc>
          <w:tcPr>
            <w:tcW w:w="1820" w:type="dxa"/>
            <w:vAlign w:val="bottom"/>
          </w:tcPr>
          <w:p>
            <w:pPr>
              <w:jc w:val="right"/>
              <w:ind w:right="56"/>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12,510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57"/>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102,829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49,328</w:t>
            </w:r>
          </w:p>
        </w:tc>
        <w:tc>
          <w:tcPr>
            <w:tcW w:w="1820" w:type="dxa"/>
            <w:vAlign w:val="bottom"/>
          </w:tcPr>
          <w:p>
            <w:pPr>
              <w:jc w:val="right"/>
              <w:ind w:right="56"/>
              <w:spacing w:after="0"/>
              <w:rPr>
                <w:sz w:val="20"/>
                <w:szCs w:val="20"/>
                <w:color w:val="auto"/>
              </w:rPr>
            </w:pPr>
            <w:r>
              <w:rPr>
                <w:rFonts w:ascii="Arial" w:cs="Arial" w:eastAsia="Arial" w:hAnsi="Arial"/>
                <w:sz w:val="18"/>
                <w:szCs w:val="18"/>
                <w:b w:val="1"/>
                <w:bCs w:val="1"/>
                <w:color w:val="auto"/>
              </w:rPr>
              <w:t>92 %</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53,501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Following the closing of the sale on June 6, 2012, of our LendingTree Loans business to Discover, leads that would previously have been provided to LendingTree Loans became available for sale on our mortgage exchange and such leads, therefore, added to revenue in our mortgage exchange business, with an associated increase in selling and marketing expense. Prior to the sale of our LendingTree Loans business, we did not record revenue in our mortgage exchange business for leads provided to LendingTree Loans. Instead, we used a cost-sharing approach for marketing expenses, whereby the mortgage exchange business and LendingTree Loans shared marketing expenses on a pro rata basis, based on the quantity of leads provided to network lenders versus matched with LendingTree Loans.</w:t>
      </w:r>
    </w:p>
    <w:p>
      <w:pPr>
        <w:spacing w:after="0" w:line="8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Revenue from our mortgage segment increased in the third quarter and first nine months of 2013 compared to the third quarter and first nine months of 2012, through an increase in sales capacity of both new and existing lenders and expansion of our marketing channels. In addition, revenue from our mortgage segment increased in the first nine months of 2013 compared to the first nine months of 2012 due to selling leads at market prices on our mortgage exchange in 2013 that would have been provided to Lending Tree Loans before sale completion in June 2012.</w:t>
      </w:r>
    </w:p>
    <w:p>
      <w:pPr>
        <w:spacing w:after="0" w:line="6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Consumers matched on our mortgage exchange increased by 66% in the third quarter of 2013 compared to the third quarter of 2012 and by 86% in the first nine months of 2013 compared to the first nine months of 2012. Additionally, our average revenue earned from network lenders per matched consumer increased by 8% in the third quarter of 2013 compared to the third quarter of 2012, and by 27% in the first nine months of 2013 compared to the first nine months of 2012.</w:t>
      </w:r>
    </w:p>
    <w:p>
      <w:pPr>
        <w:spacing w:after="0" w:line="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Revenue from our non-mortgage segment, which includes our auto, education, home services and other businesses, decreased in the third quarter and first nine months of 2013 compared to the third quarter and first nine months of 2012. The decrease in revenue in our non-mortgage segment is due primarily to our education and home services businesses. Our education business was impacted by the increased regulation affecting clients engaged in for-profit post-secondary education services which, in turn, affected their marketing practices. Revenue in our home services business was negatively impacted by our decision to discontinue printed directories of home service providers in 2013.</w:t>
      </w:r>
    </w:p>
    <w:p>
      <w:pPr>
        <w:spacing w:after="0" w:line="80"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Corporate revenue is primarily related to fees for certain marketing-related services provided in connection with the sale of our LendingTree Loans business. We completed these services in the second quarter of 2013 and, therefore, do not anticipate additional such revenue in future periods.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and website network hosting and server fees.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619"/>
              <w:spacing w:after="0" w:line="153"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756"/>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18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2"/>
          </w:tcPr>
          <w:p>
            <w:pPr>
              <w:jc w:val="right"/>
              <w:ind w:right="916"/>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4"/>
              </w:rPr>
              <w:t>1,545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666</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76 %</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92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19</w:t>
            </w:r>
          </w:p>
        </w:tc>
        <w:tc>
          <w:tcPr>
            <w:tcW w:w="1800" w:type="dxa"/>
            <w:vAlign w:val="bottom"/>
          </w:tcPr>
          <w:p>
            <w:pPr>
              <w:jc w:val="right"/>
              <w:ind w:right="76"/>
              <w:spacing w:after="0"/>
              <w:rPr>
                <w:sz w:val="20"/>
                <w:szCs w:val="20"/>
                <w:color w:val="auto"/>
              </w:rPr>
            </w:pPr>
            <w:r>
              <w:rPr>
                <w:rFonts w:ascii="Arial" w:cs="Arial" w:eastAsia="Arial" w:hAnsi="Arial"/>
                <w:sz w:val="18"/>
                <w:szCs w:val="18"/>
                <w:color w:val="auto"/>
              </w:rPr>
              <w:t>13 %</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(90)%</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w:t>
            </w: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1,733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502</w:t>
            </w:r>
          </w:p>
        </w:tc>
        <w:tc>
          <w:tcPr>
            <w:tcW w:w="180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b w:val="1"/>
                <w:bCs w:val="1"/>
                <w:color w:val="auto"/>
              </w:rPr>
              <w:t>41 %</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1,231</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0" w:type="dxa"/>
            <w:vAlign w:val="bottom"/>
          </w:tcPr>
          <w:p>
            <w:pPr>
              <w:spacing w:after="0"/>
              <w:rPr>
                <w:sz w:val="1"/>
                <w:szCs w:val="1"/>
                <w:color w:val="auto"/>
              </w:rPr>
            </w:pPr>
          </w:p>
        </w:tc>
      </w:tr>
      <w:tr>
        <w:trPr>
          <w:trHeight w:val="675"/>
        </w:trPr>
        <w:tc>
          <w:tcPr>
            <w:tcW w:w="5000" w:type="dxa"/>
            <w:vAlign w:val="bottom"/>
          </w:tcPr>
          <w:p>
            <w:pPr>
              <w:spacing w:after="0"/>
              <w:rPr>
                <w:sz w:val="24"/>
                <w:szCs w:val="24"/>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
          </w:tcPr>
          <w:p>
            <w:pPr>
              <w:jc w:val="center"/>
              <w:ind w:right="276"/>
              <w:spacing w:after="0"/>
              <w:rPr>
                <w:sz w:val="20"/>
                <w:szCs w:val="20"/>
                <w:color w:val="auto"/>
              </w:rPr>
            </w:pPr>
            <w:r>
              <w:rPr>
                <w:rFonts w:ascii="Arial" w:cs="Arial" w:eastAsia="Arial" w:hAnsi="Arial"/>
                <w:sz w:val="14"/>
                <w:szCs w:val="14"/>
                <w:b w:val="1"/>
                <w:bCs w:val="1"/>
                <w:color w:val="auto"/>
                <w:w w:val="92"/>
              </w:rPr>
              <w:t>Nine Months Ended September 30,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619"/>
              <w:spacing w:after="0" w:line="153" w:lineRule="exact"/>
              <w:rPr>
                <w:sz w:val="20"/>
                <w:szCs w:val="20"/>
                <w:color w:val="auto"/>
              </w:rPr>
            </w:pPr>
            <w:r>
              <w:rPr>
                <w:rFonts w:ascii="Arial" w:cs="Arial" w:eastAsia="Arial" w:hAnsi="Arial"/>
                <w:sz w:val="14"/>
                <w:szCs w:val="14"/>
                <w:b w:val="1"/>
                <w:bCs w:val="1"/>
                <w:color w:val="auto"/>
              </w:rPr>
              <w:t>$</w:t>
            </w:r>
          </w:p>
        </w:tc>
        <w:tc>
          <w:tcPr>
            <w:tcW w:w="1780" w:type="dxa"/>
            <w:vAlign w:val="bottom"/>
          </w:tcPr>
          <w:p>
            <w:pPr>
              <w:ind w:left="820"/>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17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2"/>
          </w:tcPr>
          <w:p>
            <w:pPr>
              <w:jc w:val="center"/>
              <w:ind w:right="276"/>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4,095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1,894</w:t>
            </w:r>
          </w:p>
        </w:tc>
        <w:tc>
          <w:tcPr>
            <w:tcW w:w="17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920" w:type="dxa"/>
            <w:vAlign w:val="bottom"/>
          </w:tcPr>
          <w:p>
            <w:pPr>
              <w:spacing w:after="0"/>
              <w:rPr>
                <w:sz w:val="21"/>
                <w:szCs w:val="21"/>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109</w:t>
            </w:r>
          </w:p>
        </w:tc>
        <w:tc>
          <w:tcPr>
            <w:tcW w:w="1780" w:type="dxa"/>
            <w:vAlign w:val="bottom"/>
          </w:tcPr>
          <w:p>
            <w:pPr>
              <w:ind w:left="128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206</w:t>
            </w:r>
          </w:p>
        </w:tc>
        <w:tc>
          <w:tcPr>
            <w:tcW w:w="178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5,039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2,209</w:t>
            </w:r>
          </w:p>
        </w:tc>
        <w:tc>
          <w:tcPr>
            <w:tcW w:w="1780" w:type="dxa"/>
            <w:vAlign w:val="bottom"/>
            <w:tcBorders>
              <w:bottom w:val="single" w:sz="8" w:color="CCEEFF"/>
            </w:tcBorders>
          </w:tcPr>
          <w:p>
            <w:pPr>
              <w:ind w:left="1280"/>
              <w:spacing w:after="0"/>
              <w:rPr>
                <w:sz w:val="20"/>
                <w:szCs w:val="20"/>
                <w:color w:val="auto"/>
              </w:rPr>
            </w:pPr>
            <w:r>
              <w:rPr>
                <w:rFonts w:ascii="Arial" w:cs="Arial" w:eastAsia="Arial" w:hAnsi="Arial"/>
                <w:sz w:val="18"/>
                <w:szCs w:val="18"/>
                <w:b w:val="1"/>
                <w:bCs w:val="1"/>
                <w:color w:val="auto"/>
              </w:rPr>
              <w:t>78%</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2,830</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Mortgage cost of revenue increased in the third quarter of 2013 from the third quarter of 2012, primarily due to increases of $0.2 million in credit card fees, $0.1 million in compensation and other employee-related costs and $0.1 million in credit scoring fees. Mortgage cost of revenue increased in the first nine months of 2013 from the same period in 2012, primarily due to increases of $0.4 million in third-party customer service fees, $0.6 million in credit card fees, $0.4 million in compensation and other employee-related costs and $0.1 million in credit scoring fees. In addition, the third quarter and first nine months of 2012 cost of revenue benefited by $0.2 million and $0.3 million, respectively, due to the discontinuance of consumer incentive rebates.</w:t>
      </w:r>
    </w:p>
    <w:p>
      <w:pPr>
        <w:spacing w:after="0" w:line="5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Non-mortgage cost of revenue increased in the third quarter and the first nine months of 2013 compared to the same period of 2012, primarily due to increases in server fees.</w:t>
      </w:r>
    </w:p>
    <w:p>
      <w:pPr>
        <w:spacing w:after="0" w:line="6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Corporate cost of revenue increased in the first nine months of 2013 from the first nine months of 2012 due to the costs associated with the marketing-related services provided in connection with the sale of our LendingTree Loans business.</w:t>
      </w:r>
    </w:p>
    <w:p>
      <w:pPr>
        <w:spacing w:after="0" w:line="6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However, the total cost of revenue as a percentage of revenue for both the third quarter and first nine months of 2013 is consistent with the third quarter and first nine months of 2012.</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jc w:val="center"/>
              <w:ind w:right="276"/>
              <w:spacing w:after="0"/>
              <w:rPr>
                <w:sz w:val="20"/>
                <w:szCs w:val="20"/>
                <w:color w:val="auto"/>
              </w:rPr>
            </w:pPr>
            <w:r>
              <w:rPr>
                <w:rFonts w:ascii="Arial" w:cs="Arial" w:eastAsia="Arial" w:hAnsi="Arial"/>
                <w:sz w:val="14"/>
                <w:szCs w:val="14"/>
                <w:b w:val="1"/>
                <w:bCs w:val="1"/>
                <w:color w:val="auto"/>
                <w:w w:val="94"/>
              </w:rPr>
              <w:t>Three Months Ended September 30,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w w:val="76"/>
              </w:rPr>
              <w:t>$</w:t>
            </w:r>
          </w:p>
        </w:tc>
        <w:tc>
          <w:tcPr>
            <w:tcW w:w="1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Change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2"/>
          </w:tcPr>
          <w:p>
            <w:pPr>
              <w:jc w:val="center"/>
              <w:ind w:right="276"/>
              <w:spacing w:after="0"/>
              <w:rPr>
                <w:sz w:val="20"/>
                <w:szCs w:val="20"/>
                <w:color w:val="auto"/>
              </w:rPr>
            </w:pPr>
            <w:r>
              <w:rPr>
                <w:rFonts w:ascii="Arial" w:cs="Arial" w:eastAsia="Arial" w:hAnsi="Arial"/>
                <w:sz w:val="14"/>
                <w:szCs w:val="14"/>
                <w:b w:val="1"/>
                <w:bCs w:val="1"/>
                <w:i w:val="1"/>
                <w:iCs w:val="1"/>
                <w:color w:val="auto"/>
                <w:w w:val="89"/>
              </w:rPr>
              <w:t>(Dollars 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23,072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13,317</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137 %</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9,755</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36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(2,047)</w:t>
            </w:r>
          </w:p>
        </w:tc>
        <w:tc>
          <w:tcPr>
            <w:tcW w:w="1800" w:type="dxa"/>
            <w:vAlign w:val="bottom"/>
          </w:tcPr>
          <w:p>
            <w:pPr>
              <w:jc w:val="right"/>
              <w:ind w:right="76"/>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186</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100 %</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selling and marketing expense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24,832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11,456</w:t>
            </w:r>
          </w:p>
        </w:tc>
        <w:tc>
          <w:tcPr>
            <w:tcW w:w="180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b w:val="1"/>
                <w:bCs w:val="1"/>
                <w:color w:val="auto"/>
              </w:rPr>
              <w:t>86 %</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13,376</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548"/>
        </w:trPr>
        <w:tc>
          <w:tcPr>
            <w:tcW w:w="5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center"/>
              <w:ind w:right="276"/>
              <w:spacing w:after="0"/>
              <w:rPr>
                <w:sz w:val="20"/>
                <w:szCs w:val="20"/>
                <w:color w:val="auto"/>
              </w:rPr>
            </w:pPr>
            <w:r>
              <w:rPr>
                <w:rFonts w:ascii="Arial" w:cs="Arial" w:eastAsia="Arial" w:hAnsi="Arial"/>
                <w:sz w:val="14"/>
                <w:szCs w:val="14"/>
                <w:b w:val="1"/>
                <w:bCs w:val="1"/>
                <w:color w:val="auto"/>
                <w:w w:val="93"/>
              </w:rPr>
              <w:t>Nine Months Ended September 30,</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w w:val="76"/>
              </w:rPr>
              <w:t>$</w:t>
            </w:r>
          </w:p>
        </w:tc>
        <w:tc>
          <w:tcPr>
            <w:tcW w:w="1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Change</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2"/>
          </w:tcPr>
          <w:p>
            <w:pPr>
              <w:jc w:val="center"/>
              <w:ind w:right="276"/>
              <w:spacing w:after="0"/>
              <w:rPr>
                <w:sz w:val="20"/>
                <w:szCs w:val="20"/>
                <w:color w:val="auto"/>
              </w:rPr>
            </w:pPr>
            <w:r>
              <w:rPr>
                <w:rFonts w:ascii="Arial" w:cs="Arial" w:eastAsia="Arial" w:hAnsi="Arial"/>
                <w:sz w:val="14"/>
                <w:szCs w:val="14"/>
                <w:b w:val="1"/>
                <w:bCs w:val="1"/>
                <w:i w:val="1"/>
                <w:iCs w:val="1"/>
                <w:color w:val="auto"/>
                <w:w w:val="89"/>
              </w:rPr>
              <w:t>(Dollars 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62,351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38,643</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163 %</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36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(5,358)</w:t>
            </w:r>
          </w:p>
        </w:tc>
        <w:tc>
          <w:tcPr>
            <w:tcW w:w="1800" w:type="dxa"/>
            <w:vAlign w:val="bottom"/>
          </w:tcPr>
          <w:p>
            <w:pPr>
              <w:jc w:val="right"/>
              <w:ind w:right="76"/>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191</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103 %</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selling and marketing expense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68,473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33,476</w:t>
            </w:r>
          </w:p>
        </w:tc>
        <w:tc>
          <w:tcPr>
            <w:tcW w:w="180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b w:val="1"/>
                <w:bCs w:val="1"/>
                <w:color w:val="auto"/>
              </w:rPr>
              <w:t>96 %</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34,997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Mortgage selling and marketing expense increased immediately following the sale of substantially all of the operating assets of our LendingTree Loans business on June 6, 2012, due to our no longer allocating portions of such expenses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former LendingTree Loans business. Selling and marketing expense of $6.3 million was allocated to LendingTree Loans during the first nine months of 2012.</w:t>
      </w:r>
    </w:p>
    <w:p>
      <w:pPr>
        <w:spacing w:after="0" w:line="6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increases in mortgage selling and marketing expense in the third quarter of 2013 compared to the third quarter of 2012 and the first nine months of 2013 compared to the first nine months of 2012 are primarily due to increases of $10.7 million and $31.4 million, respectively, in advertising expense discussed below.</w:t>
      </w:r>
    </w:p>
    <w:p>
      <w:pPr>
        <w:spacing w:after="0" w:line="12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increases in mortgage advertising expense correspond to 66% and 86% increases in consumers matched with network lenders in the third quarter 2013 and the first nine months of 2013 compared to the same periods in 2012, respectively.</w:t>
      </w:r>
    </w:p>
    <w:p>
      <w:pPr>
        <w:spacing w:after="0" w:line="6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Non-mortgage selling and marketing expense decreased in the third quarter and first nine months of 2013 from the third quarter and first nine months of 2012, primarily due to decreases of $1.9 million and $5.1 million, respectively, in on-line and direct marketing.</w:t>
      </w:r>
    </w:p>
    <w:p>
      <w:pPr>
        <w:spacing w:after="0" w:line="6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Total selling and marketing expense as a percentage of revenue increased in the third quarter and first nine months of 2013 compared to the third quarter and first nine months of 2012, primarily due to the new national advertising campaign for our LendingTree brand launched in the second quarter of 2013.</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center"/>
              <w:ind w:right="322"/>
              <w:spacing w:after="0"/>
              <w:rPr>
                <w:sz w:val="20"/>
                <w:szCs w:val="20"/>
                <w:color w:val="auto"/>
              </w:rPr>
            </w:pPr>
            <w:r>
              <w:rPr>
                <w:rFonts w:ascii="Arial" w:cs="Arial" w:eastAsia="Arial" w:hAnsi="Arial"/>
                <w:sz w:val="14"/>
                <w:szCs w:val="14"/>
                <w:b w:val="1"/>
                <w:bCs w:val="1"/>
                <w:color w:val="auto"/>
                <w:w w:val="93"/>
              </w:rPr>
              <w:t>Three Months Ended September 30,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619"/>
              <w:spacing w:after="0" w:line="153" w:lineRule="exact"/>
              <w:rPr>
                <w:sz w:val="20"/>
                <w:szCs w:val="20"/>
                <w:color w:val="auto"/>
              </w:rPr>
            </w:pPr>
            <w:r>
              <w:rPr>
                <w:rFonts w:ascii="Arial" w:cs="Arial" w:eastAsia="Arial" w:hAnsi="Arial"/>
                <w:sz w:val="14"/>
                <w:szCs w:val="14"/>
                <w:b w:val="1"/>
                <w:bCs w:val="1"/>
                <w:color w:val="auto"/>
              </w:rPr>
              <w:t>$</w:t>
            </w:r>
          </w:p>
        </w:tc>
        <w:tc>
          <w:tcPr>
            <w:tcW w:w="18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3"/>
          </w:tcPr>
          <w:p>
            <w:pPr>
              <w:jc w:val="center"/>
              <w:ind w:right="322"/>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w:t>
            </w: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16,844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7,650</w:t>
            </w:r>
          </w:p>
        </w:tc>
        <w:tc>
          <w:tcPr>
            <w:tcW w:w="18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83 %</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Broadcast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3,832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3,220</w:t>
            </w:r>
          </w:p>
        </w:tc>
        <w:tc>
          <w:tcPr>
            <w:tcW w:w="1820" w:type="dxa"/>
            <w:vAlign w:val="bottom"/>
            <w:gridSpan w:val="2"/>
          </w:tcPr>
          <w:p>
            <w:pPr>
              <w:jc w:val="right"/>
              <w:ind w:right="82"/>
              <w:spacing w:after="0"/>
              <w:rPr>
                <w:sz w:val="20"/>
                <w:szCs w:val="20"/>
                <w:color w:val="auto"/>
              </w:rPr>
            </w:pPr>
            <w:r>
              <w:rPr>
                <w:rFonts w:ascii="Arial" w:cs="Arial" w:eastAsia="Arial" w:hAnsi="Arial"/>
                <w:sz w:val="18"/>
                <w:szCs w:val="18"/>
                <w:color w:val="auto"/>
              </w:rPr>
              <w:t>526 %</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57"/>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Total advertising expense</w:t>
            </w: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22,276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10,704</w:t>
            </w:r>
          </w:p>
        </w:tc>
        <w:tc>
          <w:tcPr>
            <w:tcW w:w="1820" w:type="dxa"/>
            <w:vAlign w:val="bottom"/>
            <w:gridSpan w:val="2"/>
          </w:tcPr>
          <w:p>
            <w:pPr>
              <w:jc w:val="right"/>
              <w:ind w:right="62"/>
              <w:spacing w:after="0"/>
              <w:rPr>
                <w:sz w:val="20"/>
                <w:szCs w:val="20"/>
                <w:color w:val="auto"/>
              </w:rPr>
            </w:pPr>
            <w:r>
              <w:rPr>
                <w:rFonts w:ascii="Arial" w:cs="Arial" w:eastAsia="Arial" w:hAnsi="Arial"/>
                <w:sz w:val="18"/>
                <w:szCs w:val="18"/>
                <w:b w:val="1"/>
                <w:bCs w:val="1"/>
                <w:color w:val="auto"/>
              </w:rPr>
              <w:t>92 %</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11,572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center"/>
              <w:ind w:right="282"/>
              <w:spacing w:after="0"/>
              <w:rPr>
                <w:sz w:val="20"/>
                <w:szCs w:val="20"/>
                <w:color w:val="auto"/>
              </w:rPr>
            </w:pPr>
            <w:r>
              <w:rPr>
                <w:rFonts w:ascii="Arial" w:cs="Arial" w:eastAsia="Arial" w:hAnsi="Arial"/>
                <w:sz w:val="14"/>
                <w:szCs w:val="14"/>
                <w:b w:val="1"/>
                <w:bCs w:val="1"/>
                <w:color w:val="auto"/>
                <w:w w:val="92"/>
              </w:rPr>
              <w:t>Nine Months Ended September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579"/>
              <w:spacing w:after="0" w:line="153" w:lineRule="exact"/>
              <w:rPr>
                <w:sz w:val="20"/>
                <w:szCs w:val="20"/>
                <w:color w:val="auto"/>
              </w:rPr>
            </w:pPr>
            <w:r>
              <w:rPr>
                <w:rFonts w:ascii="Arial" w:cs="Arial" w:eastAsia="Arial" w:hAnsi="Arial"/>
                <w:sz w:val="14"/>
                <w:szCs w:val="14"/>
                <w:b w:val="1"/>
                <w:bCs w:val="1"/>
                <w:color w:val="auto"/>
              </w:rPr>
              <w:t>$</w:t>
            </w:r>
          </w:p>
        </w:tc>
        <w:tc>
          <w:tcPr>
            <w:tcW w:w="18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3"/>
          </w:tcPr>
          <w:p>
            <w:pPr>
              <w:jc w:val="center"/>
              <w:ind w:right="282"/>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w:t>
            </w:r>
          </w:p>
        </w:tc>
        <w:tc>
          <w:tcPr>
            <w:tcW w:w="3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22,744</w:t>
            </w:r>
          </w:p>
        </w:tc>
        <w:tc>
          <w:tcPr>
            <w:tcW w:w="18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98%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23,293</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Broadcast</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4,989</w:t>
            </w:r>
          </w:p>
        </w:tc>
        <w:tc>
          <w:tcPr>
            <w:tcW w:w="1820" w:type="dxa"/>
            <w:vAlign w:val="bottom"/>
            <w:gridSpan w:val="2"/>
          </w:tcPr>
          <w:p>
            <w:pPr>
              <w:jc w:val="right"/>
              <w:ind w:right="82"/>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820" w:type="dxa"/>
            <w:vAlign w:val="bottom"/>
            <w:tcBorders>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129%</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57"/>
        </w:trPr>
        <w:tc>
          <w:tcPr>
            <w:tcW w:w="5060" w:type="dxa"/>
            <w:vAlign w:val="bottom"/>
          </w:tcPr>
          <w:p>
            <w:pPr>
              <w:ind w:left="180"/>
              <w:spacing w:after="0"/>
              <w:rPr>
                <w:sz w:val="20"/>
                <w:szCs w:val="20"/>
                <w:color w:val="auto"/>
              </w:rPr>
            </w:pPr>
            <w:r>
              <w:rPr>
                <w:rFonts w:ascii="Arial" w:cs="Arial" w:eastAsia="Arial" w:hAnsi="Arial"/>
                <w:sz w:val="18"/>
                <w:szCs w:val="18"/>
                <w:b w:val="1"/>
                <w:bCs w:val="1"/>
                <w:color w:val="auto"/>
              </w:rPr>
              <w:t>Total advertising expense</w:t>
            </w: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60,607</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31,442</w:t>
            </w:r>
          </w:p>
        </w:tc>
        <w:tc>
          <w:tcPr>
            <w:tcW w:w="40" w:type="dxa"/>
            <w:vAlign w:val="bottom"/>
            <w:tcBorders>
              <w:top w:val="single" w:sz="8" w:color="auto"/>
              <w:bottom w:val="single" w:sz="8" w:color="auto"/>
            </w:tcBorders>
          </w:tcPr>
          <w:p>
            <w:pPr>
              <w:spacing w:after="0"/>
              <w:rPr>
                <w:sz w:val="22"/>
                <w:szCs w:val="22"/>
                <w:color w:val="auto"/>
              </w:rPr>
            </w:pPr>
          </w:p>
        </w:tc>
        <w:tc>
          <w:tcPr>
            <w:tcW w:w="1780" w:type="dxa"/>
            <w:vAlign w:val="bottom"/>
          </w:tcPr>
          <w:p>
            <w:pPr>
              <w:jc w:val="right"/>
              <w:ind w:right="62"/>
              <w:spacing w:after="0"/>
              <w:rPr>
                <w:sz w:val="20"/>
                <w:szCs w:val="20"/>
                <w:color w:val="auto"/>
              </w:rPr>
            </w:pPr>
            <w:r>
              <w:rPr>
                <w:rFonts w:ascii="Arial" w:cs="Arial" w:eastAsia="Arial" w:hAnsi="Arial"/>
                <w:sz w:val="18"/>
                <w:szCs w:val="18"/>
                <w:b w:val="1"/>
                <w:bCs w:val="1"/>
                <w:color w:val="auto"/>
              </w:rPr>
              <w:t>108%</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29,165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We increased our advertising expenditures both online and in traditional media in order to generate additional mortgage lead volume to meet the increasing demand of network lenders on our mortgage exchange. In addition, we further increased our broadcast spend to support the launch of our new national advertising campaign for our LendingTree brand, which commenced in the second quarter of 2013. We also recognized increased advertising expense in the first nine months of 2013 as compared to the first nine months of 2012, due to the elimination of the allocation of advertising expense to our LendingTree Loans business following the sale of substantially all of the operating assets of our LendingTree Loans business on June 6, 2012.</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3"/>
              </w:rPr>
              <w:t>Three Months Ended September 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19"/>
              <w:spacing w:after="0" w:line="153"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3"/>
              </w:rPr>
              <w:t>Change</w:t>
            </w: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4"/>
                <w:szCs w:val="14"/>
                <w:b w:val="1"/>
                <w:bCs w:val="1"/>
                <w:i w:val="1"/>
                <w:iCs w:val="1"/>
                <w:color w:val="auto"/>
                <w:w w:val="90"/>
              </w:rPr>
              <w:t>(Dollars 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3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711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Non-mortgage</w:t>
            </w:r>
          </w:p>
        </w:tc>
        <w:tc>
          <w:tcPr>
            <w:tcW w:w="34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53</w:t>
            </w:r>
          </w:p>
        </w:tc>
        <w:tc>
          <w:tcPr>
            <w:tcW w:w="1800" w:type="dxa"/>
            <w:vAlign w:val="bottom"/>
          </w:tcPr>
          <w:p>
            <w:pPr>
              <w:jc w:val="right"/>
              <w:ind w:right="76"/>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4,295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431</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11 %</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97"/>
        </w:trPr>
        <w:tc>
          <w:tcPr>
            <w:tcW w:w="5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general and administrative expense</w:t>
            </w:r>
          </w:p>
        </w:tc>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5,610</w:t>
            </w: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78</w:t>
            </w:r>
          </w:p>
        </w:tc>
        <w:tc>
          <w:tcPr>
            <w:tcW w:w="180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b w:val="1"/>
                <w:bCs w:val="1"/>
                <w:color w:val="auto"/>
              </w:rPr>
              <w:t>1 %</w:t>
            </w:r>
          </w:p>
        </w:tc>
        <w:tc>
          <w:tcPr>
            <w:tcW w:w="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5,532</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gridSpan w:val="2"/>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0" w:type="dxa"/>
            <w:vAlign w:val="bottom"/>
          </w:tcPr>
          <w:p>
            <w:pPr>
              <w:spacing w:after="0"/>
              <w:rPr>
                <w:sz w:val="1"/>
                <w:szCs w:val="1"/>
                <w:color w:val="auto"/>
              </w:rPr>
            </w:pPr>
          </w:p>
        </w:tc>
      </w:tr>
      <w:tr>
        <w:trPr>
          <w:trHeight w:val="548"/>
        </w:trPr>
        <w:tc>
          <w:tcPr>
            <w:tcW w:w="5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3"/>
              </w:rPr>
              <w:t>Nine Months Ended September 30,</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center"/>
              <w:ind w:right="239"/>
              <w:spacing w:after="0" w:line="153" w:lineRule="exact"/>
              <w:rPr>
                <w:sz w:val="20"/>
                <w:szCs w:val="20"/>
                <w:color w:val="auto"/>
              </w:rPr>
            </w:pPr>
            <w:r>
              <w:rPr>
                <w:rFonts w:ascii="Arial" w:cs="Arial" w:eastAsia="Arial" w:hAnsi="Arial"/>
                <w:sz w:val="14"/>
                <w:szCs w:val="14"/>
                <w:b w:val="1"/>
                <w:bCs w:val="1"/>
                <w:color w:val="auto"/>
                <w:w w:val="76"/>
              </w:rPr>
              <w:t>$</w:t>
            </w:r>
          </w:p>
        </w:tc>
        <w:tc>
          <w:tcPr>
            <w:tcW w:w="1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Change</w:t>
            </w:r>
          </w:p>
        </w:tc>
        <w:tc>
          <w:tcPr>
            <w:tcW w:w="18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i w:val="1"/>
                <w:iCs w:val="1"/>
                <w:color w:val="auto"/>
                <w:w w:val="89"/>
              </w:rPr>
              <w:t>(Dollars 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3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2,563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1 %</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Non-mortgage</w:t>
            </w:r>
          </w:p>
        </w:tc>
        <w:tc>
          <w:tcPr>
            <w:tcW w:w="34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1,534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1800" w:type="dxa"/>
            <w:vAlign w:val="bottom"/>
          </w:tcPr>
          <w:p>
            <w:pPr>
              <w:jc w:val="right"/>
              <w:ind w:right="76"/>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13,720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1,719</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14 %</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general and administrative expense</w:t>
            </w:r>
          </w:p>
        </w:tc>
        <w:tc>
          <w:tcPr>
            <w:tcW w:w="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17,817</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1,651</w:t>
            </w:r>
          </w:p>
        </w:tc>
        <w:tc>
          <w:tcPr>
            <w:tcW w:w="180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b w:val="1"/>
                <w:bCs w:val="1"/>
                <w:color w:val="auto"/>
              </w:rPr>
              <w:t>10 %</w:t>
            </w:r>
          </w:p>
        </w:tc>
        <w:tc>
          <w:tcPr>
            <w:tcW w:w="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16,166</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Mortgage general and administrative expense decreased in the third quarter of 2013 from the third quarter of 2012, primarily due to a decrease in loss on disposal of assets of $0.3 million and a decrease in compensation and benefits of $0.2 million. In contrast, corporate general and administrative expense increased during the same period, primarily due to increased compensation and benefits of $0.3 million and an increase in professional fees of $0.2 million.</w:t>
      </w:r>
    </w:p>
    <w:p>
      <w:pPr>
        <w:spacing w:after="0" w:line="3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Mortgage and non-mortgage general and administrative expense was relatively consistent in the first nine months of 2013 and the first nine months of 2012. Corporate general and administrative expense increased in the first nine months of 2013 primarily due a compensation charge of $0.9 million related to a discretionary cash bonus payment to employee stock option holders and increases in other compensation and benefits.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However, the relatively consistent general and administrative expense in the third quarter of 2013 and increased general and administrative expense in the first nine months of 2013 were each spread over proportionately greater revenue during the periods, resulting in an improvement in general and administrative expense as a percentage of revenue.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that are not capitalized, for personnel engaged in the design, development, testing and enhancement of technology.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tcPr>
          <w:p>
            <w:pPr>
              <w:jc w:val="right"/>
              <w:ind w:right="476"/>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599"/>
              <w:spacing w:after="0" w:line="153" w:lineRule="exact"/>
              <w:rPr>
                <w:sz w:val="20"/>
                <w:szCs w:val="20"/>
                <w:color w:val="auto"/>
              </w:rPr>
            </w:pPr>
            <w:r>
              <w:rPr>
                <w:rFonts w:ascii="Arial" w:cs="Arial" w:eastAsia="Arial" w:hAnsi="Arial"/>
                <w:sz w:val="14"/>
                <w:szCs w:val="14"/>
                <w:b w:val="1"/>
                <w:bCs w:val="1"/>
                <w:color w:val="auto"/>
              </w:rPr>
              <w:t>$</w:t>
            </w:r>
          </w:p>
        </w:tc>
        <w:tc>
          <w:tcPr>
            <w:tcW w:w="1820" w:type="dxa"/>
            <w:vAlign w:val="bottom"/>
          </w:tcPr>
          <w:p>
            <w:pPr>
              <w:jc w:val="right"/>
              <w:ind w:right="756"/>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18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gridSpan w:val="2"/>
          </w:tcPr>
          <w:p>
            <w:pPr>
              <w:jc w:val="right"/>
              <w:ind w:right="936"/>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449</w:t>
            </w:r>
          </w:p>
        </w:tc>
        <w:tc>
          <w:tcPr>
            <w:tcW w:w="1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83 %</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92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820" w:type="dxa"/>
            <w:vAlign w:val="bottom"/>
          </w:tcPr>
          <w:p>
            <w:pPr>
              <w:jc w:val="right"/>
              <w:ind w:right="76"/>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product development</w:t>
            </w: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1,217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364</w:t>
            </w:r>
          </w:p>
        </w:tc>
        <w:tc>
          <w:tcPr>
            <w:tcW w:w="182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b w:val="1"/>
                <w:bCs w:val="1"/>
                <w:color w:val="auto"/>
              </w:rPr>
              <w:t>43 %</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853</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0" w:type="dxa"/>
            <w:vAlign w:val="bottom"/>
          </w:tcPr>
          <w:p>
            <w:pPr>
              <w:spacing w:after="0"/>
              <w:rPr>
                <w:sz w:val="1"/>
                <w:szCs w:val="1"/>
                <w:color w:val="auto"/>
              </w:rPr>
            </w:pPr>
          </w:p>
        </w:tc>
      </w:tr>
      <w:tr>
        <w:trPr>
          <w:trHeight w:val="675"/>
        </w:trPr>
        <w:tc>
          <w:tcPr>
            <w:tcW w:w="5000" w:type="dxa"/>
            <w:vAlign w:val="bottom"/>
          </w:tcPr>
          <w:p>
            <w:pPr>
              <w:spacing w:after="0"/>
              <w:rPr>
                <w:sz w:val="24"/>
                <w:szCs w:val="24"/>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619"/>
              <w:spacing w:after="0" w:line="153"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756"/>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Change</w:t>
            </w:r>
          </w:p>
        </w:tc>
        <w:tc>
          <w:tcPr>
            <w:tcW w:w="18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2"/>
          </w:tcPr>
          <w:p>
            <w:pPr>
              <w:jc w:val="right"/>
              <w:ind w:right="916"/>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4"/>
              </w:rPr>
              <w:t>3,166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1,684</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114 %</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92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1800" w:type="dxa"/>
            <w:vAlign w:val="bottom"/>
          </w:tcPr>
          <w:p>
            <w:pPr>
              <w:jc w:val="right"/>
              <w:ind w:right="76"/>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100 %</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product development</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3,914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1,531</w:t>
            </w:r>
          </w:p>
        </w:tc>
        <w:tc>
          <w:tcPr>
            <w:tcW w:w="180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b w:val="1"/>
                <w:bCs w:val="1"/>
                <w:color w:val="auto"/>
              </w:rPr>
              <w:t>64 %</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2,383</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Product development expense increased in the third quarter and in the first nine months of 2013 as compared to the same periods of 2012, primarily due to increases in compensation and other employee-related costs. We launched new products in 2013, such as our LoanExplorer "Rate Table" and reverse mortgage and credit card comparison offerings, as well as the enhancement of existing tools and products, such as our mobile experience and personal loan product.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Depreciation expense was consistent at $0.9 million in the third quarters of 2013 and 2012. Depreciation expense decreased $0.6 million, to $2.6 million in the first nine months of 2013, from $3.2 million in the first nine months of 2012. The decrease was primarily due to certain fixed assets that fully depreciated in 2012.</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Litigation settlements and contingencies consists of expenses related to actual or anticipated litigation settlements, in addition to legal fees incurred in connection with various patent litigations we are pursuing. During the third quarter and first nine months of 2013, we recorded $2.9 million and $6.8 million, respectively. During the third quarter and first nine months 2012, we recorded $0.5 million and $0.9 million, respectively. The expenses in 2013 were due primarily to legal fees incurred in connection with various patent litigations we are currently pursuing</w:t>
      </w:r>
      <w:r>
        <w:rPr>
          <w:rFonts w:ascii="Arial" w:cs="Arial" w:eastAsia="Arial" w:hAnsi="Arial"/>
          <w:sz w:val="17"/>
          <w:szCs w:val="17"/>
          <w:b w:val="1"/>
          <w:bCs w:val="1"/>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jc w:val="right"/>
              <w:ind w:right="619"/>
              <w:spacing w:after="0" w:line="153" w:lineRule="exact"/>
              <w:rPr>
                <w:sz w:val="20"/>
                <w:szCs w:val="20"/>
                <w:color w:val="auto"/>
              </w:rPr>
            </w:pPr>
            <w:r>
              <w:rPr>
                <w:rFonts w:ascii="Arial" w:cs="Arial" w:eastAsia="Arial" w:hAnsi="Arial"/>
                <w:sz w:val="14"/>
                <w:szCs w:val="14"/>
                <w:b w:val="1"/>
                <w:bCs w:val="1"/>
                <w:color w:val="auto"/>
              </w:rPr>
              <w:t>$</w:t>
            </w:r>
          </w:p>
        </w:tc>
        <w:tc>
          <w:tcPr>
            <w:tcW w:w="1820" w:type="dxa"/>
            <w:vAlign w:val="bottom"/>
          </w:tcPr>
          <w:p>
            <w:pPr>
              <w:jc w:val="right"/>
              <w:ind w:right="756"/>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18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80" w:type="dxa"/>
            <w:vAlign w:val="bottom"/>
            <w:gridSpan w:val="2"/>
          </w:tcPr>
          <w:p>
            <w:pPr>
              <w:jc w:val="right"/>
              <w:ind w:right="936"/>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807</w:t>
            </w:r>
          </w:p>
        </w:tc>
        <w:tc>
          <w:tcPr>
            <w:tcW w:w="1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12 %</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3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1,737</w:t>
            </w:r>
          </w:p>
        </w:tc>
        <w:tc>
          <w:tcPr>
            <w:tcW w:w="1820" w:type="dxa"/>
            <w:vAlign w:val="bottom"/>
          </w:tcPr>
          <w:p>
            <w:pPr>
              <w:jc w:val="right"/>
              <w:ind w:right="96"/>
              <w:spacing w:after="0"/>
              <w:rPr>
                <w:sz w:val="20"/>
                <w:szCs w:val="20"/>
                <w:color w:val="auto"/>
              </w:rPr>
            </w:pPr>
            <w:r>
              <w:rPr>
                <w:rFonts w:ascii="Arial" w:cs="Arial" w:eastAsia="Arial" w:hAnsi="Arial"/>
                <w:sz w:val="18"/>
                <w:szCs w:val="18"/>
                <w:color w:val="auto"/>
              </w:rPr>
              <w:t>97 %</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(75)%</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97"/>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222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182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b w:val="1"/>
                <w:bCs w:val="1"/>
                <w:color w:val="auto"/>
              </w:rPr>
              <w:t>(72)%</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807</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Operating income decreased in the third quarter of 2013 compared to the third quarter of 2012 despite an increase in revenue of $14.0 million, primarily due to increases in cost of revenue of $0.5 million, selling and marketing expense of $11.5 million, product development expense of $0.4 million and litigation settlements and contingencies of $2.4 million.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599"/>
              <w:spacing w:after="0" w:line="153" w:lineRule="exact"/>
              <w:rPr>
                <w:sz w:val="20"/>
                <w:szCs w:val="20"/>
                <w:color w:val="auto"/>
              </w:rPr>
            </w:pPr>
            <w:r>
              <w:rPr>
                <w:rFonts w:ascii="Arial" w:cs="Arial" w:eastAsia="Arial" w:hAnsi="Arial"/>
                <w:sz w:val="14"/>
                <w:szCs w:val="14"/>
                <w:b w:val="1"/>
                <w:bCs w:val="1"/>
                <w:color w:val="auto"/>
              </w:rPr>
              <w:t>$</w:t>
            </w:r>
          </w:p>
        </w:tc>
        <w:tc>
          <w:tcPr>
            <w:tcW w:w="1800" w:type="dxa"/>
            <w:vAlign w:val="bottom"/>
          </w:tcPr>
          <w:p>
            <w:pPr>
              <w:jc w:val="right"/>
              <w:ind w:right="736"/>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18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2"/>
          </w:tcPr>
          <w:p>
            <w:pPr>
              <w:jc w:val="right"/>
              <w:ind w:right="916"/>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20,030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11,279</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129 %</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8,751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Non-mortgage</w:t>
            </w:r>
          </w:p>
        </w:tc>
        <w:tc>
          <w:tcPr>
            <w:tcW w:w="38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2,348</w:t>
            </w:r>
          </w:p>
        </w:tc>
        <w:tc>
          <w:tcPr>
            <w:tcW w:w="1800" w:type="dxa"/>
            <w:vAlign w:val="bottom"/>
          </w:tcPr>
          <w:p>
            <w:pPr>
              <w:jc w:val="right"/>
              <w:ind w:right="76"/>
              <w:spacing w:after="0"/>
              <w:rPr>
                <w:sz w:val="20"/>
                <w:szCs w:val="20"/>
                <w:color w:val="auto"/>
              </w:rPr>
            </w:pPr>
            <w:r>
              <w:rPr>
                <w:rFonts w:ascii="Arial" w:cs="Arial" w:eastAsia="Arial" w:hAnsi="Arial"/>
                <w:sz w:val="18"/>
                <w:szCs w:val="18"/>
                <w:color w:val="auto"/>
              </w:rPr>
              <w:t>62 %</w:t>
            </w:r>
          </w:p>
        </w:tc>
        <w:tc>
          <w:tcPr>
            <w:tcW w:w="38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(20,661)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18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(69)%</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(12,197)</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(2,069)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5,163</w:t>
            </w:r>
          </w:p>
        </w:tc>
        <w:tc>
          <w:tcPr>
            <w:tcW w:w="1800" w:type="dxa"/>
            <w:vAlign w:val="bottom"/>
            <w:tcBorders>
              <w:bottom w:val="single" w:sz="8" w:color="CCEEFF"/>
            </w:tcBorders>
          </w:tcPr>
          <w:p>
            <w:pPr>
              <w:jc w:val="right"/>
              <w:ind w:right="56"/>
              <w:spacing w:after="0"/>
              <w:rPr>
                <w:sz w:val="20"/>
                <w:szCs w:val="20"/>
                <w:color w:val="auto"/>
              </w:rPr>
            </w:pPr>
            <w:r>
              <w:rPr>
                <w:rFonts w:ascii="Arial" w:cs="Arial" w:eastAsia="Arial" w:hAnsi="Arial"/>
                <w:sz w:val="18"/>
                <w:szCs w:val="18"/>
                <w:b w:val="1"/>
                <w:bCs w:val="1"/>
                <w:color w:val="auto"/>
              </w:rPr>
              <w:t>71 %</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(7,232)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i w:val="1"/>
                <w:iCs w:val="1"/>
                <w:color w:val="auto"/>
              </w:rPr>
              <w:t>As a percentage of total revenue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Operating loss decreased significantly in the first nine months of 2013, compared to the first nine months of 2012, primarily due to the increase in revenue of $49.3 million, partially offset by increases in cost of revenue of $2.2 million, selling</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marketing expense of $33.5 million, general and administrative expense of $1.7 million, product development expense of $1.5 million and litigation settlements and contingencies of $5.9 million.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Earnings Before Interest, Taxes, Depreciation and Amortization</w:t>
      </w:r>
    </w:p>
    <w:p>
      <w:pPr>
        <w:spacing w:after="0" w:line="17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"Tree.com's Principles of Financial Reporting" below. The following table is a reconciliation of Adjusted EBITDA to net income (loss) for continuing operations by segment.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September 30, 2013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Mortgage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Non-Mortgage</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center"/>
              <w:ind w:left="814"/>
              <w:spacing w:after="0"/>
              <w:rPr>
                <w:sz w:val="20"/>
                <w:szCs w:val="20"/>
                <w:color w:val="auto"/>
              </w:rPr>
            </w:pPr>
            <w:r>
              <w:rPr>
                <w:rFonts w:ascii="Arial" w:cs="Arial" w:eastAsia="Arial" w:hAnsi="Arial"/>
                <w:sz w:val="14"/>
                <w:szCs w:val="14"/>
                <w:b w:val="1"/>
                <w:bCs w:val="1"/>
                <w:i w:val="1"/>
                <w:iCs w:val="1"/>
                <w:color w:val="auto"/>
                <w:w w:val="89"/>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5,364</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 September 30, 2012</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Mortgage</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Non-Mortgage</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tcPr>
          <w:p>
            <w:pPr>
              <w:jc w:val="center"/>
              <w:ind w:left="814"/>
              <w:spacing w:after="0"/>
              <w:rPr>
                <w:sz w:val="20"/>
                <w:szCs w:val="20"/>
                <w:color w:val="auto"/>
              </w:rPr>
            </w:pPr>
            <w:r>
              <w:rPr>
                <w:rFonts w:ascii="Arial" w:cs="Arial" w:eastAsia="Arial" w:hAnsi="Arial"/>
                <w:sz w:val="14"/>
                <w:szCs w:val="14"/>
                <w:b w:val="1"/>
                <w:bCs w:val="1"/>
                <w:i w:val="1"/>
                <w:iCs w:val="1"/>
                <w:color w:val="auto"/>
                <w:w w:val="89"/>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3,897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ind w:left="18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 2013</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Mortgage</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Non-Mortgage</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3"/>
          </w:tcPr>
          <w:p>
            <w:pPr>
              <w:ind w:left="900"/>
              <w:spacing w:after="0"/>
              <w:rPr>
                <w:sz w:val="20"/>
                <w:szCs w:val="20"/>
                <w:color w:val="auto"/>
              </w:rPr>
            </w:pPr>
            <w:r>
              <w:rPr>
                <w:rFonts w:ascii="Arial" w:cs="Arial" w:eastAsia="Arial" w:hAnsi="Arial"/>
                <w:sz w:val="14"/>
                <w:szCs w:val="14"/>
                <w:b w:val="1"/>
                <w:bCs w:val="1"/>
                <w:i w:val="1"/>
                <w:iCs w:val="1"/>
                <w:color w:val="auto"/>
                <w:w w:val="89"/>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12,809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Discretionary cash bonus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20,030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(1,438)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(20,582)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(1,990)</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 2012</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Mortgage</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Non-Mortgage</w:t>
            </w: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3"/>
          </w:tcPr>
          <w:p>
            <w:pPr>
              <w:ind w:left="900"/>
              <w:spacing w:after="0"/>
              <w:rPr>
                <w:sz w:val="20"/>
                <w:szCs w:val="20"/>
                <w:color w:val="auto"/>
              </w:rPr>
            </w:pPr>
            <w:r>
              <w:rPr>
                <w:rFonts w:ascii="Arial" w:cs="Arial" w:eastAsia="Arial" w:hAnsi="Arial"/>
                <w:sz w:val="14"/>
                <w:szCs w:val="14"/>
                <w:b w:val="1"/>
                <w:bCs w:val="1"/>
                <w:i w:val="1"/>
                <w:iCs w:val="1"/>
                <w:color w:val="auto"/>
                <w:w w:val="89"/>
              </w:rPr>
              <w:t>(in thousands)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 by segment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1,034</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Adjustments to reconcile to net income (loss) from continuing</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severance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3,086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2"/>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940" w:type="dxa"/>
            <w:vAlign w:val="bottom"/>
          </w:tcPr>
          <w:p>
            <w:pPr>
              <w:spacing w:after="0"/>
              <w:rPr>
                <w:sz w:val="14"/>
                <w:szCs w:val="14"/>
                <w:color w:val="auto"/>
              </w:rPr>
            </w:pPr>
          </w:p>
        </w:tc>
      </w:tr>
      <w:tr>
        <w:trPr>
          <w:trHeight w:val="192"/>
        </w:trPr>
        <w:tc>
          <w:tcPr>
            <w:tcW w:w="49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96"/>
              </w:rPr>
              <w:t>2012</w:t>
            </w:r>
          </w:p>
        </w:tc>
      </w:tr>
      <w:tr>
        <w:trPr>
          <w:trHeight w:val="190"/>
        </w:trPr>
        <w:tc>
          <w:tcPr>
            <w:tcW w:w="4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60" w:type="dxa"/>
            <w:vAlign w:val="bottom"/>
            <w:gridSpan w:val="5"/>
          </w:tcPr>
          <w:p>
            <w:pPr>
              <w:jc w:val="right"/>
              <w:ind w:right="499"/>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6"/>
        </w:trPr>
        <w:tc>
          <w:tcPr>
            <w:tcW w:w="4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98</w:t>
            </w:r>
          </w:p>
        </w:tc>
        <w:tc>
          <w:tcPr>
            <w:tcW w:w="100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97</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3,086</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92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45.0%</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w:t>
            </w:r>
          </w:p>
        </w:tc>
      </w:tr>
    </w:tbl>
    <w:p>
      <w:pPr>
        <w:spacing w:after="0" w:line="17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established a valuation allowance of approximately $55 million during the year ended December 31, 2012 to offset its U.S. net deferred tax assets, after excluding deferred tax liabilities related to indefinite-lived intangible assets that are not anticipated to provide a source of taxable income in the foreseeable future. For the three and nine months ended September 30, 2013, the effective tax rate was impacted by the indefinite-lived intangible assets, which were adjusted for the change to the North Carolina income tax rate enacted during the period. The effect of a change in tax rates on deferred tax balances is not apportioned among interim periods, but is recognized discretely in the period in which the change occurs. As such, all of the impact of the rate change has been recorded during the three months ended September 30, 2013, resulting in a higher effective tax rate. For the three and nine months ended September 30, 2012, our effective tax rates were higher than the federal statutory rate primarily due to the impact of state income taxes.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Loss from discontinued operations of $0.5 million in the third quarter of 2013 is attributable to operating losses associated with the LendingTree Loans business. Income from discontinued operations of $6.1 million in the first nine months of 2013 is primarily due to a gain of $10.0 million recognized in the second quarter of 2013 for an additional purchase price payment from Discover related to the sale of the LendingTree Loans business, partially offset by operating losses.</w:t>
      </w:r>
    </w:p>
    <w:p>
      <w:pPr>
        <w:spacing w:after="0" w:line="13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Income from discontinued operations of $4.1 million in the third quarter of 2012 is primarily due to a revision in management's estimation process for evaluating the adequacy of the reserve for loan losses. The revised methodology was effective as of September 30, 2012 and resulted in a $6.5 million reduction to the loss reserve on previously sold loans during the three months ended September 30, 2012, with a corresponding increase to LendingTree Loans' revenue. Income from discontinued operations of $49.1 million in the first nine months of 2012 is due to the gain of $24.3 million recognized upon the June 6, 2012 sale of the LendingTree Loans business in addition to operating income of $24.7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and other needs for the next twelve months and beyond.</w:t>
      </w:r>
    </w:p>
    <w:p>
      <w:pPr>
        <w:spacing w:after="0" w:line="62"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As of September 30, 2013, we had $87.8 million of cash and cash equivalents and $26.0 million of restricted cash and cash equivalents, compared to $80.2 million of cash and cash equivalents and $29.4 million of restricted cash and cash equivalents as of December 31, 2012.</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8"/>
              </w:rPr>
              <w:t>September 30,</w:t>
            </w:r>
          </w:p>
        </w:tc>
        <w:tc>
          <w:tcPr>
            <w:tcW w:w="980" w:type="dxa"/>
            <w:vAlign w:val="bottom"/>
            <w:tcBorders>
              <w:bottom w:val="single" w:sz="8" w:color="auto"/>
            </w:tcBorders>
          </w:tcPr>
          <w:p>
            <w:pPr>
              <w:spacing w:after="0"/>
              <w:rPr>
                <w:sz w:val="15"/>
                <w:szCs w:val="15"/>
                <w:color w:val="auto"/>
              </w:rPr>
            </w:pPr>
          </w:p>
        </w:tc>
      </w:tr>
      <w:tr>
        <w:trPr>
          <w:trHeight w:val="258"/>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i w:val="1"/>
                <w:iCs w:val="1"/>
                <w:color w:val="auto"/>
                <w:w w:val="99"/>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3,395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Pr>
          <w:p>
            <w:pPr>
              <w:spacing w:after="0"/>
              <w:rPr>
                <w:sz w:val="21"/>
                <w:szCs w:val="21"/>
                <w:color w:val="auto"/>
              </w:rPr>
            </w:pPr>
          </w:p>
        </w:tc>
        <w:tc>
          <w:tcPr>
            <w:tcW w:w="620" w:type="dxa"/>
            <w:vAlign w:val="bottom"/>
          </w:tcPr>
          <w:p>
            <w:pPr>
              <w:jc w:val="right"/>
              <w:ind w:right="57"/>
              <w:spacing w:after="0"/>
              <w:rPr>
                <w:sz w:val="20"/>
                <w:szCs w:val="20"/>
                <w:color w:val="auto"/>
              </w:rPr>
            </w:pPr>
            <w:r>
              <w:rPr>
                <w:rFonts w:ascii="Arial" w:cs="Arial" w:eastAsia="Arial" w:hAnsi="Arial"/>
                <w:sz w:val="18"/>
                <w:szCs w:val="18"/>
                <w:color w:val="auto"/>
              </w:rPr>
              <w:t>1,342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(5,025)</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3,489</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Net cash provided by operating activities attributable to continuing operations in the first nine months of 2013 was $3.4 million and consisted primarily of losses from continuing operations of $2.0 million, positive adjustments for non-cash items of $7.0 million and cash used for working capital of $1.6 million. Adjustments for non-cash items primarily consisted of $4.3 million in non-cash compensation expense and $2.6 million of depreciation. Accounts receivable increased $5.2 million due to increases in revenue. Accounts payable, accrued expenses and other current liabilities increased $5.9 million, primarily due to increased marketing efforts and a new branding campaign.</w:t>
      </w:r>
    </w:p>
    <w:p>
      <w:pPr>
        <w:spacing w:after="0" w:line="8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Net cash used in operating activities attributable to continuing operations in the first nine months of 2012 was $4.3 million and consisted of losses from continuing operations of $4.8 million, positive adjustments for non-cash items of $7.6 million and cash used for working capital of $7.1 million. Adjustments for non-cash items primarily consisted of $3.6 million of non-cash compensation expense and $3.2 million of depreciation. Accounts receivable increased by $4.9 million, primarily due to leads that would formerly have been provided to LendingTree Loans becoming available for sale on our mortgage exchange. Accounts payable and other current liabilities decreased by $2.5 million, as we managed our net working capital position and paid previously incurred expenses from improved cash flow.</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Net cash provided by investing activities attributable to continuing operations in the first nine months of 2013 of $1.3 million consisted primarily of capital expenditures of $2.1 million which was more than offset by a decrease in restricted cash of $3.4 million. During the third quarter of 2013, we obtained a reduction in the collateral requirement for certain of our surety bonds, which are required by the various states in which the company currently operates or previously operated. As a result, $4.0 million of cash previously held in escrow was released.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2012 of $6.1 million resulted primarily from an increase in restricted cash of $4.0 million and capital expenditures of $2.0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Net cash used in financing activities attributable to continuing operations in the first nine months of 2013 of $5.0 million consisted primarily of the vesting and issuance of stock to employees (less withholding taxes) of $1.9 million and the purchase of treasury stock of $3.3 million.</w:t>
      </w:r>
    </w:p>
    <w:p>
      <w:pPr>
        <w:spacing w:after="0" w:line="3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Net cash provided by financing activities in the first nine months of 2012 of $3.5 million was primarily due to the release of restricted cash previously required by the former LendingTree Loans' warehouse lenders of $4.2 million, following the closing of the sale of substantially all of the operating assets of our LendingTree Loans business on June 6, 2012.</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Warehouse Lines of Credit for LendingTree Loans</w:t>
      </w:r>
    </w:p>
    <w:p>
      <w:pPr>
        <w:spacing w:after="0" w:line="17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As a result of the closing of the sale of substantially all of the operating assets of our LendingTree Loans business on June 6, 2012, all three then-existing warehouse lines of credit expired and terminated on July 21, 2012. Borrowings under these lines of credit were used to fund, and were secured by, consumer residential loans that were held for sale. Loans under these lines of credit were repaid using proceeds from the sales of loans by LendingTree Loans.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Revenue is subject to the cyclical and seasonal trends of the U.S. housing and mortgage markets.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a description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Definition of Adjusted EBITDA</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to further exclude (1) non-cash compensation expense, (2) non-cash intangible asset impairment charges, (3) gain/loss on disposal of assets,</w:t>
      </w:r>
    </w:p>
    <w:p>
      <w:pPr>
        <w:ind w:firstLine="8"/>
        <w:spacing w:after="0" w:line="292"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restructuring and severance expenses, (5) litigation settlements and contingencies, (6)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 presented by also providing the comparable GAAP measure with equal or greater prominence and descriptions of the reconciling items, including quantifying such items, to derive the non-GAAP measure. This non-GAAP measure may not be comparable to similarly titled measures used by other companies.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One-Time Items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have not occurred in the past two years and are not expected to recur in the next two years, in accordance with SEC rules. For the periods presented in this report, there are no adjustments for one-time items except for a compensation charge of $0.9 million in the nine months ended September 30, 2013 related to a discretionary cash bonus payment to employee stock option holders.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Non-Cash Expenses That Are Excluded From Adjusted EBITDA</w:t>
      </w:r>
    </w:p>
    <w:p>
      <w:pPr>
        <w:spacing w:after="0" w:line="17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rules and regulations of the SEC, as a smaller reporting company we are not required to provide the information required by this item.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due to the material weakness in our internal control over financial reporting that is described below, our disclosure controls and procedures were not effective as of September 30,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With respect to our controls over the application and monitoring of our accounting for income taxes, we did not have controls designed and in place to ensure effective oversight of the work performed by, and the accuracy of, financial information provided by third-party tax advisors. This material weakness was identified in connection with our assessment of the effectiveness of internal control over financial reporting as of December 31, 2010, and was determined not to have been remediated as of September 30, 2013.</w:t>
      </w:r>
    </w:p>
    <w:p>
      <w:pPr>
        <w:spacing w:after="0" w:line="79"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Notwithstanding the identified material weakness described above, management believes that the financial statements and other financial information included in this report present fairly in all material respects our financial condition, results of operations and cash flows at and for the periods presented in accordance with accounting principles generally accepted in the United States.</w:t>
      </w:r>
    </w:p>
    <w:p>
      <w:pPr>
        <w:spacing w:after="0" w:line="73"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With the oversight of our management and the audit committee of our board of directors, we have taken steps and plan to take additional measures to remediate the underlying causes of the material weakness described above. We have undertaken an evaluation of our available resources to provide effective oversight of the work performed by our third-party tax advisors and are in the process of identifying necessary changes to our processes as required. Additionally, we are evaluating the resources available and provided to us by the third-party tax advisors and identifying changes as required.</w:t>
      </w:r>
    </w:p>
    <w:p>
      <w:pPr>
        <w:spacing w:after="0" w:line="4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we believe that these steps and measures will remediate the material weakness, there is a risk that these steps and measures will not be adequate to remediate the material weakness. Until we can provide reasonable assurance that the material weakness has been remediated, the material weakness could result in a misstatement in tax-related accounts that could result in a material misstatement to our interim or annual consolidated financial statements and disclosures that may not be prevented or detected on a timely basis. In addition, we may be unable to meet our reporting obligations or comply with SEC rules and regulations, which could result in delisting actions by the NASDAQ Stock Market and investigation and sanctions by regulatory authorities. See the risk factor contained in Part II, Item 1A—Risk Factors of our Quarterly Report on Form 10-Q for the quarter ended June 30, 2013 under the heading "</w:t>
      </w:r>
      <w:r>
        <w:rPr>
          <w:rFonts w:ascii="Arial" w:cs="Arial" w:eastAsia="Arial" w:hAnsi="Arial"/>
          <w:sz w:val="17"/>
          <w:szCs w:val="17"/>
          <w:i w:val="1"/>
          <w:iCs w:val="1"/>
          <w:color w:val="auto"/>
        </w:rPr>
        <w:t>We have</w:t>
      </w:r>
      <w:r>
        <w:rPr>
          <w:rFonts w:ascii="Arial" w:cs="Arial" w:eastAsia="Arial" w:hAnsi="Arial"/>
          <w:sz w:val="17"/>
          <w:szCs w:val="17"/>
          <w:color w:val="auto"/>
        </w:rPr>
        <w:t xml:space="preserve"> </w:t>
      </w:r>
      <w:r>
        <w:rPr>
          <w:rFonts w:ascii="Arial" w:cs="Arial" w:eastAsia="Arial" w:hAnsi="Arial"/>
          <w:sz w:val="17"/>
          <w:szCs w:val="17"/>
          <w:i w:val="1"/>
          <w:iCs w:val="1"/>
          <w:color w:val="auto"/>
        </w:rPr>
        <w:t>identified a material weakness in our internal control over financial reporting and we may be unable to develop, implement and maintain appropriate controls in future periods. If the material weakness is not remediated, then it could result in a material misstatement to the financial statements. For our year ending December 31, 2013, we will be required to include with our audited financial statements included in our Form 10-K an attestation of our independent auditor as to the effectiveness of our internal controls."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third fiscal quarter that has materially affected, or is reasonably likely to materially affect, our internal control over financial reporting.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In the ordinary course of business, we are party to litigation involving property, contract, intellectual property and a variety of other claims. The amounts that may be recovered in such matters may be subject to insurance coverage. We included a discussion of certain legal proceedings in Part I, Item 3, of our Annual Report on Form 10-K for the year ended December 31, 2012, in Part II, Item 1 of our Quarterly Report on Form 10-Q for the quarter ended March 31, 2013 ("1</w:t>
      </w:r>
      <w:r>
        <w:rPr>
          <w:rFonts w:ascii="Arial" w:cs="Arial" w:eastAsia="Arial" w:hAnsi="Arial"/>
          <w:sz w:val="11"/>
          <w:szCs w:val="11"/>
          <w:color w:val="auto"/>
        </w:rPr>
        <w:t>st</w:t>
      </w:r>
      <w:r>
        <w:rPr>
          <w:rFonts w:ascii="Arial" w:cs="Arial" w:eastAsia="Arial" w:hAnsi="Arial"/>
          <w:sz w:val="16"/>
          <w:szCs w:val="16"/>
          <w:color w:val="auto"/>
        </w:rPr>
        <w:t xml:space="preserve"> Quarter 2013 10-Q") and in Part II, Item 1 of our Quarterly Report on Form 10-Q for the quarter ended June 30, 2013 ("2nd Quarter 2013 10-Q"). During the three months ended September 30, 2013, there were no material developments to the legal proceedings disclosed in the 2012 Form 10-K, the</w:t>
      </w:r>
    </w:p>
    <w:p>
      <w:pPr>
        <w:spacing w:after="0"/>
        <w:rPr>
          <w:sz w:val="20"/>
          <w:szCs w:val="20"/>
          <w:color w:val="auto"/>
        </w:rPr>
      </w:pPr>
      <w:r>
        <w:rPr>
          <w:rFonts w:ascii="Arial" w:cs="Arial" w:eastAsia="Arial" w:hAnsi="Arial"/>
          <w:sz w:val="18"/>
          <w:szCs w:val="18"/>
          <w:color w:val="auto"/>
        </w:rPr>
        <w:t>1</w:t>
      </w:r>
      <w:r>
        <w:rPr>
          <w:rFonts w:ascii="Arial" w:cs="Arial" w:eastAsia="Arial" w:hAnsi="Arial"/>
          <w:sz w:val="12"/>
          <w:szCs w:val="12"/>
          <w:color w:val="auto"/>
        </w:rPr>
        <w:t>st</w:t>
      </w:r>
      <w:r>
        <w:rPr>
          <w:rFonts w:ascii="Arial" w:cs="Arial" w:eastAsia="Arial" w:hAnsi="Arial"/>
          <w:sz w:val="18"/>
          <w:szCs w:val="18"/>
          <w:color w:val="auto"/>
        </w:rPr>
        <w:t xml:space="preserve"> Quarter 2013 10-Q or the 2nd Quarter 2013 10-Q and no new material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right="160" w:firstLine="366"/>
        <w:spacing w:after="0" w:line="277" w:lineRule="auto"/>
        <w:rPr>
          <w:sz w:val="20"/>
          <w:szCs w:val="20"/>
          <w:color w:val="auto"/>
        </w:rPr>
      </w:pPr>
      <w:r>
        <w:rPr>
          <w:rFonts w:ascii="Arial" w:cs="Arial" w:eastAsia="Arial" w:hAnsi="Arial"/>
          <w:sz w:val="18"/>
          <w:szCs w:val="18"/>
          <w:color w:val="auto"/>
        </w:rPr>
        <w:t>There have been no material changes to the risk factors included in Part I, Item 1A—Risk Factors of the 2012 10-K and Part II, Item 1A—Risk Factors of the 2nd Quarter 2013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September 30,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jc w:val="center"/>
              <w:ind w:right="181"/>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5"/>
              </w:rPr>
              <w:t>Number/Approximate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Dollar Value of Shares</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2880" w:type="dxa"/>
            <w:vAlign w:val="bottom"/>
            <w:gridSpan w:val="2"/>
            <w:vMerge w:val="continue"/>
          </w:tcPr>
          <w:p>
            <w:pPr>
              <w:spacing w:after="0"/>
              <w:rPr>
                <w:sz w:val="16"/>
                <w:szCs w:val="16"/>
                <w:color w:val="auto"/>
              </w:rPr>
            </w:pPr>
          </w:p>
        </w:tc>
        <w:tc>
          <w:tcPr>
            <w:tcW w:w="2060" w:type="dxa"/>
            <w:vAlign w:val="bottom"/>
          </w:tcPr>
          <w:p>
            <w:pPr>
              <w:jc w:val="right"/>
              <w:ind w:right="336"/>
              <w:spacing w:after="0"/>
              <w:rPr>
                <w:sz w:val="20"/>
                <w:szCs w:val="20"/>
                <w:color w:val="auto"/>
              </w:rPr>
            </w:pPr>
            <w:r>
              <w:rPr>
                <w:rFonts w:ascii="Arial" w:cs="Arial" w:eastAsia="Arial" w:hAnsi="Arial"/>
                <w:sz w:val="14"/>
                <w:szCs w:val="14"/>
                <w:b w:val="1"/>
                <w:bCs w:val="1"/>
                <w:color w:val="auto"/>
              </w:rPr>
              <w:t xml:space="preserve">Shares Purchased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Paid per Share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190"/>
        </w:trPr>
        <w:tc>
          <w:tcPr>
            <w:tcW w:w="2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center"/>
              <w:ind w:right="2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July 2013</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81,653</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78,285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43"/>
        </w:trPr>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August 2013</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27,624</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2040" w:type="dxa"/>
            <w:vAlign w:val="bottom"/>
          </w:tcPr>
          <w:p>
            <w:pPr>
              <w:jc w:val="right"/>
              <w:ind w:right="40"/>
              <w:spacing w:after="0"/>
              <w:rPr>
                <w:sz w:val="20"/>
                <w:szCs w:val="20"/>
                <w:color w:val="auto"/>
              </w:rPr>
            </w:pPr>
            <w:r>
              <w:rPr>
                <w:rFonts w:ascii="Arial" w:cs="Arial" w:eastAsia="Arial" w:hAnsi="Arial"/>
                <w:sz w:val="18"/>
                <w:szCs w:val="18"/>
                <w:color w:val="auto"/>
              </w:rPr>
              <w:t>19,441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2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September 2013</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3,358</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57"/>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112,635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97,726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2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right="20" w:hanging="409"/>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quarter ended September 30, 2013, the total number of shares purchased includes 14,909 shares of our common stock were delivered by employees to satisfy federal and state withholding obligations upon the vesting of restricted stock awards granted to those individuals under the Tree.com Second Amended and Restated 2008 Stock and Award Incentive Plan. The withholding of those shares does not affect the dollar amount or number of shares that may be purchased under the publicly announced plans or programs described below.</w:t>
      </w:r>
    </w:p>
    <w:p>
      <w:pPr>
        <w:spacing w:after="0" w:line="117" w:lineRule="exact"/>
        <w:rPr>
          <w:rFonts w:ascii="Arial" w:cs="Arial" w:eastAsia="Arial" w:hAnsi="Arial"/>
          <w:sz w:val="17"/>
          <w:szCs w:val="17"/>
          <w:color w:val="auto"/>
        </w:rPr>
      </w:pPr>
    </w:p>
    <w:p>
      <w:pPr>
        <w:ind w:left="660" w:right="80" w:hanging="409"/>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January 11, 2010, we announced that our board of directors approved a stock repurchase program for an amount up to $10 million. The program authorizes repurchases of common shares in the open market or through privately-negotiated transactions. We began this program in February 2010 and expect to use available cash to finance these repurchases. We will determine the timing and amount of such repurchases based on our evaluation of market conditions, applicable SEC guidelines and regulations, and other factors. This program may be suspended or discontinued at any time at the discretion of our board of directors.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On November 6, 2013, our board of directors amended Article VIII of our Amended and Restated By-laws to include a new Section 6 entitled "Forum for Certain Actions." Section 6 designates the Court of Chancery of the State of Delaware (the "Court of Chancery") as the sole and exclusive forum for certain legal actions. Section 6 will not apply if we consent in writing to the selection of an alternative forum or if the Court of Chancery lacks jurisdiction.</w:t>
      </w:r>
    </w:p>
    <w:p>
      <w:pPr>
        <w:spacing w:after="0" w:line="3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foregoing summary of the amendment does not purport to be complete and is subject to, and qualified in its entirety by, the provisions of Article VIII, Section 6 of the company's Second Amended and Restated By-laws, which reflect the amendment, attached to this Form 10-Q as Exhibit 3.1.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8900" w:type="dxa"/>
            <w:vAlign w:val="bottom"/>
            <w:tcBorders>
              <w:bottom w:val="single" w:sz="8" w:color="auto"/>
            </w:tcBorders>
          </w:tcPr>
          <w:p>
            <w:pPr>
              <w:ind w:left="41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Location</w:t>
            </w:r>
          </w:p>
        </w:tc>
      </w:tr>
      <w:tr>
        <w:trPr>
          <w:trHeight w:val="243"/>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Second Amended and Restated By-laws of Tree.com, Inc.</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377"/>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the Chief Executive Officer pursuant to Rule 13a-14(a) or Rule 15d-14(a) of the Securities Exchange Act</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140" w:type="dxa"/>
            <w:vAlign w:val="bottom"/>
          </w:tcPr>
          <w:p>
            <w:pPr>
              <w:spacing w:after="0"/>
              <w:rPr>
                <w:sz w:val="20"/>
                <w:szCs w:val="20"/>
                <w:color w:val="auto"/>
              </w:rPr>
            </w:pPr>
          </w:p>
        </w:tc>
      </w:tr>
      <w:tr>
        <w:trPr>
          <w:trHeight w:val="526"/>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w w:val="94"/>
              </w:rPr>
              <w:t>Certification of the Chief Financial Officer pursuant to Rule 13a-14(a) or Rule 15d-14(a) of the Securities Exchange Act</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of 1934 as adopted pursuant to Section 302 of the Sarbanes-Oxley Act of 2002.</w:t>
            </w:r>
          </w:p>
        </w:tc>
        <w:tc>
          <w:tcPr>
            <w:tcW w:w="1140" w:type="dxa"/>
            <w:vAlign w:val="bottom"/>
          </w:tcPr>
          <w:p>
            <w:pPr>
              <w:spacing w:after="0"/>
              <w:rPr>
                <w:sz w:val="20"/>
                <w:szCs w:val="20"/>
                <w:color w:val="auto"/>
              </w:rPr>
            </w:pPr>
          </w:p>
        </w:tc>
      </w:tr>
      <w:tr>
        <w:trPr>
          <w:trHeight w:val="526"/>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 pursuant to Section 906 of the</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Sarbanes-Oxley Act of 2002.</w:t>
            </w:r>
          </w:p>
        </w:tc>
        <w:tc>
          <w:tcPr>
            <w:tcW w:w="1140" w:type="dxa"/>
            <w:vAlign w:val="bottom"/>
          </w:tcPr>
          <w:p>
            <w:pPr>
              <w:spacing w:after="0"/>
              <w:rPr>
                <w:sz w:val="20"/>
                <w:szCs w:val="20"/>
                <w:color w:val="auto"/>
              </w:rPr>
            </w:pPr>
          </w:p>
        </w:tc>
      </w:tr>
      <w:tr>
        <w:trPr>
          <w:trHeight w:val="526"/>
        </w:trPr>
        <w:tc>
          <w:tcPr>
            <w:tcW w:w="116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w w:val="93"/>
              </w:rPr>
              <w:t>Certification of the Chief Financial Officer pursuant to 18 U.S.C. Section 1350 as adopted pursuant to Section 906 of the</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Sarbanes-Oxley Act of 2002.</w:t>
            </w:r>
          </w:p>
        </w:tc>
        <w:tc>
          <w:tcPr>
            <w:tcW w:w="1140" w:type="dxa"/>
            <w:vAlign w:val="bottom"/>
          </w:tcPr>
          <w:p>
            <w:pPr>
              <w:spacing w:after="0"/>
              <w:rPr>
                <w:sz w:val="20"/>
                <w:szCs w:val="20"/>
                <w:color w:val="auto"/>
              </w:rPr>
            </w:pPr>
          </w:p>
        </w:tc>
      </w:tr>
      <w:tr>
        <w:trPr>
          <w:trHeight w:val="540"/>
        </w:trPr>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101.INS</w:t>
            </w: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540"/>
        </w:trPr>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101.SCH</w:t>
            </w: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540"/>
        </w:trPr>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101.CAL</w:t>
            </w: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540"/>
        </w:trPr>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101.DEF</w:t>
            </w: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540"/>
        </w:trPr>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101.LAB</w:t>
            </w: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540"/>
        </w:trPr>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101.PRE</w:t>
            </w: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ind w:left="2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32327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80" w:hanging="1045"/>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left="1080" w:right="320" w:hanging="1045"/>
        <w:spacing w:after="0" w:line="26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289" w:lineRule="exact"/>
        <w:rPr>
          <w:sz w:val="20"/>
          <w:szCs w:val="20"/>
          <w:color w:val="auto"/>
        </w:rPr>
      </w:pPr>
    </w:p>
    <w:p>
      <w:pPr>
        <w:ind w:left="1080" w:right="40" w:hanging="1045"/>
        <w:spacing w:after="0" w:line="286"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38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TREE.COM, INC.</w:t>
      </w:r>
    </w:p>
    <w:p>
      <w:pPr>
        <w:spacing w:after="0" w:line="333" w:lineRule="exact"/>
        <w:rPr>
          <w:sz w:val="20"/>
          <w:szCs w:val="20"/>
          <w:color w:val="auto"/>
        </w:rPr>
      </w:pPr>
    </w:p>
    <w:p>
      <w:pPr>
        <w:ind w:left="5640"/>
        <w:spacing w:after="0"/>
        <w:tabs>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officer and</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duly authorized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600"/>
          </w:cols>
          <w:pgMar w:left="240" w:top="125" w:right="10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327"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SECOND AMENDED AND RESTATED BY-LAWS</w:t>
      </w: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OF</w:t>
      </w:r>
    </w:p>
    <w:p>
      <w:pPr>
        <w:spacing w:after="0" w:line="220"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TREE.COM, INC.</w:t>
      </w:r>
    </w:p>
    <w:p>
      <w:pPr>
        <w:spacing w:after="0" w:line="220"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(as of November 6, 2013)</w:t>
      </w:r>
    </w:p>
    <w:p>
      <w:pPr>
        <w:spacing w:after="0" w:line="226"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ARTICLE I</w:t>
      </w:r>
      <w:r>
        <w:rPr>
          <w:rFonts w:ascii="Arial" w:cs="Arial" w:eastAsia="Arial" w:hAnsi="Arial"/>
          <w:sz w:val="22"/>
          <w:szCs w:val="22"/>
          <w:color w:val="auto"/>
        </w:rPr>
        <w:t xml:space="preserve"> - </w:t>
      </w:r>
      <w:r>
        <w:rPr>
          <w:rFonts w:ascii="Arial" w:cs="Arial" w:eastAsia="Arial" w:hAnsi="Arial"/>
          <w:sz w:val="22"/>
          <w:szCs w:val="22"/>
          <w:u w:val="single" w:color="auto"/>
          <w:color w:val="auto"/>
        </w:rPr>
        <w:t>OFFICES</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Registered Office.</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registered office of Tree.com, Inc. (the “Corporation”) shall be located in the City of Dover, State of Delaware, or such other place as the board of directors (the “Board”) may from time to time determine.</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Other Offices.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Corporation may have offices at such other places, both within and without the State of Delaware, as the Board may from time to time determine or the business of the Corporation may require.</w:t>
      </w:r>
    </w:p>
    <w:p>
      <w:pPr>
        <w:spacing w:after="0" w:line="175"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 </w:t>
      </w:r>
      <w:r>
        <w:rPr>
          <w:rFonts w:ascii="Arial" w:cs="Arial" w:eastAsia="Arial" w:hAnsi="Arial"/>
          <w:sz w:val="22"/>
          <w:szCs w:val="22"/>
          <w:u w:val="single" w:color="auto"/>
          <w:color w:val="auto"/>
        </w:rPr>
        <w:t>STOCKHOLDERS</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Annual Meeting.</w:t>
      </w:r>
    </w:p>
    <w:p>
      <w:pPr>
        <w:spacing w:after="0" w:line="166" w:lineRule="exact"/>
        <w:rPr>
          <w:sz w:val="20"/>
          <w:szCs w:val="20"/>
          <w:color w:val="auto"/>
        </w:rPr>
      </w:pPr>
    </w:p>
    <w:p>
      <w:pPr>
        <w:jc w:val="both"/>
        <w:ind w:firstLine="656"/>
        <w:spacing w:after="0" w:line="253" w:lineRule="auto"/>
        <w:tabs>
          <w:tab w:leader="none" w:pos="1549"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 annual meeting of the stockholders, for the election of directors to succeed those whose terms expire and for the transaction of such other business as may properly come before the meeting, shall be held at such place, on such date, and at such time as the Board shall each year fix.</w:t>
      </w:r>
    </w:p>
    <w:p>
      <w:pPr>
        <w:spacing w:after="0" w:line="131" w:lineRule="exact"/>
        <w:rPr>
          <w:rFonts w:ascii="Arial" w:cs="Arial" w:eastAsia="Arial" w:hAnsi="Arial"/>
          <w:sz w:val="22"/>
          <w:szCs w:val="22"/>
          <w:color w:val="auto"/>
        </w:rPr>
      </w:pPr>
    </w:p>
    <w:p>
      <w:pPr>
        <w:jc w:val="both"/>
        <w:ind w:firstLine="656"/>
        <w:spacing w:after="0" w:line="290" w:lineRule="auto"/>
        <w:tabs>
          <w:tab w:leader="none" w:pos="1549"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Nominations of persons for election to the Board and the proposal of business to be transacted by the stockholders may be made at an annual meeting of stockholders (a) pursuant to the Corporation’s proxy materials with respect to such meeting, (b) by or at the direction of the Board, or (c) by any stockholder of record of the Corporation (the “Record Stockholder”) at the time of the giving of the notice required in the following paragraph, who is entitled to vote at the meeting and who has complied with the notice procedures set forth in this section. For the avoidance of doubt, clause (c) above shall be the exclusive means for a stockholder to make nominations and propose business (other than business included in the Corporation’s proxy materials pursuant to Rule 14a-8 under the Securities Exchange Act of 1934, as amended (such act, and the rules and regulations promulgated thereunder, (the “Exchange Act”)) before an annual meeting of stockholders.</w:t>
      </w:r>
    </w:p>
    <w:p>
      <w:pPr>
        <w:spacing w:after="0" w:line="102" w:lineRule="exact"/>
        <w:rPr>
          <w:rFonts w:ascii="Arial" w:cs="Arial" w:eastAsia="Arial" w:hAnsi="Arial"/>
          <w:sz w:val="19"/>
          <w:szCs w:val="19"/>
          <w:color w:val="auto"/>
        </w:rPr>
      </w:pPr>
    </w:p>
    <w:p>
      <w:pPr>
        <w:jc w:val="both"/>
        <w:ind w:firstLine="656"/>
        <w:spacing w:after="0" w:line="258" w:lineRule="auto"/>
        <w:tabs>
          <w:tab w:leader="none" w:pos="1549" w:val="left"/>
        </w:tabs>
        <w:numPr>
          <w:ilvl w:val="0"/>
          <w:numId w:val="12"/>
        </w:numPr>
        <w:rPr>
          <w:rFonts w:ascii="Arial" w:cs="Arial" w:eastAsia="Arial" w:hAnsi="Arial"/>
          <w:sz w:val="21"/>
          <w:szCs w:val="21"/>
          <w:color w:val="auto"/>
        </w:rPr>
      </w:pPr>
      <w:r>
        <w:rPr>
          <w:rFonts w:ascii="Arial" w:cs="Arial" w:eastAsia="Arial" w:hAnsi="Arial"/>
          <w:sz w:val="21"/>
          <w:szCs w:val="21"/>
          <w:color w:val="auto"/>
        </w:rPr>
        <w:t>For nominations or business to be properly brought before an annual meeting by a Record Stockholder pursuant to clause (c) of the foregoing paragraph, (A) the Record Stockholder must have given timely notice thereof in writing to the Secretary of the Corporation, (B) any such business must be a proper matter for stockholder action under Delaware law, and (C) the Record Stockholder and the beneficial owner, if any, on whose behalf any such proposal or nomination is made, must have acted in accordance with the representations set forth in the Solicitation Statement required by these By-Laws. To be timely, a Record Stockholder’s notice shall be received by the Secretary at the principal executive offices of the Corporation not less than 60 or more than 90 days prior to the first anniversary (the “Anniversary”) of the date for the preceding year’s annual meeting of stockholders; provided, however, that if the date of the annual meeting is advanced more than 30 days prior to or delayed by more than 30 days after the anniversary of the preceding year’s annual meeting, or if the Corporation did not hold an annual meeting during the preceding year, notice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61" w:right="2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22"/>
          <w:szCs w:val="22"/>
          <w:color w:val="auto"/>
        </w:rPr>
        <w:t>by the Record Stockholder to be timely must be so delivered not later than the close of business on the later of (i) the 90th day prior to such annual meeting or (ii) the 10th day following the day on which public announcement of the date of such meeting is first made. Such Record Stockholder’s notice shall set forth:</w:t>
      </w:r>
    </w:p>
    <w:p>
      <w:pPr>
        <w:spacing w:after="0" w:line="132" w:lineRule="exact"/>
        <w:rPr>
          <w:sz w:val="20"/>
          <w:szCs w:val="20"/>
          <w:color w:val="auto"/>
        </w:rPr>
      </w:pPr>
    </w:p>
    <w:p>
      <w:pPr>
        <w:jc w:val="both"/>
        <w:ind w:left="660" w:firstLine="645"/>
        <w:spacing w:after="0" w:line="265" w:lineRule="auto"/>
        <w:tabs>
          <w:tab w:leader="none" w:pos="2196" w:val="left"/>
        </w:tabs>
        <w:numPr>
          <w:ilvl w:val="0"/>
          <w:numId w:val="13"/>
        </w:numPr>
        <w:rPr>
          <w:rFonts w:ascii="Arial" w:cs="Arial" w:eastAsia="Arial" w:hAnsi="Arial"/>
          <w:sz w:val="21"/>
          <w:szCs w:val="21"/>
          <w:color w:val="auto"/>
        </w:rPr>
      </w:pPr>
      <w:r>
        <w:rPr>
          <w:rFonts w:ascii="Arial" w:cs="Arial" w:eastAsia="Arial" w:hAnsi="Arial"/>
          <w:sz w:val="21"/>
          <w:szCs w:val="21"/>
          <w:color w:val="auto"/>
        </w:rPr>
        <w:t>if such notice pertains to the nomination of directors, as to each person whom the Record Stockholder proposes to nominate for election or reelection as a director all information relating to such person as would be required to be disclosed in solicitations of proxies for the election of such nominees as directors pursuant to Regulation 14A under the Exchange Act, and such person’s written consent to serve as a director if elected;</w:t>
      </w:r>
    </w:p>
    <w:p>
      <w:pPr>
        <w:spacing w:after="0" w:line="121" w:lineRule="exact"/>
        <w:rPr>
          <w:rFonts w:ascii="Arial" w:cs="Arial" w:eastAsia="Arial" w:hAnsi="Arial"/>
          <w:sz w:val="21"/>
          <w:szCs w:val="21"/>
          <w:color w:val="auto"/>
        </w:rPr>
      </w:pPr>
    </w:p>
    <w:p>
      <w:pPr>
        <w:jc w:val="both"/>
        <w:ind w:left="660" w:firstLine="645"/>
        <w:spacing w:after="0" w:line="312" w:lineRule="auto"/>
        <w:tabs>
          <w:tab w:leader="none" w:pos="2209" w:val="left"/>
        </w:tabs>
        <w:numPr>
          <w:ilvl w:val="0"/>
          <w:numId w:val="13"/>
        </w:numPr>
        <w:rPr>
          <w:rFonts w:ascii="Arial" w:cs="Arial" w:eastAsia="Arial" w:hAnsi="Arial"/>
          <w:sz w:val="19"/>
          <w:szCs w:val="19"/>
          <w:color w:val="auto"/>
        </w:rPr>
      </w:pPr>
      <w:r>
        <w:rPr>
          <w:rFonts w:ascii="Arial" w:cs="Arial" w:eastAsia="Arial" w:hAnsi="Arial"/>
          <w:sz w:val="19"/>
          <w:szCs w:val="19"/>
          <w:color w:val="auto"/>
        </w:rPr>
        <w:t>as to any business that the Record Stockholder proposes to bring before the meeting, a brief description of such business, the reasons for conducting such business at the meeting and any material interest in such business of such Record Stockholder and the beneficial owner, if any, on whose behalf the proposal is made; and</w:t>
      </w:r>
    </w:p>
    <w:p>
      <w:pPr>
        <w:spacing w:after="0" w:line="79" w:lineRule="exact"/>
        <w:rPr>
          <w:rFonts w:ascii="Arial" w:cs="Arial" w:eastAsia="Arial" w:hAnsi="Arial"/>
          <w:sz w:val="19"/>
          <w:szCs w:val="19"/>
          <w:color w:val="auto"/>
        </w:rPr>
      </w:pPr>
    </w:p>
    <w:p>
      <w:pPr>
        <w:ind w:left="660" w:firstLine="645"/>
        <w:spacing w:after="0" w:line="263" w:lineRule="auto"/>
        <w:tabs>
          <w:tab w:leader="none" w:pos="21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as to the Record Stockholder giving the notice and the beneficial owner, if any, on whose behalf the nomination or proposal is made</w:t>
      </w:r>
    </w:p>
    <w:p>
      <w:pPr>
        <w:spacing w:after="0" w:line="120" w:lineRule="exact"/>
        <w:rPr>
          <w:rFonts w:ascii="Arial" w:cs="Arial" w:eastAsia="Arial" w:hAnsi="Arial"/>
          <w:sz w:val="22"/>
          <w:szCs w:val="22"/>
          <w:color w:val="auto"/>
        </w:rPr>
      </w:pPr>
    </w:p>
    <w:p>
      <w:pPr>
        <w:ind w:left="1300" w:firstLine="653"/>
        <w:spacing w:after="0" w:line="263" w:lineRule="auto"/>
        <w:tabs>
          <w:tab w:leader="none" w:pos="28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name and address of such Record Stockholder, as they appear on the Corporation’s books, and of such beneficial owner,</w:t>
      </w:r>
    </w:p>
    <w:p>
      <w:pPr>
        <w:spacing w:after="0" w:line="120" w:lineRule="exact"/>
        <w:rPr>
          <w:rFonts w:ascii="Arial" w:cs="Arial" w:eastAsia="Arial" w:hAnsi="Arial"/>
          <w:sz w:val="22"/>
          <w:szCs w:val="22"/>
          <w:color w:val="auto"/>
        </w:rPr>
      </w:pPr>
    </w:p>
    <w:p>
      <w:pPr>
        <w:jc w:val="both"/>
        <w:ind w:left="1300" w:firstLine="653"/>
        <w:spacing w:after="0" w:line="284" w:lineRule="auto"/>
        <w:tabs>
          <w:tab w:leader="none" w:pos="2860" w:val="left"/>
        </w:tabs>
        <w:numPr>
          <w:ilvl w:val="1"/>
          <w:numId w:val="13"/>
        </w:numPr>
        <w:rPr>
          <w:rFonts w:ascii="Arial" w:cs="Arial" w:eastAsia="Arial" w:hAnsi="Arial"/>
          <w:sz w:val="19"/>
          <w:szCs w:val="19"/>
          <w:color w:val="auto"/>
        </w:rPr>
      </w:pPr>
      <w:r>
        <w:rPr>
          <w:rFonts w:ascii="Arial" w:cs="Arial" w:eastAsia="Arial" w:hAnsi="Arial"/>
          <w:sz w:val="19"/>
          <w:szCs w:val="19"/>
          <w:color w:val="auto"/>
        </w:rPr>
        <w:t>(A) the class, series, and number of shares of the Corporation that are owned beneficially and of record by such Record Stockholder and such beneficial owner,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such stockholder and any other direct or indirect opportunity to profit or share in any profit derived from any increase or decrease in the value of shares of the Corporation, (C) any proxy, contract, arrangement, understanding, or relationship pursuant to which such stockholder has a right to vote any shares of any security of the Company, (D) any short interest in any security of the Company (for purposes of this By-law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by such stockholder that are separated or separable from the underlying shares of the Corporation, (F) any proportionate interest in shares of the Corporation or Derivative Instruments held, directly or indirectly, by a general or limited partnership in which such stockholder is a general partner or, directly or indirectly, beneficially owns an interest in a general partner and (G) any performance-related fees (other than an asset-based fee) that such stockholder is entitled to based on any increase or decrease in the value of shares of the Corporation or Derivative Instruments, if any, as of the date of such notice, including without limitation any such interests held by members of such stockholder’s immediate family sharing the same household (which information shall be supplemented by such stockholder and beneficial owner, if any, not later than 10 days after the record date for the meeting to disclose such ownership as of the record date) and</w:t>
      </w:r>
    </w:p>
    <w:p>
      <w:pPr>
        <w:spacing w:after="0" w:line="377" w:lineRule="exact"/>
        <w:rPr>
          <w:rFonts w:ascii="Arial" w:cs="Arial" w:eastAsia="Arial" w:hAnsi="Arial"/>
          <w:sz w:val="19"/>
          <w:szCs w:val="19"/>
          <w:color w:val="auto"/>
        </w:rPr>
      </w:pPr>
    </w:p>
    <w:p>
      <w:pPr>
        <w:ind w:left="1300" w:firstLine="653"/>
        <w:spacing w:after="0" w:line="263" w:lineRule="auto"/>
        <w:tabs>
          <w:tab w:leader="none" w:pos="2920" w:val="left"/>
        </w:tabs>
        <w:numPr>
          <w:ilvl w:val="1"/>
          <w:numId w:val="13"/>
        </w:numPr>
        <w:rPr>
          <w:rFonts w:ascii="Arial" w:cs="Arial" w:eastAsia="Arial" w:hAnsi="Arial"/>
          <w:sz w:val="22"/>
          <w:szCs w:val="22"/>
          <w:color w:val="auto"/>
        </w:rPr>
      </w:pPr>
      <w:r>
        <w:rPr>
          <w:rFonts w:ascii="Arial" w:cs="Arial" w:eastAsia="Arial" w:hAnsi="Arial"/>
          <w:sz w:val="22"/>
          <w:szCs w:val="22"/>
          <w:color w:val="auto"/>
        </w:rPr>
        <w:t>a statement whether or not such Record Stockholder or beneficial owner will deliver a proxy statement and form of proxy to holders of, in the case of a proposal, at least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53" w:right="239" w:bottom="1440" w:gutter="0" w:footer="0" w:header="0"/>
        </w:sectPr>
      </w:pPr>
    </w:p>
    <w:bookmarkStart w:id="46" w:name="page47"/>
    <w:bookmarkEnd w:id="46"/>
    <w:p>
      <w:pPr>
        <w:jc w:val="both"/>
        <w:ind w:left="1300"/>
        <w:spacing w:after="0" w:line="248" w:lineRule="auto"/>
        <w:rPr>
          <w:sz w:val="20"/>
          <w:szCs w:val="20"/>
          <w:color w:val="auto"/>
        </w:rPr>
      </w:pPr>
      <w:r>
        <w:rPr>
          <w:rFonts w:ascii="Arial" w:cs="Arial" w:eastAsia="Arial" w:hAnsi="Arial"/>
          <w:sz w:val="22"/>
          <w:szCs w:val="22"/>
          <w:color w:val="auto"/>
        </w:rPr>
        <w:t>the percentage of voting power of all of the shares of capital stock of the Corporation required under applicable law to carry the proposal or, in the case of a nomination or nominations, at least the percentage of voting power of all of the shares of capital stock of the Corporation reasonably believed by such Record Stockholder or beneficial holder to be sufficient to elect the nominee or nominees proposed to be nominated by such Record Stockholder (such statement, a “Solicitation Statement”).</w:t>
      </w:r>
    </w:p>
    <w:p>
      <w:pPr>
        <w:spacing w:after="0" w:line="138" w:lineRule="exact"/>
        <w:rPr>
          <w:sz w:val="20"/>
          <w:szCs w:val="20"/>
          <w:color w:val="auto"/>
        </w:rPr>
      </w:pPr>
    </w:p>
    <w:p>
      <w:pPr>
        <w:jc w:val="both"/>
        <w:ind w:firstLine="656"/>
        <w:spacing w:after="0" w:line="246" w:lineRule="auto"/>
        <w:tabs>
          <w:tab w:leader="none" w:pos="1549"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Notwithstanding anything in the second sentence of the third paragraph of this Section 1 to the contrary, in the event that the number of directors to be elected to the Board is increased and there is no public announcement naming all of the nominees for director or specifying the size of the increased Board made by the Corporation at least 55 days prior to the Anniversary, a Record Stockholder’s notice required by this By-Law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announcement is first made by the Corporation.</w:t>
      </w:r>
    </w:p>
    <w:p>
      <w:pPr>
        <w:spacing w:after="0" w:line="143" w:lineRule="exact"/>
        <w:rPr>
          <w:rFonts w:ascii="Arial" w:cs="Arial" w:eastAsia="Arial" w:hAnsi="Arial"/>
          <w:sz w:val="22"/>
          <w:szCs w:val="22"/>
          <w:color w:val="auto"/>
        </w:rPr>
      </w:pPr>
    </w:p>
    <w:p>
      <w:pPr>
        <w:jc w:val="both"/>
        <w:ind w:firstLine="656"/>
        <w:spacing w:after="0" w:line="246" w:lineRule="auto"/>
        <w:tabs>
          <w:tab w:leader="none" w:pos="1549"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person shall not be eligible for election or re-election as a director at an annual meeting unless (i) the person is nominated by a Record Stockholder in accordance with Section 1(2)(c) or (ii) the person is nominated by or at the direction of the Board. Only such business shall be conducted at an annual meeting of stockholders as shall have been brought before the meeting in accordance with the procedures set forth in this section. The chairman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defectively proposed business or nomination shall not be presented for stockholder action at the meeting and shall be disregarded.</w:t>
      </w:r>
    </w:p>
    <w:p>
      <w:pPr>
        <w:spacing w:after="0" w:line="140" w:lineRule="exact"/>
        <w:rPr>
          <w:rFonts w:ascii="Arial" w:cs="Arial" w:eastAsia="Arial" w:hAnsi="Arial"/>
          <w:sz w:val="22"/>
          <w:szCs w:val="22"/>
          <w:color w:val="auto"/>
        </w:rPr>
      </w:pPr>
    </w:p>
    <w:p>
      <w:pPr>
        <w:jc w:val="both"/>
        <w:ind w:firstLine="656"/>
        <w:spacing w:after="0" w:line="271" w:lineRule="auto"/>
        <w:tabs>
          <w:tab w:leader="none" w:pos="1549" w:val="left"/>
        </w:tabs>
        <w:numPr>
          <w:ilvl w:val="0"/>
          <w:numId w:val="14"/>
        </w:numPr>
        <w:rPr>
          <w:rFonts w:ascii="Arial" w:cs="Arial" w:eastAsia="Arial" w:hAnsi="Arial"/>
          <w:sz w:val="21"/>
          <w:szCs w:val="21"/>
          <w:color w:val="auto"/>
        </w:rPr>
      </w:pPr>
      <w:r>
        <w:rPr>
          <w:rFonts w:ascii="Arial" w:cs="Arial" w:eastAsia="Arial" w:hAnsi="Arial"/>
          <w:sz w:val="21"/>
          <w:szCs w:val="21"/>
          <w:color w:val="auto"/>
        </w:rPr>
        <w:t>For purposes of these By-Laws,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13" w:lineRule="exact"/>
        <w:rPr>
          <w:rFonts w:ascii="Arial" w:cs="Arial" w:eastAsia="Arial" w:hAnsi="Arial"/>
          <w:sz w:val="21"/>
          <w:szCs w:val="21"/>
          <w:color w:val="auto"/>
        </w:rPr>
      </w:pPr>
    </w:p>
    <w:p>
      <w:pPr>
        <w:jc w:val="both"/>
        <w:ind w:firstLine="656"/>
        <w:spacing w:after="0" w:line="250" w:lineRule="auto"/>
        <w:tabs>
          <w:tab w:leader="none" w:pos="1549" w:val="left"/>
        </w:tabs>
        <w:numPr>
          <w:ilvl w:val="0"/>
          <w:numId w:val="14"/>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1, a stockholder shall also comply with all applicable requirements of the Exchange Act and the rules and regulations thereunder with respect to matters set forth in this Section 1. Nothing in this Section 1 shall be deemed to affect any rights of stockholders to request inclusion of proposals in the Corporation’s proxy statement pursuant to Rule 14a-8 under the Exchange Act.</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Special Meetings.</w:t>
      </w:r>
    </w:p>
    <w:p>
      <w:pPr>
        <w:spacing w:after="0" w:line="166" w:lineRule="exact"/>
        <w:rPr>
          <w:sz w:val="20"/>
          <w:szCs w:val="20"/>
          <w:color w:val="auto"/>
        </w:rPr>
      </w:pPr>
    </w:p>
    <w:p>
      <w:pPr>
        <w:jc w:val="both"/>
        <w:ind w:firstLine="656"/>
        <w:spacing w:after="0" w:line="271" w:lineRule="auto"/>
        <w:tabs>
          <w:tab w:leader="none" w:pos="1549" w:val="left"/>
        </w:tabs>
        <w:numPr>
          <w:ilvl w:val="0"/>
          <w:numId w:val="15"/>
        </w:numPr>
        <w:rPr>
          <w:rFonts w:ascii="Arial" w:cs="Arial" w:eastAsia="Arial" w:hAnsi="Arial"/>
          <w:sz w:val="21"/>
          <w:szCs w:val="21"/>
          <w:color w:val="auto"/>
        </w:rPr>
      </w:pPr>
      <w:r>
        <w:rPr>
          <w:rFonts w:ascii="Arial" w:cs="Arial" w:eastAsia="Arial" w:hAnsi="Arial"/>
          <w:sz w:val="21"/>
          <w:szCs w:val="21"/>
          <w:color w:val="auto"/>
        </w:rPr>
        <w:t>Special meetings of the stockholders, other than those required by statute, may be called at any time only by or at the direction of the Board or by a person specifically designated with such authority by the Board. The Board may postpone or reschedule any previously scheduled special meeting. Stockholders are not entitled to call special meetings.</w:t>
      </w:r>
    </w:p>
    <w:p>
      <w:pPr>
        <w:spacing w:after="0" w:line="113" w:lineRule="exact"/>
        <w:rPr>
          <w:rFonts w:ascii="Arial" w:cs="Arial" w:eastAsia="Arial" w:hAnsi="Arial"/>
          <w:sz w:val="21"/>
          <w:szCs w:val="21"/>
          <w:color w:val="auto"/>
        </w:rPr>
      </w:pPr>
    </w:p>
    <w:p>
      <w:pPr>
        <w:jc w:val="both"/>
        <w:ind w:firstLine="656"/>
        <w:spacing w:after="0" w:line="294" w:lineRule="auto"/>
        <w:tabs>
          <w:tab w:leader="none" w:pos="1549" w:val="left"/>
        </w:tabs>
        <w:numPr>
          <w:ilvl w:val="0"/>
          <w:numId w:val="15"/>
        </w:numPr>
        <w:rPr>
          <w:rFonts w:ascii="Arial" w:cs="Arial" w:eastAsia="Arial" w:hAnsi="Arial"/>
          <w:sz w:val="19"/>
          <w:szCs w:val="19"/>
          <w:color w:val="auto"/>
        </w:rPr>
      </w:pPr>
      <w:r>
        <w:rPr>
          <w:rFonts w:ascii="Arial" w:cs="Arial" w:eastAsia="Arial" w:hAnsi="Arial"/>
          <w:sz w:val="19"/>
          <w:szCs w:val="19"/>
          <w:color w:val="auto"/>
        </w:rPr>
        <w:t>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(a) by or at the direction of the Board or (b) by any stockholder of record of the Corporation who is a stockholder of record at the time of giving of notice provided for in this paragraph, who shall be entitled to vote at the meeting and who complies with the notice procedures set forth in Section 1 of this Article II. Nominations by stockholders of persons for election to the Board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53" w:right="239" w:bottom="1440" w:gutter="0" w:footer="0" w:header="0"/>
        </w:sectPr>
      </w:pPr>
    </w:p>
    <w:bookmarkStart w:id="47" w:name="page48"/>
    <w:bookmarkEnd w:id="47"/>
    <w:p>
      <w:pPr>
        <w:jc w:val="both"/>
        <w:spacing w:after="0" w:line="246" w:lineRule="auto"/>
        <w:rPr>
          <w:sz w:val="20"/>
          <w:szCs w:val="20"/>
          <w:color w:val="auto"/>
        </w:rPr>
      </w:pPr>
      <w:r>
        <w:rPr>
          <w:rFonts w:ascii="Arial" w:cs="Arial" w:eastAsia="Arial" w:hAnsi="Arial"/>
          <w:sz w:val="22"/>
          <w:szCs w:val="22"/>
          <w:color w:val="auto"/>
        </w:rPr>
        <w:t>be made at such a special meeting of stockholders only if the stockholder’s notice required by the third paragraph of Section 1 of this Article II shall be delivered to the Secretary at the principal executive offices of the Corporation not later than the close of business on the later of the 90th day prior to such special meeting or the 10th day following the day on which public announcement is first made of the date of the special meeting and of the nominees proposed by the Board to be elected at such meeting. A person shall not be eligible for election or reelection as a director at a special meeting unless the person is nominated (i) by or at the direction of the Board or (ii) by a Record Stockholder in accordance with the notice procedures set forth in Section 1 of this Article II.</w:t>
      </w:r>
    </w:p>
    <w:p>
      <w:pPr>
        <w:spacing w:after="0" w:line="143" w:lineRule="exact"/>
        <w:rPr>
          <w:sz w:val="20"/>
          <w:szCs w:val="20"/>
          <w:color w:val="auto"/>
        </w:rPr>
      </w:pPr>
    </w:p>
    <w:p>
      <w:pPr>
        <w:jc w:val="both"/>
        <w:ind w:firstLine="656"/>
        <w:spacing w:after="0" w:line="250" w:lineRule="auto"/>
        <w:tabs>
          <w:tab w:leader="none" w:pos="1657"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2, a stockholder shall also comply with all applicable requirements of the Exchange Act and the rules and regulations thereunder with respect to matters set forth in this Section 2. Nothing in this Section 2 shall be deemed to affect any rights of stockholders to request inclusion of proposals in the Corporation’s proxy statement pursuant to Rule 14a-8 under the Exchange Act.</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Notice of Meetings.</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Notice of the place, if any, date, and time of all meetings of the stockholders, and the means of remote communications, if any, by which stockholders and proxyholders may be deemed to be present in person and vote at such meeting,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(the “DGCL”), a national securities exchange, or the Certificate of Incorporation of the Corporation). Meetings may be held without notice if all stockholders entitled to vote are present (unless any such stockholders are present for the purpose of objecting to the meeting as lawfully called or convened), or if notice is waived by those not present. Any previously scheduled meeting of the stockholders may be postponed, and (unless the Certificate of Incorporation otherwise provides) any special meeting of the stockholders may be canceled, by resolution of the Board upon public notice given prior to the time previously scheduled for such meeting of stockholders.</w:t>
      </w:r>
    </w:p>
    <w:p>
      <w:pPr>
        <w:spacing w:after="0" w:line="10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provided, however, that if the date of any adjourned meeting is more than thirty (30) 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which might have been transacted at the original meeting.</w:t>
      </w:r>
    </w:p>
    <w:p>
      <w:pPr>
        <w:spacing w:after="0" w:line="1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9"/>
          <w:szCs w:val="19"/>
          <w:u w:val="single" w:color="auto"/>
          <w:color w:val="auto"/>
        </w:rPr>
        <w:t>Quorum.</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At any meeting of the stockholders, the holders of a majority of the voting power of all of the shares of the stock entitled to vote at the meeting, present in person or by proxy, shall constitute a quorum for all purposes, unless or except to the extent that the presence of a larger number may be required by law. Where a separate vote by a class or classes or series is required, a majority of the voting power of the shares of such class or classes or series present in person or represented by proxy shall constitute a quorum entitled to take action with respect to that vote on that matter.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53" w:right="239" w:bottom="1440" w:gutter="0" w:footer="0" w:header="0"/>
        </w:sectPr>
      </w:pPr>
    </w:p>
    <w:bookmarkStart w:id="48" w:name="page49"/>
    <w:bookmarkEnd w:id="48"/>
    <w:p>
      <w:pPr>
        <w:jc w:val="both"/>
        <w:ind w:firstLine="648"/>
        <w:spacing w:after="0" w:line="343" w:lineRule="auto"/>
        <w:rPr>
          <w:sz w:val="20"/>
          <w:szCs w:val="20"/>
          <w:color w:val="auto"/>
        </w:rPr>
      </w:pPr>
      <w:r>
        <w:rPr>
          <w:rFonts w:ascii="Arial" w:cs="Arial" w:eastAsia="Arial" w:hAnsi="Arial"/>
          <w:sz w:val="19"/>
          <w:szCs w:val="19"/>
          <w:color w:val="auto"/>
        </w:rPr>
        <w:t>If a quorum shall fail to attend any meeting, (a) the chairman of the meeting or (b) the holders of a majority of the voting power of all of the shares of the stock present in person or by proxy may adjourn the meeting to another place, if any, date, or time.</w:t>
      </w:r>
    </w:p>
    <w:p>
      <w:pPr>
        <w:spacing w:after="0" w:line="5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Organization.</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Such person as the Board may have designated or, in the absence of such a person, the Chairman of the Board or, in his or her absence, such person as may be chosen by the holders of a majority of the voting power of the shares entitled to vote who are present, in person or by proxy, shall call to order any meeting of the stockholders and act as chairman of the meeting. The Board may adopt by resolution such rules or regulations for the conduct of meetings of stockholders as it shall deem appropriate. Except to the extent inconsistent with such rules and regulations as adopted by the Board,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may include, without limitation, the following: (a) the establishment of an agenda or order of business for the meeting; (b) rules and procedures for maintaining order at the meeting and the safety of those present;</w:t>
      </w:r>
    </w:p>
    <w:p>
      <w:pPr>
        <w:jc w:val="both"/>
        <w:ind w:firstLine="8"/>
        <w:spacing w:after="0" w:line="295" w:lineRule="auto"/>
        <w:tabs>
          <w:tab w:leader="none" w:pos="326" w:val="left"/>
        </w:tabs>
        <w:numPr>
          <w:ilvl w:val="0"/>
          <w:numId w:val="17"/>
        </w:numPr>
        <w:rPr>
          <w:rFonts w:ascii="Arial" w:cs="Arial" w:eastAsia="Arial" w:hAnsi="Arial"/>
          <w:sz w:val="19"/>
          <w:szCs w:val="19"/>
          <w:color w:val="auto"/>
        </w:rPr>
      </w:pPr>
      <w:r>
        <w:rPr>
          <w:rFonts w:ascii="Arial" w:cs="Arial" w:eastAsia="Arial" w:hAnsi="Arial"/>
          <w:sz w:val="19"/>
          <w:szCs w:val="19"/>
          <w:color w:val="auto"/>
        </w:rPr>
        <w:t>limitations on attendance at or participation in the meeting to stockholders of record, their duly authorized and constituted proxies or such other persons as the chairman shall permit; (d) restrictions on entry to the meeting after the time fixed for the commencement thereof, and (e) limitations on the time allotted to questions or comments by participants. In the absence of the Secretary of the Corporation, the secretary of the meeting shall be such person as the chairman of the meeting appoints.</w:t>
      </w:r>
    </w:p>
    <w:p>
      <w:pPr>
        <w:spacing w:after="0" w:line="9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6.</w:t>
      </w:r>
      <w:r>
        <w:rPr>
          <w:sz w:val="20"/>
          <w:szCs w:val="20"/>
          <w:color w:val="auto"/>
        </w:rPr>
        <w:tab/>
      </w:r>
      <w:r>
        <w:rPr>
          <w:rFonts w:ascii="Arial" w:cs="Arial" w:eastAsia="Arial" w:hAnsi="Arial"/>
          <w:sz w:val="19"/>
          <w:szCs w:val="19"/>
          <w:u w:val="single" w:color="auto"/>
          <w:color w:val="auto"/>
        </w:rPr>
        <w:t>Conduct of Business.</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chairman of any meeting of stockholders shall determine the order of business and the procedure at the meeting, including such regulation of the manner of voting and the conduct of discussion as seem to him or her in order. The chairman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7.</w:t>
      </w:r>
      <w:r>
        <w:rPr>
          <w:sz w:val="20"/>
          <w:szCs w:val="20"/>
          <w:color w:val="auto"/>
        </w:rPr>
        <w:tab/>
      </w:r>
      <w:r>
        <w:rPr>
          <w:rFonts w:ascii="Arial" w:cs="Arial" w:eastAsia="Arial" w:hAnsi="Arial"/>
          <w:sz w:val="19"/>
          <w:szCs w:val="19"/>
          <w:u w:val="single" w:color="auto"/>
          <w:color w:val="auto"/>
        </w:rPr>
        <w:t>Proxies and Voting.</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 duly appointed inspector or inspectors.</w:t>
      </w:r>
    </w:p>
    <w:p>
      <w:pPr>
        <w:spacing w:after="0" w:line="12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All elections shall be determined by a plurality of the votes cast, and except as otherwise required by law, all other matters shall be determined by a majority of the votes cast affirmatively or negatively.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53" w:right="239" w:bottom="1440" w:gutter="0" w:footer="0" w:header="0"/>
        </w:sectPr>
      </w:pPr>
    </w:p>
    <w:bookmarkStart w:id="49" w:name="page50"/>
    <w:bookmarkEnd w:id="49"/>
    <w:p>
      <w:pPr>
        <w:jc w:val="both"/>
        <w:ind w:firstLine="648"/>
        <w:spacing w:after="0" w:line="253" w:lineRule="auto"/>
        <w:rPr>
          <w:sz w:val="20"/>
          <w:szCs w:val="20"/>
          <w:color w:val="auto"/>
        </w:rPr>
      </w:pPr>
      <w:r>
        <w:rPr>
          <w:rFonts w:ascii="Arial" w:cs="Arial" w:eastAsia="Arial" w:hAnsi="Arial"/>
          <w:sz w:val="22"/>
          <w:szCs w:val="22"/>
          <w:color w:val="auto"/>
        </w:rPr>
        <w:t>Subject to the rights of the holders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8.</w:t>
      </w:r>
      <w:r>
        <w:rPr>
          <w:sz w:val="20"/>
          <w:szCs w:val="20"/>
          <w:color w:val="auto"/>
        </w:rPr>
        <w:tab/>
      </w:r>
      <w:r>
        <w:rPr>
          <w:rFonts w:ascii="Arial" w:cs="Arial" w:eastAsia="Arial" w:hAnsi="Arial"/>
          <w:sz w:val="19"/>
          <w:szCs w:val="19"/>
          <w:u w:val="single" w:color="auto"/>
          <w:color w:val="auto"/>
        </w:rPr>
        <w:t>Stock List.</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 period of at least 10 days prior to the meeting in the manner provided by law.</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240" w:lineRule="exact"/>
        <w:rPr>
          <w:sz w:val="20"/>
          <w:szCs w:val="20"/>
          <w:color w:val="auto"/>
        </w:rPr>
      </w:pPr>
    </w:p>
    <w:p>
      <w:pPr>
        <w:ind w:left="660" w:right="3540" w:firstLine="3539"/>
        <w:spacing w:after="0" w:line="397" w:lineRule="auto"/>
        <w:rPr>
          <w:sz w:val="20"/>
          <w:szCs w:val="20"/>
          <w:color w:val="auto"/>
        </w:rPr>
      </w:pP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 </w:t>
      </w:r>
      <w:r>
        <w:rPr>
          <w:rFonts w:ascii="Arial" w:cs="Arial" w:eastAsia="Arial" w:hAnsi="Arial"/>
          <w:sz w:val="22"/>
          <w:szCs w:val="22"/>
          <w:u w:val="single" w:color="auto"/>
          <w:color w:val="auto"/>
        </w:rPr>
        <w:t>BOARD OF DIRECTORS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 Number, Election and Term of Directors.</w:t>
      </w:r>
    </w:p>
    <w:p>
      <w:pPr>
        <w:jc w:val="both"/>
        <w:ind w:firstLine="648"/>
        <w:spacing w:after="0" w:line="253" w:lineRule="auto"/>
        <w:rPr>
          <w:sz w:val="20"/>
          <w:szCs w:val="20"/>
          <w:color w:val="auto"/>
        </w:rPr>
      </w:pPr>
      <w:r>
        <w:rPr>
          <w:rFonts w:ascii="Arial" w:cs="Arial" w:eastAsia="Arial" w:hAnsi="Arial"/>
          <w:sz w:val="22"/>
          <w:szCs w:val="22"/>
          <w:color w:val="auto"/>
        </w:rPr>
        <w:t>Subject to the rights of the holders of any series of preferred stock to elect directors under specified circumstances, the number of directors shall be fixed from time to time exclusively by the Board pursuant to a resolution adopted by a majority of the Board.</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Newly Created Directorships and Vacancies.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unless otherwise required by law or by resolution of the Board, be filled only by a majority vote of the directors then in office, though less than a quorum (and not by stockholders). No decrease in the number of authorized directors shall shorten the term of any incumbent director.</w:t>
      </w:r>
    </w:p>
    <w:p>
      <w:pPr>
        <w:spacing w:after="0" w:line="1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Regular Meetings.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Regular meetings of the Board shall be held at such place or places, on such date or dates, and at such time or times as shall have been established by the Board and publicized among all directors.</w:t>
      </w:r>
    </w:p>
    <w:p>
      <w:pPr>
        <w:spacing w:after="0" w:line="12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9"/>
          <w:szCs w:val="19"/>
          <w:u w:val="single" w:color="auto"/>
          <w:color w:val="auto"/>
        </w:rPr>
        <w:t>Special Meetings.</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Special meetings of the Board may be called by the Chairman of the Board, the CEO or by a majority of the Board and shall be held at such place, on such date, and at such time as they or he or she shall fix. Notice of the place, date, and time of each such special meeting shall be given to each director by whom it is not waived by mailing written notice not less than five (5) days before the meeting or by telephone or by telegraphing or telexing or by facsimile or electronic transmission of the same not less than twenty-four (24) hours before the meeting. Unless otherwise indicated in the notice thereof, any and all business may be transacted at a special meeting. A meeting may be held at any time without notice if all the directors are present or if those not present waive notice of the meeting in accordance with Section 2 of Article VII of these By-Laws.</w:t>
      </w:r>
    </w:p>
    <w:p>
      <w:pPr>
        <w:spacing w:after="0" w:line="9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Quorum.</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At any meeting of the Board, a majority of the total number of directors shall constitute a quorum for all purposes. If a quorum shall fail to attend any meeting, a majority of those present may adjourn the meeting to another place, date, or time, without further notice or waiver thereof.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53" w:right="239" w:bottom="1440" w:gutter="0" w:footer="0" w:header="0"/>
        </w:sectPr>
      </w:pPr>
    </w:p>
    <w:bookmarkStart w:id="50" w:name="page51"/>
    <w:bookmarkEnd w:id="50"/>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6.</w:t>
      </w:r>
      <w:r>
        <w:rPr>
          <w:sz w:val="20"/>
          <w:szCs w:val="20"/>
          <w:color w:val="auto"/>
        </w:rPr>
        <w:tab/>
      </w:r>
      <w:r>
        <w:rPr>
          <w:rFonts w:ascii="Arial" w:cs="Arial" w:eastAsia="Arial" w:hAnsi="Arial"/>
          <w:sz w:val="19"/>
          <w:szCs w:val="19"/>
          <w:u w:val="single" w:color="auto"/>
          <w:color w:val="auto"/>
        </w:rPr>
        <w:t>Participation in Meetings By Conference Telephone.</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Members of the Board, or of any committee thereof, may participate in a meeting of such Board or committee by means of conference telephone or other communications equipment by means of which all persons participating in the meeting can hear each other and such participation shall constitute presence in person at such meeting.</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7.</w:t>
      </w:r>
      <w:r>
        <w:rPr>
          <w:sz w:val="20"/>
          <w:szCs w:val="20"/>
          <w:color w:val="auto"/>
        </w:rPr>
        <w:tab/>
      </w:r>
      <w:r>
        <w:rPr>
          <w:rFonts w:ascii="Arial" w:cs="Arial" w:eastAsia="Arial" w:hAnsi="Arial"/>
          <w:sz w:val="19"/>
          <w:szCs w:val="19"/>
          <w:u w:val="single" w:color="auto"/>
          <w:color w:val="auto"/>
        </w:rPr>
        <w:t>Conduct of Business.</w:t>
      </w:r>
    </w:p>
    <w:p>
      <w:pPr>
        <w:spacing w:after="0" w:line="1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At any meeting of the Board, business shall be transacted in such order and manner as the Board may from time to time determine, and all matters shall be determined by the vote of a majority of the directors present, except as otherwise provided herein or required by law. Action may be taken by the Board without a meeting if all members thereof consent thereto in writing or by electronic transmission, and the writing or writings or electronic transmission or transmissions are filed with the minutes of proceedings of the Board. Such filing shall be in paper form if the minutes are maintained in paper form and shall be in electronic form if the minutes are maintained in electronic form.</w:t>
      </w:r>
    </w:p>
    <w:p>
      <w:pPr>
        <w:spacing w:after="0" w:line="14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8.</w:t>
      </w:r>
      <w:r>
        <w:rPr>
          <w:sz w:val="20"/>
          <w:szCs w:val="20"/>
          <w:color w:val="auto"/>
        </w:rPr>
        <w:tab/>
      </w:r>
      <w:r>
        <w:rPr>
          <w:rFonts w:ascii="Arial" w:cs="Arial" w:eastAsia="Arial" w:hAnsi="Arial"/>
          <w:sz w:val="19"/>
          <w:szCs w:val="19"/>
          <w:u w:val="single" w:color="auto"/>
          <w:color w:val="auto"/>
        </w:rPr>
        <w:t>Compensation of Directors.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Unless otherwise restricted by the certificate of incorporation, the Board shall have the authority to fix the compensation of the directors. The directors may be paid their expenses, if any, of attendance at each meeting of the Board and may be paid a fixed sum for attendance at each meeting of the Board or paid a stated salary or paid other compensation as a director. No such payment shall preclude any director from serving the Corporation in any other capacity and receiving compensation therefor. Members of special or standing committees may be allowed compensation for such service.</w:t>
      </w:r>
    </w:p>
    <w:p>
      <w:pPr>
        <w:spacing w:after="0" w:line="188" w:lineRule="exact"/>
        <w:rPr>
          <w:sz w:val="20"/>
          <w:szCs w:val="20"/>
          <w:color w:val="auto"/>
        </w:rPr>
      </w:pPr>
    </w:p>
    <w:p>
      <w:pPr>
        <w:ind w:left="660" w:right="2080" w:firstLine="2072"/>
        <w:spacing w:after="0" w:line="397" w:lineRule="auto"/>
        <w:rPr>
          <w:sz w:val="20"/>
          <w:szCs w:val="20"/>
          <w:color w:val="auto"/>
        </w:rPr>
      </w:pP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 </w:t>
      </w:r>
      <w:r>
        <w:rPr>
          <w:rFonts w:ascii="Arial" w:cs="Arial" w:eastAsia="Arial" w:hAnsi="Arial"/>
          <w:sz w:val="22"/>
          <w:szCs w:val="22"/>
          <w:u w:val="single" w:color="auto"/>
          <w:color w:val="auto"/>
        </w:rPr>
        <w:t>COMMITTEES; CONDUCT OF BUSINESS; CHAIRMAN</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 Committees of the Board.</w:t>
      </w:r>
    </w:p>
    <w:p>
      <w:pPr>
        <w:jc w:val="both"/>
        <w:ind w:firstLine="648"/>
        <w:spacing w:after="0" w:line="292" w:lineRule="auto"/>
        <w:rPr>
          <w:sz w:val="20"/>
          <w:szCs w:val="20"/>
          <w:color w:val="auto"/>
        </w:rPr>
      </w:pPr>
      <w:r>
        <w:rPr>
          <w:rFonts w:ascii="Arial" w:cs="Arial" w:eastAsia="Arial" w:hAnsi="Arial"/>
          <w:sz w:val="19"/>
          <w:szCs w:val="19"/>
          <w:color w:val="auto"/>
        </w:rPr>
        <w:t>The Board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to act at the meeting in the place of the absent or disqualified member.</w:t>
      </w:r>
    </w:p>
    <w:p>
      <w:pPr>
        <w:spacing w:after="0" w:line="9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Conduct of Business.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but never less than two members, shall constitute a quorum, unless the committee shall consist of one (1) member, in which event one (1) member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3" w:right="239" w:bottom="1440" w:gutter="0" w:footer="0" w:header="0"/>
        </w:sectPr>
      </w:pPr>
    </w:p>
    <w:bookmarkStart w:id="51" w:name="page52"/>
    <w:bookmarkEnd w:id="51"/>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Chairman of the Board.</w:t>
      </w:r>
    </w:p>
    <w:p>
      <w:pPr>
        <w:spacing w:after="0" w:line="1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Board may elect one of its members to be Chairman of the Board and may fill any vacancy in the position of Chairman of the Board at such time and in such manner as the Board shall determine. The Chairman of the Board may but need not be an officer of or employed by the Corporation. Unless the resolutions appointing the Chairman of the Board specify that the Chairman of the Board shall be an officer, the Chairman of the Board shall not be an officer. The Chairman of the Board, if such be elected, shall, if present, preside at all meetings of the Board and exercise and perform such other powers and duties as be from time to time assigned to him by the Board.</w:t>
      </w:r>
    </w:p>
    <w:p>
      <w:pPr>
        <w:spacing w:after="0" w:line="234" w:lineRule="exact"/>
        <w:rPr>
          <w:sz w:val="20"/>
          <w:szCs w:val="20"/>
          <w:color w:val="auto"/>
        </w:rPr>
      </w:pPr>
    </w:p>
    <w:p>
      <w:pPr>
        <w:ind w:left="4880"/>
        <w:spacing w:after="0"/>
        <w:rPr>
          <w:sz w:val="20"/>
          <w:szCs w:val="20"/>
          <w:color w:val="auto"/>
        </w:rPr>
      </w:pP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 </w:t>
      </w:r>
      <w:r>
        <w:rPr>
          <w:rFonts w:ascii="Arial" w:cs="Arial" w:eastAsia="Arial" w:hAnsi="Arial"/>
          <w:sz w:val="22"/>
          <w:szCs w:val="22"/>
          <w:u w:val="single" w:color="auto"/>
          <w:color w:val="auto"/>
        </w:rPr>
        <w:t>OFFICERS</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Generally.</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Corporation shall have a Chief Executive Officer (the “CEO”), a Secretary, a Treasurer and such other officers as may from time to time be appointed by the Board, all of whom shall perform such duties as from time to time may be prescribed by the Board. Any two (2) or more offices may be held by the same person. Officers shall be elected by the Board,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 The salaries of officers elected by the Board shall be fixed from time to time by the Board or by such officers as may be designated by resolution of the Board.</w:t>
      </w:r>
    </w:p>
    <w:p>
      <w:pPr>
        <w:spacing w:after="0" w:line="14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The Chief Executive Officer.</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provisions of these By-laws and to the direction of the Board, the CEO shall have the responsibility for the general management and control of the business and affairs of the Corporation and shall perform all duties and have all powers which are commonly incident to the office of chief executive or which are delegated to him or her by the Board. He or she shall have power to sign all stock certificates, contracts and other instruments of the Corporation which are authorized and shall have general supervision and direction of all of the other officers, employees and agents of the Corporation.</w:t>
      </w:r>
    </w:p>
    <w:p>
      <w:pPr>
        <w:spacing w:after="0" w:line="9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President.</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Board or the CEO may elect a President of the Corporation to have such duties and responsibilities as from time to time may be assigned to him by the CEO or the Board. He or she shall have general responsibility for the management and control of the operations of the Corporation and shall perform all duties and have all powers which are commonly incident to the office of chief operating officer or which are delegated to him or her by the Board or the CEO. Subject to the direction of the Board and the Chairman of the Board, the President shall have power to sign all stock certificates, contracts and other instruments of the Corporation which are authorized, and to all acts which are authorized by the CEO or the Board, and shall, in general, have such other duties and responsibilities as are assigned consistent with the authority of President of a corporation.</w:t>
      </w:r>
    </w:p>
    <w:p>
      <w:pPr>
        <w:spacing w:after="0" w:line="9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9"/>
          <w:szCs w:val="19"/>
          <w:u w:val="single" w:color="auto"/>
          <w:color w:val="auto"/>
        </w:rPr>
        <w:t>Chief Financial Officer.</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The Chief Financial Officer (if any) shall act in an executive financial capacity. He shall assist the CEO and the President, if any, in the general supervision of the Corporation’s financial policies and affairs. Subject to the direction of the Board and the Chairman of the Board, the Chief Financial Officer shall have the power to sign all stock certificates, contracts and other instruments of the Corporation which are authorized and shall, in general, have such other duties and responsibilities as are assigned consistently with the authority of a Chief Financial Officer of a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53" w:right="239" w:bottom="1440" w:gutter="0" w:footer="0" w:header="0"/>
        </w:sectPr>
      </w:pPr>
    </w:p>
    <w:bookmarkStart w:id="52" w:name="page53"/>
    <w:bookmarkEnd w:id="52"/>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Vice Presidents.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Board or the CEO may from time to time name one or more Vice Presidents that may include the designation of Executive Vice Presidents or Senior Vice Presidents all of whom shall perform such duties as from time to time may be assigned to him by the CEO or the Board.</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6.</w:t>
      </w:r>
      <w:r>
        <w:rPr>
          <w:sz w:val="20"/>
          <w:szCs w:val="20"/>
          <w:color w:val="auto"/>
        </w:rPr>
        <w:tab/>
      </w:r>
      <w:r>
        <w:rPr>
          <w:rFonts w:ascii="Arial" w:cs="Arial" w:eastAsia="Arial" w:hAnsi="Arial"/>
          <w:sz w:val="18"/>
          <w:szCs w:val="18"/>
          <w:u w:val="single" w:color="auto"/>
          <w:color w:val="auto"/>
        </w:rPr>
        <w:t>Treasurer.</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may from time to time prescribe.</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7.</w:t>
      </w:r>
      <w:r>
        <w:rPr>
          <w:sz w:val="20"/>
          <w:szCs w:val="20"/>
          <w:color w:val="auto"/>
        </w:rPr>
        <w:tab/>
      </w:r>
      <w:r>
        <w:rPr>
          <w:rFonts w:ascii="Arial" w:cs="Arial" w:eastAsia="Arial" w:hAnsi="Arial"/>
          <w:sz w:val="18"/>
          <w:szCs w:val="18"/>
          <w:u w:val="single" w:color="auto"/>
          <w:color w:val="auto"/>
        </w:rPr>
        <w:t>Secretary.</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Secretary shall issue all authorized notices for, and shall keep minutes of, all meetings of the stockholders and the Board. He or she shall have charge of the corporate books and shall perform such other duties as the Board may from time to time prescribe.</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8.</w:t>
      </w:r>
      <w:r>
        <w:rPr>
          <w:sz w:val="20"/>
          <w:szCs w:val="20"/>
          <w:color w:val="auto"/>
        </w:rPr>
        <w:tab/>
      </w:r>
      <w:r>
        <w:rPr>
          <w:rFonts w:ascii="Arial" w:cs="Arial" w:eastAsia="Arial" w:hAnsi="Arial"/>
          <w:sz w:val="19"/>
          <w:szCs w:val="19"/>
          <w:u w:val="single" w:color="auto"/>
          <w:color w:val="auto"/>
        </w:rPr>
        <w:t>Delegation of Authority.</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Board may from time to time delegate the powers or duties of any officer to any other officers or agents, notwithstanding any provision hereof.</w:t>
      </w:r>
    </w:p>
    <w:p>
      <w:pPr>
        <w:spacing w:after="0" w:line="12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9.</w:t>
      </w:r>
      <w:r>
        <w:rPr>
          <w:sz w:val="20"/>
          <w:szCs w:val="20"/>
          <w:color w:val="auto"/>
        </w:rPr>
        <w:tab/>
      </w:r>
      <w:r>
        <w:rPr>
          <w:rFonts w:ascii="Arial" w:cs="Arial" w:eastAsia="Arial" w:hAnsi="Arial"/>
          <w:sz w:val="19"/>
          <w:szCs w:val="19"/>
          <w:u w:val="single" w:color="auto"/>
          <w:color w:val="auto"/>
        </w:rPr>
        <w:t>Removal.</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officer of the Corporation may be removed at any time, with or without cause, by the Board.</w:t>
      </w:r>
    </w:p>
    <w:p>
      <w:pPr>
        <w:spacing w:after="0" w:line="260"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 </w:t>
      </w:r>
      <w:r>
        <w:rPr>
          <w:rFonts w:ascii="Arial" w:cs="Arial" w:eastAsia="Arial" w:hAnsi="Arial"/>
          <w:sz w:val="22"/>
          <w:szCs w:val="22"/>
          <w:u w:val="single" w:color="auto"/>
          <w:color w:val="auto"/>
        </w:rPr>
        <w:t>STOCK</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Certificates of Stock.</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stock of the Corporation shall be represented by certificates, provided that the Board may provide by resolution for any or all of the stock to be uncertificated shares. Each holder of stock represented by certificates shall be entitled to a certificate signed by, or in the name of the Corporation by, the Chairman or President, if any (or any Vice President), and by the Secretary or an Assistant Secretary, or the Treasurer or an Assistant Treasurer, certifying the number of shares owned by him or her. Any or all of the signatures on the certificate may be by facsimile. In case any officer who has signed or whose facsimile signature has been placed upon a certificate shall have ceased to be such officer before such certificate is issued, it may be issued by the Corporation with the same effect as if he or she were such officer at the date of issue.</w:t>
      </w:r>
    </w:p>
    <w:p>
      <w:pPr>
        <w:spacing w:after="0" w:line="12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Record Date.</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may, except as otherwise required by law,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53" w:right="239" w:bottom="1440" w:gutter="0" w:footer="0" w:header="0"/>
        </w:sectPr>
      </w:pPr>
    </w:p>
    <w:bookmarkStart w:id="53" w:name="page54"/>
    <w:bookmarkEnd w:id="53"/>
    <w:p>
      <w:pPr>
        <w:jc w:val="both"/>
        <w:spacing w:after="0" w:line="253" w:lineRule="auto"/>
        <w:rPr>
          <w:sz w:val="20"/>
          <w:szCs w:val="20"/>
          <w:color w:val="auto"/>
        </w:rPr>
      </w:pPr>
      <w:r>
        <w:rPr>
          <w:rFonts w:ascii="Arial" w:cs="Arial" w:eastAsia="Arial" w:hAnsi="Arial"/>
          <w:sz w:val="22"/>
          <w:szCs w:val="22"/>
          <w:color w:val="auto"/>
        </w:rPr>
        <w:t>of any dividend or other distribution or allotment of rights or to exercise any rights of change, conversion or exchange of stock or for any other purpose, the record date shall be at the close of business on the day on which the Board adopts a resolution relating thereto.</w:t>
      </w:r>
    </w:p>
    <w:p>
      <w:pPr>
        <w:spacing w:after="0" w:line="13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A determination of stockholders of record entitled to notice of or to vote at a meeting of stockholders shall apply to any adjournment of the meeting; provided, however, that the Board may fix a new record date for the adjourned meeting.</w:t>
      </w:r>
    </w:p>
    <w:p>
      <w:pPr>
        <w:spacing w:after="0" w:line="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Lost, Stolen or Destroyed Certificates.</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the event of the loss, theft or destruction of any certificate of stock, another may be issued in its place pursuant to such regulations as the Board may establish concerning proof of such loss, theft or destruction and concerning the giving of a satisfactory bond or bonds of indemnity. When authorizing such issue of new certificate(s), the Board may, in its discretion and as a condition precedent to the issuance thereof, require the owner of the lost or destroyed certificate(s), or such owner’s legal representative, to advertise the same in such manner as it shall require and/or to give the Corporation a bond in such sum as it may direct as indemnity against any claim that may be made against the Corporation with respect to the certificate(s) alleged to have been lost or destroyed.</w:t>
      </w:r>
    </w:p>
    <w:p>
      <w:pPr>
        <w:spacing w:after="0" w:line="14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9"/>
          <w:szCs w:val="19"/>
          <w:u w:val="single" w:color="auto"/>
          <w:color w:val="auto"/>
        </w:rPr>
        <w:t>Regulations.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 transfer, conversion and registration of certificates of stock shall be governed by such other regulations as the Board may establish.</w:t>
      </w:r>
    </w:p>
    <w:p>
      <w:pPr>
        <w:spacing w:after="0" w:line="215"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 </w:t>
      </w:r>
      <w:r>
        <w:rPr>
          <w:rFonts w:ascii="Arial" w:cs="Arial" w:eastAsia="Arial" w:hAnsi="Arial"/>
          <w:sz w:val="22"/>
          <w:szCs w:val="22"/>
          <w:u w:val="single" w:color="auto"/>
          <w:color w:val="auto"/>
        </w:rPr>
        <w:t>NOTICES</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Notices.</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DGCL.</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Waivers.</w:t>
      </w:r>
    </w:p>
    <w:p>
      <w:pPr>
        <w:spacing w:after="0" w:line="1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shall constitute waiver of notice except attendance for the sole purpose of objecting to the transaction of business because the meeting is not lawfully called or convened.</w:t>
      </w:r>
    </w:p>
    <w:p>
      <w:pPr>
        <w:spacing w:after="0" w:line="233" w:lineRule="exact"/>
        <w:rPr>
          <w:sz w:val="20"/>
          <w:szCs w:val="20"/>
          <w:color w:val="auto"/>
        </w:rPr>
      </w:pPr>
    </w:p>
    <w:p>
      <w:pPr>
        <w:ind w:left="4380"/>
        <w:spacing w:after="0"/>
        <w:rPr>
          <w:sz w:val="20"/>
          <w:szCs w:val="20"/>
          <w:color w:val="auto"/>
        </w:rPr>
      </w:pP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 </w:t>
      </w:r>
      <w:r>
        <w:rPr>
          <w:rFonts w:ascii="Arial" w:cs="Arial" w:eastAsia="Arial" w:hAnsi="Arial"/>
          <w:sz w:val="22"/>
          <w:szCs w:val="22"/>
          <w:u w:val="single" w:color="auto"/>
          <w:color w:val="auto"/>
        </w:rPr>
        <w:t>MISCELLANEOUS</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1.</w:t>
      </w:r>
      <w:r>
        <w:rPr>
          <w:sz w:val="20"/>
          <w:szCs w:val="20"/>
          <w:color w:val="auto"/>
        </w:rPr>
        <w:tab/>
      </w:r>
      <w:r>
        <w:rPr>
          <w:rFonts w:ascii="Arial" w:cs="Arial" w:eastAsia="Arial" w:hAnsi="Arial"/>
          <w:sz w:val="19"/>
          <w:szCs w:val="19"/>
          <w:u w:val="single" w:color="auto"/>
          <w:color w:val="auto"/>
        </w:rPr>
        <w:t>Facsimile Signatures.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addition to the provisions for use of facsimile signatures elsewhere specifically authorized in these By-laws, facsimile signatures of any officer or officers of the Corporation may be used whenever and as authorized by the Board or a committee thereof.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53" w:right="239" w:bottom="1440" w:gutter="0" w:footer="0" w:header="0"/>
        </w:sectPr>
      </w:pPr>
    </w:p>
    <w:bookmarkStart w:id="54" w:name="page55"/>
    <w:bookmarkEnd w:id="54"/>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Corporate Seal.</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corporate seal shall have inscribed thereon the name of the Corporation, the year of its organization, and the words “Corporate Seal, Delaware”. The seal may be used by causing it or a facsimile thereof to be impressed or affixed or otherwise reproduced.</w:t>
      </w:r>
    </w:p>
    <w:p>
      <w:pPr>
        <w:spacing w:after="0" w:line="13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3.</w:t>
      </w:r>
      <w:r>
        <w:rPr>
          <w:sz w:val="20"/>
          <w:szCs w:val="20"/>
          <w:color w:val="auto"/>
        </w:rPr>
        <w:tab/>
      </w:r>
      <w:r>
        <w:rPr>
          <w:rFonts w:ascii="Arial" w:cs="Arial" w:eastAsia="Arial" w:hAnsi="Arial"/>
          <w:sz w:val="19"/>
          <w:szCs w:val="19"/>
          <w:u w:val="single" w:color="auto"/>
          <w:color w:val="auto"/>
        </w:rPr>
        <w:t>Reliance upon Books, Reports and Records.</w:t>
      </w:r>
    </w:p>
    <w:p>
      <w:pPr>
        <w:spacing w:after="0" w:line="1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Each director, each member of any committee designated by the Board,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4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4.</w:t>
      </w:r>
      <w:r>
        <w:rPr>
          <w:sz w:val="20"/>
          <w:szCs w:val="20"/>
          <w:color w:val="auto"/>
        </w:rPr>
        <w:tab/>
      </w:r>
      <w:r>
        <w:rPr>
          <w:rFonts w:ascii="Arial" w:cs="Arial" w:eastAsia="Arial" w:hAnsi="Arial"/>
          <w:sz w:val="18"/>
          <w:szCs w:val="18"/>
          <w:u w:val="single" w:color="auto"/>
          <w:color w:val="auto"/>
        </w:rPr>
        <w:t>Fiscal Year.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fiscal year of the Corporation shall be as fixed by the Board.</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5.</w:t>
      </w:r>
      <w:r>
        <w:rPr>
          <w:sz w:val="20"/>
          <w:szCs w:val="20"/>
          <w:color w:val="auto"/>
        </w:rPr>
        <w:tab/>
      </w:r>
      <w:r>
        <w:rPr>
          <w:rFonts w:ascii="Arial" w:cs="Arial" w:eastAsia="Arial" w:hAnsi="Arial"/>
          <w:sz w:val="19"/>
          <w:szCs w:val="19"/>
          <w:u w:val="single" w:color="auto"/>
          <w:color w:val="auto"/>
        </w:rPr>
        <w:t>Time Periods.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1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6.</w:t>
      </w:r>
      <w:r>
        <w:rPr>
          <w:sz w:val="20"/>
          <w:szCs w:val="20"/>
          <w:color w:val="auto"/>
        </w:rPr>
        <w:tab/>
      </w:r>
      <w:r>
        <w:rPr>
          <w:rFonts w:ascii="Arial" w:cs="Arial" w:eastAsia="Arial" w:hAnsi="Arial"/>
          <w:sz w:val="19"/>
          <w:szCs w:val="19"/>
          <w:u w:val="single" w:color="auto"/>
          <w:color w:val="auto"/>
        </w:rPr>
        <w:t>Forum for Certain Actions.</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Unless the Corporation consents in writing to the selection of an alternative forum, the Court of Chancery of the State of Delaware (the “Court of Chancery”)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the Certificate of Incorporation of the Corporation or these By-laws, or (iv) any action asserting a claim against the Corporation, its directors, officers or employees governed by the internal affairs doctrine, except as to each of (i) 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in Section 6 of this Article VIII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in Section 6 of this Article VIII (including, without limitation, each portion of any sentence in Section 6 of this Article VIII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53" w:right="239" w:bottom="1440" w:gutter="0" w:footer="0" w:header="0"/>
        </w:sectPr>
      </w:pPr>
    </w:p>
    <w:bookmarkStart w:id="55" w:name="page56"/>
    <w:bookmarkEnd w:id="55"/>
    <w:p>
      <w:pPr>
        <w:ind w:left="660" w:right="2160" w:firstLine="2158"/>
        <w:spacing w:after="0" w:line="397" w:lineRule="auto"/>
        <w:rPr>
          <w:sz w:val="20"/>
          <w:szCs w:val="20"/>
          <w:color w:val="auto"/>
        </w:rPr>
      </w:pP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 </w:t>
      </w:r>
      <w:r>
        <w:rPr>
          <w:rFonts w:ascii="Arial" w:cs="Arial" w:eastAsia="Arial" w:hAnsi="Arial"/>
          <w:sz w:val="22"/>
          <w:szCs w:val="22"/>
          <w:u w:val="single" w:color="auto"/>
          <w:color w:val="auto"/>
        </w:rPr>
        <w:t>INDEMNIFICATION OF DIRECTORS AND OFFICERS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 Indemnification.</w:t>
      </w:r>
    </w:p>
    <w:p>
      <w:pPr>
        <w:jc w:val="both"/>
        <w:ind w:firstLine="656"/>
        <w:spacing w:after="0" w:line="284" w:lineRule="auto"/>
        <w:tabs>
          <w:tab w:leader="none" w:pos="1596" w:val="left"/>
        </w:tabs>
        <w:numPr>
          <w:ilvl w:val="0"/>
          <w:numId w:val="18"/>
        </w:numPr>
        <w:rPr>
          <w:rFonts w:ascii="Arial" w:cs="Arial" w:eastAsia="Arial" w:hAnsi="Arial"/>
          <w:sz w:val="19"/>
          <w:szCs w:val="19"/>
          <w:color w:val="auto"/>
        </w:rPr>
      </w:pPr>
      <w:r>
        <w:rPr>
          <w:rFonts w:ascii="Arial" w:cs="Arial" w:eastAsia="Arial" w:hAnsi="Arial"/>
          <w:sz w:val="19"/>
          <w:szCs w:val="19"/>
          <w:color w:val="auto"/>
        </w:rPr>
        <w:t>Each person who was or is made a party or is threatened to be made a party to or is otherwise involved in any action, suit or proceeding, whether civil, criminal, administrative or investigative (hereinafter a “proceeding”), by reason of the fact that he or a person of whom he is the legal representative is or was, at any time during which this By-Law is in effect (whether or not such person continues to serve in such capacity at the time any indemnification or payment of expenses pursuant hereto is sought or at the time any proceeding relating thereto exists or is brought), a director or officer of the Corporation, or is or was at any such time serving at the request of the Corporation as a director, officer or trustee of another corporation or of a partnership, joint venture, trust or other enterprise, including service with respect to employee benefit plans maintained or sponsored by the Corporation (each such person, an “indemnitee”), whether the basis of such proceeding is alleged action in an official capacity as a director, officer or trustee or in any other capacity while serving as a director, officer or trustee,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indemnitee in connection therewith and such indemnification shall continue as to a person who has ceased to be a director, officer or trustee and shall inure to the benefit of his heirs, executors and administrators; provided, however, that except as provided in paragraph (C) of this By-Law, the Corporation shall indemnify any such indemnitee seeking indemnification in connection with a proceeding (or part thereof) initiated by such indemnitee only if such proceeding (or part thereof) was authorized by the Board. The right to indemnification conferred in this By-Law shall include the right to be paid by the Corporation the expenses (including attorney’s fees) incurred in defending any such proceeding in advance of its final disposition, such advances to be paid by the Corporation within twenty (20) days after the receipt by the Corporation of a statement or statements from the claimant requesting such advance or advances from time to time; provided, however, that if the DGCL requires, the payment of such expenses incurred by an indemnitee in his capacity as a director or officer (and not in any other capacity in which service was or is rendered by such indemnitee while a director or officer, including, without limitation, service to an employee benefit plan) shall be made only upon delivery to the Corporation of an undertaking (hereinafter, the “undertaking”) by or on behalf of such indemnitee, to repay all amounts so advanced if it shall ultimately be determined by final judicial decision from which there is no further right of appeal (a “final disposition”) that such indemnitee is not entitled to be indemnified for such expenses under this By-Law or otherwise. The rights conferred upon indemnitees in this By-Law shall be contract rights that vest at the time of such person’s service to or at the request of the Corporation and such rights shall continue as to an indemnitee who has ceased to be a director, officer or trustee and shall inure to the benefit of the indemnitee’s heirs, executors and administrators.</w:t>
      </w:r>
    </w:p>
    <w:p>
      <w:pPr>
        <w:spacing w:after="0" w:line="364" w:lineRule="exact"/>
        <w:rPr>
          <w:rFonts w:ascii="Arial" w:cs="Arial" w:eastAsia="Arial" w:hAnsi="Arial"/>
          <w:sz w:val="19"/>
          <w:szCs w:val="19"/>
          <w:color w:val="auto"/>
        </w:rPr>
      </w:pPr>
    </w:p>
    <w:p>
      <w:pPr>
        <w:jc w:val="both"/>
        <w:ind w:firstLine="656"/>
        <w:spacing w:after="0" w:line="259" w:lineRule="auto"/>
        <w:tabs>
          <w:tab w:leader="none" w:pos="1585" w:val="left"/>
        </w:tabs>
        <w:numPr>
          <w:ilvl w:val="0"/>
          <w:numId w:val="18"/>
        </w:numPr>
        <w:rPr>
          <w:rFonts w:ascii="Arial" w:cs="Arial" w:eastAsia="Arial" w:hAnsi="Arial"/>
          <w:sz w:val="21"/>
          <w:szCs w:val="21"/>
          <w:color w:val="auto"/>
        </w:rPr>
      </w:pPr>
      <w:r>
        <w:rPr>
          <w:rFonts w:ascii="Arial" w:cs="Arial" w:eastAsia="Arial" w:hAnsi="Arial"/>
          <w:sz w:val="21"/>
          <w:szCs w:val="21"/>
          <w:color w:val="auto"/>
        </w:rPr>
        <w:t>To obtain indemnification under this By-Law, a claimant shall submit to the Corporation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paragraph (B), a determination, if required by applicable law, with respect to the claimant’s entitlement thereto shall be made as follows: (i) by the Board by a majority vote of the Disinterested Directors (as hereinafter defined), even though less than a quorum, or (ii) by a committee of Disinterested Directors designated by majority vote of the Disinterested Directors, even though less than a quorum, or (iii) if there are no Disinterested Directors or the Disinterested Directors so direct, by Independent Counsel in a written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47" w:right="239" w:bottom="1440" w:gutter="0" w:footer="0" w:header="0"/>
        </w:sectPr>
      </w:pPr>
    </w:p>
    <w:bookmarkStart w:id="56" w:name="page57"/>
    <w:bookmarkEnd w:id="56"/>
    <w:p>
      <w:pPr>
        <w:jc w:val="both"/>
        <w:spacing w:after="0" w:line="253" w:lineRule="auto"/>
        <w:rPr>
          <w:sz w:val="20"/>
          <w:szCs w:val="20"/>
          <w:color w:val="auto"/>
        </w:rPr>
      </w:pPr>
      <w:r>
        <w:rPr>
          <w:rFonts w:ascii="Arial" w:cs="Arial" w:eastAsia="Arial" w:hAnsi="Arial"/>
          <w:sz w:val="22"/>
          <w:szCs w:val="22"/>
          <w:color w:val="auto"/>
        </w:rPr>
        <w:t>opinion to the Board, a copy of which shall be delivered to the claimant, or (iv) if a quorum of Disinterested Directors so directs, by the stockholders of the Corporation. If it is so determined that the claimant is entitled to indemnification, payment to the claimant shall be made within 10 days after such determination.</w:t>
      </w:r>
    </w:p>
    <w:p>
      <w:pPr>
        <w:spacing w:after="0" w:line="132" w:lineRule="exact"/>
        <w:rPr>
          <w:sz w:val="20"/>
          <w:szCs w:val="20"/>
          <w:color w:val="auto"/>
        </w:rPr>
      </w:pPr>
    </w:p>
    <w:p>
      <w:pPr>
        <w:jc w:val="both"/>
        <w:ind w:firstLine="656"/>
        <w:spacing w:after="0" w:line="286" w:lineRule="auto"/>
        <w:tabs>
          <w:tab w:leader="none" w:pos="1585" w:val="left"/>
        </w:tabs>
        <w:numPr>
          <w:ilvl w:val="1"/>
          <w:numId w:val="19"/>
        </w:numPr>
        <w:rPr>
          <w:rFonts w:ascii="Arial" w:cs="Arial" w:eastAsia="Arial" w:hAnsi="Arial"/>
          <w:sz w:val="19"/>
          <w:szCs w:val="19"/>
          <w:color w:val="auto"/>
        </w:rPr>
      </w:pPr>
      <w:r>
        <w:rPr>
          <w:rFonts w:ascii="Arial" w:cs="Arial" w:eastAsia="Arial" w:hAnsi="Arial"/>
          <w:sz w:val="19"/>
          <w:szCs w:val="19"/>
          <w:color w:val="auto"/>
        </w:rPr>
        <w:t>If a claim under paragraph (A) of this By-Law is not paid in full by the Corporation within thirty (30) days after a written claim pursuant to paragraph (B) of this By-Law has been received by the Corporation (except in the case of a claim for advancement of expenses, for which the applicable period is twenty (20) days),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claimant has not met the standard of conduct which makes it permissible under the DGCL for the Corporation to indemnify the claimant for the amount claimed, but the burden of proving such defense shall be on the Corporation. Neither the failure of the Corporation (including the Disinterested Directors, Independent Counsel or stockholders) to have made a determination prior to the commencement of such action that indemnification of the claimant is proper in the circumstances because he has met the applicable standard of conduct set forth in the DGCL, nor an actual determination by the Corporation (including the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369" w:lineRule="exact"/>
        <w:rPr>
          <w:rFonts w:ascii="Arial" w:cs="Arial" w:eastAsia="Arial" w:hAnsi="Arial"/>
          <w:sz w:val="19"/>
          <w:szCs w:val="19"/>
          <w:color w:val="auto"/>
        </w:rPr>
      </w:pPr>
    </w:p>
    <w:p>
      <w:pPr>
        <w:jc w:val="both"/>
        <w:ind w:firstLine="656"/>
        <w:spacing w:after="0" w:line="253" w:lineRule="auto"/>
        <w:tabs>
          <w:tab w:leader="none" w:pos="1596" w:val="left"/>
        </w:tabs>
        <w:numPr>
          <w:ilvl w:val="1"/>
          <w:numId w:val="19"/>
        </w:numPr>
        <w:rPr>
          <w:rFonts w:ascii="Arial" w:cs="Arial" w:eastAsia="Arial" w:hAnsi="Arial"/>
          <w:sz w:val="22"/>
          <w:szCs w:val="22"/>
          <w:color w:val="auto"/>
        </w:rPr>
      </w:pPr>
      <w:r>
        <w:rPr>
          <w:rFonts w:ascii="Arial" w:cs="Arial" w:eastAsia="Arial" w:hAnsi="Arial"/>
          <w:sz w:val="22"/>
          <w:szCs w:val="22"/>
          <w:color w:val="auto"/>
        </w:rPr>
        <w:t>If a determination shall have been made pursuant to paragraph (B) of this By-Law that the claimant is entitled to indemnification, the Corporation shall be bound by such determination in any judicial proceeding commenced pursuant to paragraph (C) of this By-Law.</w:t>
      </w:r>
    </w:p>
    <w:p>
      <w:pPr>
        <w:spacing w:after="0" w:line="131" w:lineRule="exact"/>
        <w:rPr>
          <w:rFonts w:ascii="Arial" w:cs="Arial" w:eastAsia="Arial" w:hAnsi="Arial"/>
          <w:sz w:val="22"/>
          <w:szCs w:val="22"/>
          <w:color w:val="auto"/>
        </w:rPr>
      </w:pPr>
    </w:p>
    <w:p>
      <w:pPr>
        <w:ind w:left="1580" w:hanging="924"/>
        <w:spacing w:after="0"/>
        <w:tabs>
          <w:tab w:leader="none" w:pos="1580"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Corporation shall be precluded from asserting in any judicial proceeding commenced pursuant to paragraph</w:t>
      </w:r>
    </w:p>
    <w:p>
      <w:pPr>
        <w:spacing w:after="0" w:line="56" w:lineRule="exact"/>
        <w:rPr>
          <w:rFonts w:ascii="Arial" w:cs="Arial" w:eastAsia="Arial" w:hAnsi="Arial"/>
          <w:sz w:val="19"/>
          <w:szCs w:val="19"/>
          <w:color w:val="auto"/>
        </w:rPr>
      </w:pPr>
    </w:p>
    <w:p>
      <w:pPr>
        <w:ind w:right="20" w:firstLine="8"/>
        <w:spacing w:after="0" w:line="246" w:lineRule="auto"/>
        <w:tabs>
          <w:tab w:leader="none" w:pos="35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of this By-Law that the procedures and presumptions of this By-Law are not valid, binding and enforceable and shall stipulate in such proceeding that the Corporation is bound by all the provisions of this By-Law.</w:t>
      </w:r>
    </w:p>
    <w:p>
      <w:pPr>
        <w:spacing w:after="0" w:line="138" w:lineRule="exact"/>
        <w:rPr>
          <w:rFonts w:ascii="Arial" w:cs="Arial" w:eastAsia="Arial" w:hAnsi="Arial"/>
          <w:sz w:val="22"/>
          <w:szCs w:val="22"/>
          <w:color w:val="auto"/>
        </w:rPr>
      </w:pPr>
    </w:p>
    <w:p>
      <w:pPr>
        <w:jc w:val="both"/>
        <w:ind w:firstLine="656"/>
        <w:spacing w:after="0" w:line="288" w:lineRule="auto"/>
        <w:tabs>
          <w:tab w:leader="none" w:pos="1561"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right to indemnification and the payment of expenses incurred in defending a proceeding in advance of its final disposition conferred in this By-Law (i) shall not be exclusive of any other right which any person may have or hereafter acquire under any statute, provision of the Certificate of Incorporation, By-Laws, agreement, vote of stockholders or Disinterested Directors or otherwise and (ii) cannot be terminated by the Corporation, the Board or the stockholders of the Corporation with respect to a person’s service prior to the date of such termination. Any amendment, modification, alteration or repeal of this By-Law that in any way diminishes, limits, restricts, adversely affects or eliminates any right of an indemnitee or his successors to indemnification, advancement of expenses or otherwise shall be prospective only and shall not in any way diminish, limit, restrict, adversely affect or eliminate any such right with respect to any actual or alleged state of facts, occurrence, action or omission then or previously existing, or any action, suit or proceeding previously or thereafter brought or threatened based in whole or in part upon any such actual or alleged state of facts, occurrence, action or omission.</w:t>
      </w:r>
    </w:p>
    <w:p>
      <w:pPr>
        <w:spacing w:after="0" w:line="106" w:lineRule="exact"/>
        <w:rPr>
          <w:rFonts w:ascii="Arial" w:cs="Arial" w:eastAsia="Arial" w:hAnsi="Arial"/>
          <w:sz w:val="19"/>
          <w:szCs w:val="19"/>
          <w:color w:val="auto"/>
        </w:rPr>
      </w:pPr>
    </w:p>
    <w:p>
      <w:pPr>
        <w:jc w:val="both"/>
        <w:ind w:firstLine="656"/>
        <w:spacing w:after="0" w:line="250" w:lineRule="auto"/>
        <w:tabs>
          <w:tab w:leader="none" w:pos="1596"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Corporation may grant rights to indemnification, and rights to be paid by the Corporation the expenses incurred in defending any proceeding in advance of its final disposition, to any current or former employee or agent of the Corporation to the fullest extent of the provisions of this By-Law with respect to the indemnification and advancement of expenses of current or former directors and officers of the Corporation.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53" w:right="239" w:bottom="1440" w:gutter="0" w:footer="0" w:header="0"/>
        </w:sectPr>
      </w:pPr>
    </w:p>
    <w:bookmarkStart w:id="57" w:name="page58"/>
    <w:bookmarkEnd w:id="57"/>
    <w:p>
      <w:pPr>
        <w:jc w:val="both"/>
        <w:ind w:firstLine="656"/>
        <w:spacing w:after="0" w:line="260" w:lineRule="auto"/>
        <w:tabs>
          <w:tab w:leader="none" w:pos="1596" w:val="left"/>
        </w:tabs>
        <w:numPr>
          <w:ilvl w:val="0"/>
          <w:numId w:val="21"/>
        </w:numPr>
        <w:rPr>
          <w:rFonts w:ascii="Arial" w:cs="Arial" w:eastAsia="Arial" w:hAnsi="Arial"/>
          <w:sz w:val="21"/>
          <w:szCs w:val="21"/>
          <w:color w:val="auto"/>
        </w:rPr>
      </w:pPr>
      <w:r>
        <w:rPr>
          <w:rFonts w:ascii="Arial" w:cs="Arial" w:eastAsia="Arial" w:hAnsi="Arial"/>
          <w:sz w:val="21"/>
          <w:szCs w:val="21"/>
          <w:color w:val="auto"/>
        </w:rPr>
        <w:t>If any provision or provisions of this By-Law shall be held to be invalid, illegal or unenforceable for any reason whatsoever: (1)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spacing w:after="0" w:line="127" w:lineRule="exact"/>
        <w:rPr>
          <w:rFonts w:ascii="Arial" w:cs="Arial" w:eastAsia="Arial" w:hAnsi="Arial"/>
          <w:sz w:val="21"/>
          <w:szCs w:val="21"/>
          <w:color w:val="auto"/>
        </w:rPr>
      </w:pPr>
    </w:p>
    <w:p>
      <w:pPr>
        <w:ind w:left="1520" w:hanging="864"/>
        <w:spacing w:after="0"/>
        <w:tabs>
          <w:tab w:leader="none" w:pos="15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For purposes of this By-Law:</w:t>
      </w:r>
    </w:p>
    <w:p>
      <w:pPr>
        <w:spacing w:after="0" w:line="165" w:lineRule="exact"/>
        <w:rPr>
          <w:rFonts w:ascii="Arial" w:cs="Arial" w:eastAsia="Arial" w:hAnsi="Arial"/>
          <w:sz w:val="22"/>
          <w:szCs w:val="22"/>
          <w:color w:val="auto"/>
        </w:rPr>
      </w:pPr>
    </w:p>
    <w:p>
      <w:pPr>
        <w:ind w:left="660" w:firstLine="645"/>
        <w:spacing w:after="0" w:line="263" w:lineRule="auto"/>
        <w:tabs>
          <w:tab w:leader="none" w:pos="21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“Disinterested Director” means a director of the Corporation who is not and was not a party to the matter in respect of which indemnification is sought by the claimant.</w:t>
      </w:r>
    </w:p>
    <w:p>
      <w:pPr>
        <w:spacing w:after="0" w:line="120" w:lineRule="exact"/>
        <w:rPr>
          <w:rFonts w:ascii="Arial" w:cs="Arial" w:eastAsia="Arial" w:hAnsi="Arial"/>
          <w:sz w:val="22"/>
          <w:szCs w:val="22"/>
          <w:color w:val="auto"/>
        </w:rPr>
      </w:pPr>
    </w:p>
    <w:p>
      <w:pPr>
        <w:jc w:val="both"/>
        <w:ind w:left="660" w:firstLine="645"/>
        <w:spacing w:after="0" w:line="248" w:lineRule="auto"/>
        <w:tabs>
          <w:tab w:leader="none" w:pos="2221" w:val="left"/>
        </w:tabs>
        <w:numPr>
          <w:ilvl w:val="1"/>
          <w:numId w:val="21"/>
        </w:numPr>
        <w:rPr>
          <w:rFonts w:ascii="Arial" w:cs="Arial" w:eastAsia="Arial" w:hAnsi="Arial"/>
          <w:sz w:val="22"/>
          <w:szCs w:val="22"/>
          <w:color w:val="auto"/>
        </w:rPr>
      </w:pPr>
      <w:r>
        <w:rPr>
          <w:rFonts w:ascii="Arial" w:cs="Arial" w:eastAsia="Arial" w:hAnsi="Arial"/>
          <w:sz w:val="22"/>
          <w:szCs w:val="22"/>
          <w:color w:val="auto"/>
        </w:rPr>
        <w:t>“Independent Counsel” means a law firm, a member of a law firm, or an independent practitioner, selected by the Disinterested Directors (if such Disinterested Directors so exist),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By-Law.</w:t>
      </w:r>
    </w:p>
    <w:p>
      <w:pPr>
        <w:spacing w:after="0" w:line="138" w:lineRule="exact"/>
        <w:rPr>
          <w:rFonts w:ascii="Arial" w:cs="Arial" w:eastAsia="Arial" w:hAnsi="Arial"/>
          <w:sz w:val="22"/>
          <w:szCs w:val="22"/>
          <w:color w:val="auto"/>
        </w:rPr>
      </w:pPr>
    </w:p>
    <w:p>
      <w:pPr>
        <w:jc w:val="both"/>
        <w:ind w:firstLine="656"/>
        <w:spacing w:after="0" w:line="250" w:lineRule="auto"/>
        <w:tabs>
          <w:tab w:leader="none" w:pos="1524"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notice, request or other communication required or permitted to be given to the Corporation under this By-Law shall be in writing and either delivered in person or sent by telecopy, telex, telegram, overnight mail or courier service, or certified or registered mail, postage prepaid, return receipt requested, to the Secretary of the Corporation and shall be effective only upon receipt by the Secretary.</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u w:val="single" w:color="auto"/>
          <w:color w:val="auto"/>
        </w:rPr>
        <w:t>Section 2.</w:t>
      </w:r>
      <w:r>
        <w:rPr>
          <w:sz w:val="20"/>
          <w:szCs w:val="20"/>
          <w:color w:val="auto"/>
        </w:rPr>
        <w:tab/>
      </w:r>
      <w:r>
        <w:rPr>
          <w:rFonts w:ascii="Arial" w:cs="Arial" w:eastAsia="Arial" w:hAnsi="Arial"/>
          <w:sz w:val="19"/>
          <w:szCs w:val="19"/>
          <w:u w:val="single" w:color="auto"/>
          <w:color w:val="auto"/>
        </w:rPr>
        <w:t>Insurance.</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Corporation may maintain insurance, at its expense, to protect itself and any current or former director, officer, employee or agent of the Corporation and any current or former director, officer, trustee, employee or agent of another corporation or of a partnership, joint venture, trust or other enterprise, including any person who serves or served in any such capacity with respect to any employee benefit plan maintained or sponsored by the Corporation, against any expense, liability or loss, whether or not the Corporation would have the power to indemnify such person against such expense, liability or loss under the DGCL.</w:t>
      </w:r>
    </w:p>
    <w:p>
      <w:pPr>
        <w:spacing w:after="0" w:line="188" w:lineRule="exact"/>
        <w:rPr>
          <w:sz w:val="20"/>
          <w:szCs w:val="20"/>
          <w:color w:val="auto"/>
        </w:rPr>
      </w:pPr>
    </w:p>
    <w:p>
      <w:pPr>
        <w:jc w:val="center"/>
        <w:ind w:left="660"/>
        <w:spacing w:after="0"/>
        <w:rPr>
          <w:sz w:val="20"/>
          <w:szCs w:val="20"/>
          <w:color w:val="auto"/>
        </w:rPr>
      </w:pP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 </w:t>
      </w:r>
      <w:r>
        <w:rPr>
          <w:rFonts w:ascii="Arial" w:cs="Arial" w:eastAsia="Arial" w:hAnsi="Arial"/>
          <w:sz w:val="22"/>
          <w:szCs w:val="22"/>
          <w:u w:val="single" w:color="auto"/>
          <w:color w:val="auto"/>
        </w:rPr>
        <w:t>AMENDMENTS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furtherance and not in limitation of the powers conferred by law, the Board is expressly authorized to adopt, amend and repeal these By-Laws subject to the power of the holders of capital stock of the Corporation to adopt, amend or repeal the By-Laws.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53"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2013 of Tree.com,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Alexander Mandel,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2013 of Tree.com,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18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2013 of Tree.com,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Tree.com,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 Alexander Mandel, certify, pursuant to 18 U.S.C. Section 1350, as adopted pursuant to Section 906 of the Sarbanes-Oxley Act of 2002, that to my knowledge:</w:t>
      </w:r>
    </w:p>
    <w:p>
      <w:pPr>
        <w:spacing w:after="0" w:line="116" w:lineRule="exact"/>
        <w:rPr>
          <w:sz w:val="20"/>
          <w:szCs w:val="20"/>
          <w:color w:val="auto"/>
        </w:rPr>
      </w:pPr>
    </w:p>
    <w:p>
      <w:pPr>
        <w:ind w:left="340" w:right="18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2013 of Tree.com,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Tree.com,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Alexander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Alexander Mandel</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lowerLetter"/>
      <w:start w:val="1"/>
    </w:lvl>
    <w:lvl w:ilvl="1">
      <w:lvlJc w:val="left"/>
      <w:lvlText w:val="(%2)"/>
      <w:numFmt w:val="lowerRoman"/>
      <w:start w:val="1"/>
    </w:lvl>
  </w:abstractNum>
  <w:abstractNum w:abstractNumId="13">
    <w:nsid w:val="257130A3"/>
    <w:multiLevelType w:val="hybridMultilevel"/>
    <w:lvl w:ilvl="0">
      <w:lvlJc w:val="left"/>
      <w:lvlText w:val="(%1)"/>
      <w:numFmt w:val="decimal"/>
      <w:start w:val="4"/>
    </w:lvl>
  </w:abstractNum>
  <w:abstractNum w:abstractNumId="14">
    <w:nsid w:val="62BBD95A"/>
    <w:multiLevelType w:val="hybridMultilevel"/>
    <w:lvl w:ilvl="0">
      <w:lvlJc w:val="left"/>
      <w:lvlText w:val="(%1)"/>
      <w:numFmt w:val="decimal"/>
      <w:start w:val="8"/>
    </w:lvl>
  </w:abstractNum>
  <w:abstractNum w:abstractNumId="15">
    <w:nsid w:val="436C6125"/>
    <w:multiLevelType w:val="hybridMultilevel"/>
    <w:lvl w:ilvl="0">
      <w:lvlJc w:val="left"/>
      <w:lvlText w:val="(%1)"/>
      <w:numFmt w:val="decimal"/>
      <w:start w:val="10"/>
    </w:lvl>
  </w:abstractNum>
  <w:abstractNum w:abstractNumId="16">
    <w:nsid w:val="628C895D"/>
    <w:multiLevelType w:val="hybridMultilevel"/>
    <w:lvl w:ilvl="0">
      <w:lvlJc w:val="left"/>
      <w:lvlText w:val="(%1)"/>
      <w:numFmt w:val="lowerLetter"/>
      <w:start w:val="3"/>
    </w:lvl>
  </w:abstractNum>
  <w:abstractNum w:abstractNumId="17">
    <w:nsid w:val="333AB105"/>
    <w:multiLevelType w:val="hybridMultilevel"/>
    <w:lvl w:ilvl="0">
      <w:lvlJc w:val="left"/>
      <w:lvlText w:val="(%1)"/>
      <w:numFmt w:val="upperLetter"/>
      <w:start w:val="1"/>
    </w:lvl>
  </w:abstractNum>
  <w:abstractNum w:abstractNumId="18">
    <w:nsid w:val="721DA317"/>
    <w:multiLevelType w:val="hybridMultilevel"/>
    <w:lvl w:ilvl="0">
      <w:lvlJc w:val="left"/>
      <w:lvlText w:val="%1"/>
      <w:numFmt w:val="upperLetter"/>
      <w:start w:val="1"/>
    </w:lvl>
    <w:lvl w:ilvl="1">
      <w:lvlJc w:val="left"/>
      <w:lvlText w:val="(%2)"/>
      <w:numFmt w:val="upperLetter"/>
      <w:start w:val="3"/>
    </w:lvl>
  </w:abstractNum>
  <w:abstractNum w:abstractNumId="19">
    <w:nsid w:val="2443A858"/>
    <w:multiLevelType w:val="hybridMultilevel"/>
    <w:lvl w:ilvl="0">
      <w:lvlJc w:val="left"/>
      <w:lvlText w:val="(%1)"/>
      <w:numFmt w:val="upperLetter"/>
      <w:start w:val="3"/>
    </w:lvl>
    <w:lvl w:ilvl="1">
      <w:lvlJc w:val="left"/>
      <w:lvlText w:val="(%2)"/>
      <w:numFmt w:val="upperLetter"/>
      <w:start w:val="6"/>
    </w:lvl>
  </w:abstractNum>
  <w:abstractNum w:abstractNumId="20">
    <w:nsid w:val="2D1D5AE9"/>
    <w:multiLevelType w:val="hybridMultilevel"/>
    <w:lvl w:ilvl="0">
      <w:lvlJc w:val="left"/>
      <w:lvlText w:val="(%1)"/>
      <w:numFmt w:val="upperLetter"/>
      <w:start w:val="8"/>
    </w:lvl>
    <w:lvl w:ilvl="1">
      <w:lvlJc w:val="left"/>
      <w:lvlText w:val="(%2)"/>
      <w:numFmt w:val="lowerRoman"/>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2019-12-07T19:03:17Z</dcterms:created>
  <dcterms:modified xsi:type="dcterms:W3CDTF">2019-12-07T19:03:17Z</dcterms:modified>
</cp:coreProperties>
</file>