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7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84455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7"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3"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46355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158115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340" w:type="dxa"/>
            <w:vAlign w:val="bottom"/>
          </w:tcPr>
          <w:p>
            <w:pPr>
              <w:spacing w:after="0"/>
              <w:rPr>
                <w:sz w:val="18"/>
                <w:szCs w:val="18"/>
                <w:color w:val="auto"/>
              </w:rPr>
            </w:pPr>
          </w:p>
        </w:tc>
        <w:tc>
          <w:tcPr>
            <w:tcW w:w="2320" w:type="dxa"/>
            <w:vAlign w:val="bottom"/>
            <w:gridSpan w:val="3"/>
          </w:tcPr>
          <w:p>
            <w:pPr>
              <w:jc w:val="center"/>
              <w:ind w:left="517"/>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Times New Roman" w:cs="Times New Roman" w:eastAsia="Times New Roman" w:hAnsi="Times New Roman"/>
                <w:sz w:val="16"/>
                <w:szCs w:val="16"/>
                <w:b w:val="1"/>
                <w:bCs w:val="1"/>
                <w:color w:val="auto"/>
              </w:rPr>
              <w:t>26-2414818</w:t>
            </w:r>
          </w:p>
        </w:tc>
      </w:tr>
      <w:tr>
        <w:trPr>
          <w:trHeight w:val="229"/>
        </w:trPr>
        <w:tc>
          <w:tcPr>
            <w:tcW w:w="7440" w:type="dxa"/>
            <w:vAlign w:val="bottom"/>
            <w:gridSpan w:val="7"/>
          </w:tcPr>
          <w:p>
            <w:pPr>
              <w:jc w:val="center"/>
              <w:ind w:right="18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03"/>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1415 Vantage Park Dr., Suite 700, Charlotte, North Carolina 28203</w:t>
            </w:r>
          </w:p>
        </w:tc>
      </w:tr>
      <w:tr>
        <w:trPr>
          <w:trHeight w:val="222"/>
        </w:trPr>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80" w:type="dxa"/>
            <w:vAlign w:val="bottom"/>
            <w:gridSpan w:val="3"/>
          </w:tcPr>
          <w:p>
            <w:pPr>
              <w:jc w:val="center"/>
              <w:ind w:left="73"/>
              <w:spacing w:after="0"/>
              <w:rPr>
                <w:sz w:val="20"/>
                <w:szCs w:val="20"/>
                <w:color w:val="auto"/>
              </w:rPr>
            </w:pPr>
            <w:r>
              <w:rPr>
                <w:rFonts w:ascii="Times New Roman" w:cs="Times New Roman" w:eastAsia="Times New Roman" w:hAnsi="Times New Roman"/>
                <w:sz w:val="17"/>
                <w:szCs w:val="17"/>
                <w:color w:val="auto"/>
              </w:rPr>
              <w:t>(Address of principal executive offices)(Zip Code)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304"/>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3"/>
          </w:tcPr>
          <w:p>
            <w:pPr>
              <w:jc w:val="center"/>
              <w:ind w:left="53"/>
              <w:spacing w:after="0"/>
              <w:rPr>
                <w:sz w:val="20"/>
                <w:szCs w:val="20"/>
                <w:color w:val="auto"/>
              </w:rPr>
            </w:pPr>
            <w:r>
              <w:rPr>
                <w:rFonts w:ascii="Times New Roman" w:cs="Times New Roman" w:eastAsia="Times New Roman" w:hAnsi="Times New Roman"/>
                <w:sz w:val="18"/>
                <w:szCs w:val="18"/>
                <w:b w:val="1"/>
                <w:bCs w:val="1"/>
                <w:color w:val="auto"/>
                <w:w w:val="99"/>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2"/>
        </w:trPr>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80" w:type="dxa"/>
            <w:vAlign w:val="bottom"/>
            <w:gridSpan w:val="3"/>
          </w:tcPr>
          <w:p>
            <w:pPr>
              <w:jc w:val="center"/>
              <w:ind w:left="53"/>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130"/>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36"/>
        </w:trPr>
        <w:tc>
          <w:tcPr>
            <w:tcW w:w="7440" w:type="dxa"/>
            <w:vAlign w:val="bottom"/>
            <w:gridSpan w:val="7"/>
          </w:tcPr>
          <w:p>
            <w:pPr>
              <w:jc w:val="center"/>
              <w:ind w:right="35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99"/>
        </w:trPr>
        <w:tc>
          <w:tcPr>
            <w:tcW w:w="1340" w:type="dxa"/>
            <w:vAlign w:val="bottom"/>
          </w:tcPr>
          <w:p>
            <w:pPr>
              <w:spacing w:after="0"/>
              <w:rPr>
                <w:sz w:val="24"/>
                <w:szCs w:val="24"/>
                <w:color w:val="auto"/>
              </w:rPr>
            </w:pPr>
          </w:p>
        </w:tc>
        <w:tc>
          <w:tcPr>
            <w:tcW w:w="2320" w:type="dxa"/>
            <w:vAlign w:val="bottom"/>
            <w:gridSpan w:val="3"/>
          </w:tcPr>
          <w:p>
            <w:pPr>
              <w:jc w:val="center"/>
              <w:ind w:right="1080"/>
              <w:spacing w:after="0"/>
              <w:rPr>
                <w:sz w:val="20"/>
                <w:szCs w:val="20"/>
                <w:color w:val="auto"/>
              </w:rPr>
            </w:pPr>
            <w:r>
              <w:rPr>
                <w:rFonts w:ascii="Times New Roman" w:cs="Times New Roman" w:eastAsia="Times New Roman" w:hAnsi="Times New Roman"/>
                <w:sz w:val="17"/>
                <w:szCs w:val="17"/>
                <w:color w:val="auto"/>
              </w:rPr>
              <w:t>Title of each class</w:t>
            </w:r>
          </w:p>
        </w:tc>
        <w:tc>
          <w:tcPr>
            <w:tcW w:w="37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48"/>
        </w:trPr>
        <w:tc>
          <w:tcPr>
            <w:tcW w:w="3660" w:type="dxa"/>
            <w:vAlign w:val="bottom"/>
            <w:gridSpan w:val="4"/>
          </w:tcPr>
          <w:p>
            <w:pPr>
              <w:jc w:val="center"/>
              <w:ind w:left="196"/>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tc>
        <w:tc>
          <w:tcPr>
            <w:tcW w:w="1120" w:type="dxa"/>
            <w:vAlign w:val="bottom"/>
          </w:tcPr>
          <w:p>
            <w:pPr>
              <w:spacing w:after="0"/>
              <w:rPr>
                <w:sz w:val="21"/>
                <w:szCs w:val="21"/>
                <w:color w:val="auto"/>
              </w:rPr>
            </w:pPr>
          </w:p>
        </w:tc>
        <w:tc>
          <w:tcPr>
            <w:tcW w:w="266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rPr>
              <w:t>TREE</w:t>
            </w:r>
          </w:p>
        </w:tc>
        <w:tc>
          <w:tcPr>
            <w:tcW w:w="120" w:type="dxa"/>
            <w:vAlign w:val="bottom"/>
          </w:tcPr>
          <w:p>
            <w:pPr>
              <w:spacing w:after="0"/>
              <w:rPr>
                <w:sz w:val="21"/>
                <w:szCs w:val="21"/>
                <w:color w:val="auto"/>
              </w:rPr>
            </w:pP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tc>
      </w:tr>
    </w:tbl>
    <w:p>
      <w:pPr>
        <w:spacing w:after="0" w:line="169" w:lineRule="exact"/>
        <w:rPr>
          <w:sz w:val="24"/>
          <w:szCs w:val="24"/>
          <w:color w:val="auto"/>
        </w:rPr>
      </w:pPr>
    </w:p>
    <w:p>
      <w:pPr>
        <w:jc w:val="both"/>
        <w:ind w:firstLine="162"/>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0" w:lineRule="exact"/>
        <w:rPr>
          <w:sz w:val="24"/>
          <w:szCs w:val="24"/>
          <w:color w:val="auto"/>
        </w:rPr>
      </w:pPr>
    </w:p>
    <w:p>
      <w:pPr>
        <w:jc w:val="both"/>
        <w:ind w:firstLine="162"/>
        <w:spacing w:after="0" w:line="24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3" w:lineRule="exact"/>
        <w:rPr>
          <w:sz w:val="24"/>
          <w:szCs w:val="24"/>
          <w:color w:val="auto"/>
        </w:rPr>
      </w:pPr>
    </w:p>
    <w:p>
      <w:pPr>
        <w:jc w:val="both"/>
        <w:ind w:firstLine="162"/>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20" w:type="dxa"/>
        <w:tblCellMar>
          <w:top w:w="0" w:type="dxa"/>
          <w:left w:w="0" w:type="dxa"/>
          <w:bottom w:w="0" w:type="dxa"/>
          <w:right w:w="0" w:type="dxa"/>
        </w:tblCellMar>
      </w:tblPr>
      <w:tr>
        <w:trPr>
          <w:trHeight w:val="243"/>
        </w:trPr>
        <w:tc>
          <w:tcPr>
            <w:tcW w:w="204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rPr>
              <w:t>Large 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Accelerated filer</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3"/>
        </w:trPr>
        <w:tc>
          <w:tcPr>
            <w:tcW w:w="2040" w:type="dxa"/>
            <w:vAlign w:val="bottom"/>
          </w:tcPr>
          <w:p>
            <w:pPr>
              <w:jc w:val="center"/>
              <w:ind w:right="415"/>
              <w:spacing w:after="0"/>
              <w:rPr>
                <w:sz w:val="20"/>
                <w:szCs w:val="20"/>
                <w:color w:val="auto"/>
              </w:rPr>
            </w:pPr>
            <w:r>
              <w:rPr>
                <w:rFonts w:ascii="Times New Roman" w:cs="Times New Roman" w:eastAsia="Times New Roman" w:hAnsi="Times New Roman"/>
                <w:sz w:val="17"/>
                <w:szCs w:val="17"/>
                <w:color w:val="auto"/>
              </w:rPr>
              <w:t>Non-accelerated filer</w:t>
            </w:r>
          </w:p>
        </w:tc>
        <w:tc>
          <w:tcPr>
            <w:tcW w:w="128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720" w:type="dxa"/>
            <w:vAlign w:val="bottom"/>
          </w:tcPr>
          <w:p>
            <w:pPr>
              <w:ind w:left="5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0" w:lineRule="exact"/>
        <w:rPr>
          <w:sz w:val="24"/>
          <w:szCs w:val="24"/>
          <w:color w:val="auto"/>
        </w:rPr>
      </w:pPr>
    </w:p>
    <w:p>
      <w:pPr>
        <w:ind w:right="20" w:firstLine="162"/>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 w:lineRule="exact"/>
        <w:rPr>
          <w:sz w:val="24"/>
          <w:szCs w:val="24"/>
          <w:color w:val="auto"/>
        </w:rPr>
      </w:pPr>
    </w:p>
    <w:p>
      <w:pPr>
        <w:ind w:left="1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color w:val="auto"/>
        </w:rPr>
        <w:t>As of April 27, 2026, there were 13,953,018 shares of the registrant's common stock, par value $0.01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5"/>
        </w:trPr>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140" w:type="dxa"/>
            <w:vAlign w:val="bottom"/>
            <w:gridSpan w:val="6"/>
          </w:tcPr>
          <w:p>
            <w:pPr>
              <w:jc w:val="center"/>
              <w:ind w:right="3000"/>
              <w:spacing w:after="0" w:line="176" w:lineRule="exact"/>
              <w:rPr>
                <w:sz w:val="20"/>
                <w:szCs w:val="20"/>
                <w:color w:val="auto"/>
              </w:rPr>
            </w:pPr>
            <w:r>
              <w:rPr>
                <w:rFonts w:ascii="Times New Roman" w:cs="Times New Roman" w:eastAsia="Times New Roman" w:hAnsi="Times New Roman"/>
                <w:sz w:val="18"/>
                <w:szCs w:val="18"/>
                <w:b w:val="1"/>
                <w:bCs w:val="1"/>
                <w:color w:val="0000FF"/>
                <w:w w:val="98"/>
              </w:rPr>
              <w:t>PART I—FINANCIAL INFORMATION</w:t>
            </w:r>
          </w:p>
        </w:tc>
        <w:tc>
          <w:tcPr>
            <w:tcW w:w="1040" w:type="dxa"/>
            <w:vAlign w:val="bottom"/>
          </w:tcPr>
          <w:p>
            <w:pPr>
              <w:spacing w:after="0"/>
              <w:rPr>
                <w:sz w:val="15"/>
                <w:szCs w:val="15"/>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3340" w:type="dxa"/>
            <w:vAlign w:val="bottom"/>
            <w:gridSpan w:val="7"/>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Financial Statements</w:t>
            </w:r>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2"/>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Quantitative and Qualitative Disclosures About Market Risk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Controls and Procedures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9"/>
        </w:trPr>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314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r>
      <w:tr>
        <w:trPr>
          <w:trHeight w:val="43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Legal Proceedings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Risk Factors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Unregistered Sales of Equity Securities and Use of Proceeds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9480" w:type="dxa"/>
            <w:vAlign w:val="bottom"/>
            <w:gridSpan w:val="13"/>
          </w:tcPr>
          <w:p>
            <w:pPr>
              <w:ind w:left="720"/>
              <w:spacing w:after="0"/>
              <w:rPr>
                <w:sz w:val="20"/>
                <w:szCs w:val="20"/>
                <w:color w:val="auto"/>
              </w:rPr>
            </w:pPr>
            <w:r>
              <w:rPr>
                <w:rFonts w:ascii="Times New Roman" w:cs="Times New Roman" w:eastAsia="Times New Roman" w:hAnsi="Times New Roman"/>
                <w:sz w:val="18"/>
                <w:szCs w:val="18"/>
                <w:b w:val="1"/>
                <w:bCs w:val="1"/>
                <w:i w:val="1"/>
                <w:iCs w:val="1"/>
                <w:color w:val="0000FF"/>
              </w:rPr>
              <w:t>Exhibits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34"/>
        </w:trPr>
        <w:tc>
          <w:tcPr>
            <w:tcW w:w="8720" w:type="dxa"/>
            <w:vAlign w:val="bottom"/>
          </w:tcPr>
          <w:p>
            <w:pPr>
              <w:spacing w:after="0"/>
              <w:rPr>
                <w:sz w:val="11"/>
                <w:szCs w:val="11"/>
                <w:color w:val="auto"/>
              </w:rPr>
            </w:pPr>
          </w:p>
        </w:tc>
        <w:tc>
          <w:tcPr>
            <w:tcW w:w="2520" w:type="dxa"/>
            <w:vAlign w:val="bottom"/>
            <w:gridSpan w:val="4"/>
          </w:tcPr>
          <w:p>
            <w:pPr>
              <w:ind w:left="20"/>
              <w:spacing w:after="0" w:line="134"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w:t>
            </w:r>
          </w:p>
        </w:tc>
      </w:tr>
      <w:tr>
        <w:trPr>
          <w:trHeight w:val="197"/>
        </w:trPr>
        <w:tc>
          <w:tcPr>
            <w:tcW w:w="8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3"/>
          </w:tcPr>
          <w:p>
            <w:pPr>
              <w:jc w:val="right"/>
              <w:ind w:right="891"/>
              <w:spacing w:after="0"/>
              <w:rPr>
                <w:sz w:val="20"/>
                <w:szCs w:val="20"/>
                <w:color w:val="auto"/>
              </w:rPr>
            </w:pPr>
            <w:r>
              <w:rPr>
                <w:rFonts w:ascii="Times New Roman" w:cs="Times New Roman" w:eastAsia="Times New Roman" w:hAnsi="Times New Roman"/>
                <w:sz w:val="14"/>
                <w:szCs w:val="14"/>
                <w:b w:val="1"/>
                <w:bCs w:val="1"/>
                <w:i w:val="1"/>
                <w:iCs w:val="1"/>
                <w:color w:val="auto"/>
              </w:rPr>
              <w:t>amounts)</w:t>
            </w:r>
          </w:p>
        </w:tc>
      </w:tr>
      <w:tr>
        <w:trPr>
          <w:trHeight w:val="23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85,518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81,073</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of $1,493 and $1,322, respectively)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117,492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110,582</w:t>
            </w: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41,389</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38,053</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244,399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229,708</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$30,389 and $28,387, respectively)</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31,434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30,812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31,655</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381,539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381,539</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36,804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38,092</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119,337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124,867</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19,559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w:t>
            </w: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863,884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855,692</w:t>
            </w:r>
          </w:p>
        </w:tc>
      </w:tr>
      <w:tr>
        <w:trPr>
          <w:trHeight w:val="243"/>
        </w:trPr>
        <w:tc>
          <w:tcPr>
            <w:tcW w:w="8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trade</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7,791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117,611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126,803</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129,331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137,464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387,017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387,694</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42,660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43,597</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559,150</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568,895</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none issued or outstanding</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$0.01 par value; 50,000,000 shares authorized; 17,308,484 and 17,124,837 shares issued, respectively,</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13,953,018 and 13,769,371 shares outstanding, respectively</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1,281,572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1,280,903</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(710,833)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(728,099)</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3,355,466 and 3,355,466 shares,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(266,178)</w:t>
            </w:r>
          </w:p>
        </w:tc>
      </w:tr>
      <w:tr>
        <w:trPr>
          <w:trHeight w:val="223"/>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304,734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286,797</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863,884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855,692</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r>
      <w:tr>
        <w:trPr>
          <w:trHeight w:val="23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327,267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239,728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 separately below)</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11,696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238,568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172,751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27,990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11,467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4,185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29"/>
        </w:trPr>
        <w:tc>
          <w:tcPr>
            <w:tcW w:w="8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w:t>
            </w:r>
          </w:p>
        </w:tc>
      </w:tr>
      <w:tr>
        <w:trPr>
          <w:trHeight w:val="223"/>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296,153</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246,837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31,114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w:t>
            </w:r>
          </w:p>
        </w:tc>
      </w:tr>
      <w:tr>
        <w:trPr>
          <w:trHeight w:val="229"/>
        </w:trPr>
        <w:tc>
          <w:tcPr>
            <w:tcW w:w="8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369</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22,917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(14,805)</w:t>
            </w:r>
          </w:p>
        </w:tc>
      </w:tr>
      <w:tr>
        <w:trPr>
          <w:trHeight w:val="229"/>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and comprehensive 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17,266</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(12,375)</w:t>
            </w:r>
          </w:p>
        </w:tc>
      </w:tr>
      <w:tr>
        <w:trPr>
          <w:trHeight w:val="256"/>
        </w:trPr>
        <w:tc>
          <w:tcPr>
            <w:tcW w:w="8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13,824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13,441</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14,137</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r>
      <w:tr>
        <w:trPr>
          <w:trHeight w:val="230"/>
        </w:trPr>
        <w:tc>
          <w:tcPr>
            <w:tcW w:w="8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7"/>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2025</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286,797</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17,125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1,280,903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(728,099)</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17,266</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17,266</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4,060</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4,060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00" w:type="dxa"/>
            <w:vAlign w:val="bottom"/>
          </w:tcPr>
          <w:p>
            <w:pPr>
              <w:ind w:left="140"/>
              <w:spacing w:after="0" w:line="152"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vMerge w:val="restart"/>
          </w:tcPr>
          <w:p>
            <w:pPr>
              <w:jc w:val="right"/>
              <w:ind w:right="64"/>
              <w:spacing w:after="0"/>
              <w:rPr>
                <w:sz w:val="20"/>
                <w:szCs w:val="20"/>
                <w:color w:val="auto"/>
              </w:rPr>
            </w:pPr>
            <w:r>
              <w:rPr>
                <w:rFonts w:ascii="Times New Roman" w:cs="Times New Roman" w:eastAsia="Times New Roman" w:hAnsi="Times New Roman"/>
                <w:sz w:val="15"/>
                <w:szCs w:val="15"/>
                <w:color w:val="auto"/>
              </w:rPr>
              <w:t>(3,389)</w:t>
            </w:r>
          </w:p>
        </w:tc>
        <w:tc>
          <w:tcPr>
            <w:tcW w:w="10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183</w:t>
            </w: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Pr>
          <w:p>
            <w:pPr>
              <w:spacing w:after="0"/>
              <w:rPr>
                <w:sz w:val="13"/>
                <w:szCs w:val="13"/>
                <w:color w:val="auto"/>
              </w:rPr>
            </w:pPr>
          </w:p>
        </w:tc>
        <w:tc>
          <w:tcPr>
            <w:tcW w:w="94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(3,391)</w:t>
            </w:r>
          </w:p>
        </w:tc>
        <w:tc>
          <w:tcPr>
            <w:tcW w:w="200" w:type="dxa"/>
            <w:vAlign w:val="bottom"/>
          </w:tcPr>
          <w:p>
            <w:pPr>
              <w:spacing w:after="0"/>
              <w:rPr>
                <w:sz w:val="13"/>
                <w:szCs w:val="13"/>
                <w:color w:val="auto"/>
              </w:rPr>
            </w:pPr>
          </w:p>
        </w:tc>
        <w:tc>
          <w:tcPr>
            <w:tcW w:w="11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0"/>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2026</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304,734</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17,308</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1,281,572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(710,833)</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530"/>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40" w:type="dxa"/>
            <w:vAlign w:val="bottom"/>
          </w:tcPr>
          <w:p>
            <w:pPr>
              <w:jc w:val="center"/>
              <w:ind w:right="127"/>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8"/>
        </w:trPr>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7"/>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108,821</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16,747</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1,254,239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(879,407)</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200"/>
        </w:trPr>
        <w:tc>
          <w:tcPr>
            <w:tcW w:w="3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loss</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(12,375)</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(12,375)</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9,927</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9,927</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00" w:type="dxa"/>
            <w:vAlign w:val="bottom"/>
          </w:tcPr>
          <w:p>
            <w:pPr>
              <w:ind w:left="140"/>
              <w:spacing w:after="0" w:line="159"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(2,630)</w:t>
            </w: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142</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(2,632)</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2025</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103,743</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b w:val="1"/>
                <w:bCs w:val="1"/>
                <w:color w:val="auto"/>
              </w:rPr>
              <w:t>16,889</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169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1,261,534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(891,782)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7"/>
                <w:szCs w:val="17"/>
                <w:color w:val="auto"/>
              </w:rPr>
            </w:pPr>
          </w:p>
        </w:tc>
      </w:tr>
      <w:tr>
        <w:trPr>
          <w:trHeight w:val="23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8"/>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Net income (loss) and comprehensive income (loss)</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17,266</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(12,375)</w:t>
            </w:r>
          </w:p>
        </w:tc>
      </w:tr>
      <w:tr>
        <w:trPr>
          <w:trHeight w:val="231"/>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impairments and disposal of assets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1,288</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4,185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4,060</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9,927</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5,530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investments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359</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Bad debt expense</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261</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Reduction in carrying amount of ROU asset, offset by change in operating lease liabilities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settlement of convertible debt</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12,463</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and other assets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(6,466)</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(4,680)</w:t>
            </w:r>
          </w:p>
        </w:tc>
      </w:tr>
      <w:tr>
        <w:trPr>
          <w:trHeight w:val="226"/>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(8,798)</w:t>
            </w:r>
          </w:p>
        </w:tc>
      </w:tr>
      <w:tr>
        <w:trPr>
          <w:trHeight w:val="23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77</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w:t>
            </w:r>
          </w:p>
        </w:tc>
      </w:tr>
      <w:tr>
        <w:trPr>
          <w:trHeight w:val="226"/>
        </w:trPr>
        <w:tc>
          <w:tcPr>
            <w:tcW w:w="8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27"/>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11,552</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(210)</w:t>
            </w:r>
          </w:p>
        </w:tc>
      </w:tr>
      <w:tr>
        <w:trPr>
          <w:trHeight w:val="219"/>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(3,414)</w:t>
            </w:r>
          </w:p>
        </w:tc>
      </w:tr>
      <w:tr>
        <w:trPr>
          <w:trHeight w:val="226"/>
        </w:trPr>
        <w:tc>
          <w:tcPr>
            <w:tcW w:w="8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52</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(2,718)</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(3,414)</w:t>
            </w:r>
          </w:p>
        </w:tc>
      </w:tr>
      <w:tr>
        <w:trPr>
          <w:trHeight w:val="221"/>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term loan</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term loan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w:t>
            </w:r>
          </w:p>
        </w:tc>
      </w:tr>
      <w:tr>
        <w:trPr>
          <w:trHeight w:val="23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related to net-share settlement of stock-based compensation, net of proceeds from exercise of stock options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(3,389)</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(2,630)</w:t>
            </w:r>
          </w:p>
        </w:tc>
      </w:tr>
      <w:tr>
        <w:trPr>
          <w:trHeight w:val="226"/>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Repurchase of 0.50% Convertible Senior Notes</w:t>
            </w:r>
          </w:p>
        </w:tc>
        <w:tc>
          <w:tcPr>
            <w:tcW w:w="3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(19,700)</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25"/>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(4,389)</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23,420</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cash equivalents, restricted cash and restricted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4,445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19,796</w:t>
            </w:r>
          </w:p>
        </w:tc>
      </w:tr>
      <w:tr>
        <w:trPr>
          <w:trHeight w:val="226"/>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restricted cash and restricted cash equivalents at 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81,073</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106,594</w:t>
            </w:r>
          </w:p>
        </w:tc>
      </w:tr>
      <w:tr>
        <w:trPr>
          <w:trHeight w:val="234"/>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restricted cash and restricted cash equivalents at end of period</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85,518</w:t>
            </w:r>
          </w:p>
        </w:tc>
        <w:tc>
          <w:tcPr>
            <w:tcW w:w="48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126,390</w:t>
            </w:r>
          </w:p>
        </w:tc>
      </w:tr>
      <w:tr>
        <w:trPr>
          <w:trHeight w:val="257"/>
        </w:trPr>
        <w:tc>
          <w:tcPr>
            <w:tcW w:w="8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4"/>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paid</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8,018</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8,828</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auto loans, credit cards, deposit accounts, personal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LendingTree and all its wholly-owned entities. Intercompany transactions and accounts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March 31, 2026 and for the three months ended March 31, 2026 and 2025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2026 are not necessarily indicative of the results to be expected for the year ending December 31, 2026, or any other period. The accompanying consolidated balance sheet as of December 31, 2025 was derived from audited financial statements included in the Company's Annual Report on Form 10-K for the year ended December 31, 2025 (the “2025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2025 Annual Report.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the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include: the recoverability of long-lived assets, goodwill and intangible assets; the determination of income taxes payable and deferred income taxes, including related valuation allowances; litigation accruals; contract assets; various other allowances, reserves and accruals; assumptions related to the determination of stock-based compensation; and the determination of right-of-use assets and lease liabilities.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considered the impact of the current economic conditions, including interest rates and inflation on the assumptions and estimates used when preparing its consolidated financial statements including, but not limited to, the allowance for doubtful accounts, valuation allowances, contract asset, and the recoverability of long-lived assets, goodwill and intangible assets. These assumptions and estimates may change as new events occur and additional information is obtained. If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conditions worsen, such future changes may have an adverse impact on the Company's results of operations, financial position and liquidity.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fraud.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March 31, 2026,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marketplace.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 support services office in India, the Company's operations are geographically limited to and dependent upon the economic condition of the United States.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 Update ("ASU") 2024-03 which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Early adoption is permitted, including adoption in interim periods. The Company is currently evaluating the impact this ASU will have on its consolidated financial statements.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which provides a practical expedient permitting an entity to assume that conditions at the balance sheet date do not change for the remaining life of the asset when estimating expected credit losses for current classified accounts receivable and contract assets. This ASU is effective for annual reporting periods beginning after December 15, 2025, including interim periods within those fiscal years. Early adoption is permitted in both interim and annual reporting periods in which financial statements have not yet been issued or made available for issuance. The guidance in this ASU is to be applied on a prospective basis. The Company is currently evaluating the impact this ASU will have on its consolidated financial statements.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2025, the FASB issued ASU 2025-06 for targeted improvements to the accounting for internal-use software. The amendments modernize guidance to consider different methods of software development, updating the requirements for capitalization of software costs. This ASU is effective for annual reporting periods beginning after December 15, 2027, with early adoption permitted. The Company is currently evaluating the impact this ASU will have on its consolidated financial statements.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No. 2025-11 which clarifies interim disclosure requirements in order to improve the consistency, clarity and navigability of interim financial statements. This ASU is effective for interim reporting periods within annual reporting periods beginning after December 15, 2027. Early adoption is permitted. The guidance in this ASU can be applied either on a prospective or a retrospective basis. The Company is currently evaluating the impact this ASU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Consumer products is generated by match and other upfront fees for clicks or call transfers, as well as from closing fees and approval fees. Closing fees are derived from lenders on certain auto loans, business loans and personal loans when the lender funds a loan with the consumer. Approval fees are derived from credit card issuers when the credit card consumer receives card approval from the credit card issuer.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The closing fee on an original loan and approval is estimated using the Company's historical closing rates and historical time between when a consumer request for a loan or credit card is delivered to the lender or card issuer and when the loan is closed by the lender or approved by the card issuer. The closing fee on a renewal loan is estimated using historical renewal and commission rates.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contract asset related to estimated variable consideration was $39.4 million and $33.5 million at March 31, 2026 and December 31, 2025, respectively, of which $25.2 million and $22.5 million, respectively, is included in prepaid and other current assets on the consolidated balance sheet. The non-current contract asset is included in other non-current assets on the consolidated balance sheet.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recognizes increases or decreases to such revenue from prior periods. The Company recognized an increase for closing and approval fees of $0.2 million in the first quarter of 2026 and an increase of $0.2 million in the first quarter of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4—ALLOWANCE FOR DOUBTFUL ACCOUNTS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are stated at amounts due from customers, net of an allowance for doubtful accounts.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allowance for doubtful accounts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1,322</w:t>
            </w:r>
          </w:p>
        </w:tc>
        <w:tc>
          <w:tcPr>
            <w:tcW w:w="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to earnings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Recoveries collected</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1,493</w:t>
            </w:r>
          </w:p>
        </w:tc>
        <w:tc>
          <w:tcPr>
            <w:tcW w:w="2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w:t>
            </w:r>
          </w:p>
        </w:tc>
      </w:tr>
      <w:tr>
        <w:trPr>
          <w:trHeight w:val="561"/>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5—GOODWILL AND INTANGIBLE ASSETS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balance of goodwill, net and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9"/>
        </w:trPr>
        <w:tc>
          <w:tcPr>
            <w:tcW w:w="8240" w:type="dxa"/>
            <w:vAlign w:val="bottom"/>
          </w:tcPr>
          <w:p>
            <w:pPr>
              <w:spacing w:after="0"/>
              <w:rPr>
                <w:sz w:val="22"/>
                <w:szCs w:val="22"/>
                <w:color w:val="auto"/>
              </w:rPr>
            </w:pPr>
          </w:p>
        </w:tc>
        <w:tc>
          <w:tcPr>
            <w:tcW w:w="1480" w:type="dxa"/>
            <w:vAlign w:val="bottom"/>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22"/>
                <w:szCs w:val="22"/>
                <w:color w:val="auto"/>
              </w:rPr>
            </w:pPr>
          </w:p>
        </w:tc>
        <w:tc>
          <w:tcPr>
            <w:tcW w:w="126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903,227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903,227</w:t>
            </w:r>
          </w:p>
        </w:tc>
      </w:tr>
      <w:tr>
        <w:trPr>
          <w:trHeight w:val="23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(521,688)</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(521,688)</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goodwill</w:t>
            </w: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381,539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381,539</w:t>
            </w:r>
          </w:p>
        </w:tc>
      </w:tr>
      <w:tr>
        <w:trPr>
          <w:trHeight w:val="256"/>
        </w:trPr>
        <w:tc>
          <w:tcPr>
            <w:tcW w:w="8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48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10,142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r>
      <w:tr>
        <w:trPr>
          <w:trHeight w:val="229"/>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26,662</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27,950</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36,804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goodwill at each of March 31, 2026 and December 31, 2025 consisted of $59.3 million associated with the Home segment, $166.1 million associated with the Consumer segment, and $156.1 million associated with the Insurance segment.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monitors each of the reporting units and the impact of business or economic changes on the fair value of the reporting unit. Changes in the timing of the recovery of the mortgage business, inflation, interest rates and other changes in current expectations could cause an impairment to the Insurance, Mortgage, or Consumer reporting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3"/>
                <w:szCs w:val="13"/>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2700" w:type="dxa"/>
            <w:vAlign w:val="bottom"/>
            <w:tcBorders>
              <w:top w:val="single" w:sz="8" w:color="CCEEFF"/>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69,100</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(42,438)</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3580" w:type="dxa"/>
            <w:vAlign w:val="bottom"/>
            <w:tcBorders>
              <w:bottom w:val="single" w:sz="8" w:color="auto"/>
            </w:tcBorders>
            <w:gridSpan w:val="2"/>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69,100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(42,438)</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24"/>
                <w:szCs w:val="24"/>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2700" w:type="dxa"/>
            <w:vAlign w:val="bottom"/>
            <w:tcBorders>
              <w:top w:val="single" w:sz="8" w:color="CCEEFF"/>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69,100</w:t>
            </w:r>
          </w:p>
        </w:tc>
        <w:tc>
          <w:tcPr>
            <w:tcW w:w="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(41,150)</w:t>
            </w:r>
          </w:p>
        </w:tc>
        <w:tc>
          <w:tcPr>
            <w:tcW w:w="4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580" w:type="dxa"/>
            <w:vAlign w:val="bottom"/>
            <w:tcBorders>
              <w:bottom w:val="single" w:sz="8" w:color="auto"/>
            </w:tcBorders>
            <w:gridSpan w:val="2"/>
          </w:tcPr>
          <w:p>
            <w:pPr>
              <w:jc w:val="right"/>
              <w:ind w:right="682"/>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69,100</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(41,150)</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3940" w:type="dxa"/>
            <w:vAlign w:val="bottom"/>
          </w:tcPr>
          <w:p>
            <w:pPr>
              <w:spacing w:after="0"/>
              <w:rPr>
                <w:sz w:val="24"/>
                <w:szCs w:val="24"/>
                <w:color w:val="auto"/>
              </w:rPr>
            </w:pPr>
          </w:p>
        </w:tc>
        <w:tc>
          <w:tcPr>
            <w:tcW w:w="27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March 31, 2026,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0" w:type="dxa"/>
            <w:vAlign w:val="bottom"/>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current year</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29"/>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26,662</w:t>
            </w:r>
          </w:p>
        </w:tc>
      </w:tr>
      <w:tr>
        <w:trPr>
          <w:trHeight w:val="905"/>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6—ACCRUED EXPENSES AND OTHER CURRENT LIABILITIES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9"/>
        </w:trPr>
        <w:tc>
          <w:tcPr>
            <w:tcW w:w="8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22"/>
                <w:szCs w:val="22"/>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76,972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69,250</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9"/>
                <w:szCs w:val="19"/>
                <w:color w:val="auto"/>
              </w:rPr>
            </w:pP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13,295</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25,707</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1,244</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240" w:type="dxa"/>
            <w:vAlign w:val="bottom"/>
          </w:tcPr>
          <w:p>
            <w:pPr>
              <w:spacing w:after="0"/>
              <w:rPr>
                <w:sz w:val="19"/>
                <w:szCs w:val="19"/>
                <w:color w:val="auto"/>
              </w:rPr>
            </w:pP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8,386</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4,247</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contingencies</w:t>
            </w:r>
          </w:p>
        </w:tc>
        <w:tc>
          <w:tcPr>
            <w:tcW w:w="240" w:type="dxa"/>
            <w:vAlign w:val="bottom"/>
          </w:tcPr>
          <w:p>
            <w:pPr>
              <w:spacing w:after="0"/>
              <w:rPr>
                <w:sz w:val="19"/>
                <w:szCs w:val="19"/>
                <w:color w:val="auto"/>
              </w:rPr>
            </w:pPr>
          </w:p>
        </w:tc>
        <w:tc>
          <w:tcPr>
            <w:tcW w:w="11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6,712</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6,755</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r>
      <w:tr>
        <w:trPr>
          <w:trHeight w:val="230"/>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117,611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126,803</w:t>
            </w:r>
          </w:p>
        </w:tc>
      </w:tr>
      <w:tr>
        <w:trPr>
          <w:trHeight w:val="905"/>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Basic and diluted income per share was determined based on the following share data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9"/>
        </w:trPr>
        <w:tc>
          <w:tcPr>
            <w:tcW w:w="8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8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13,824</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stock options</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14,137</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13,441</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first quarter of 2026 the weighted average shares that were anti-dilutive, and therefore excluded from the calculation of diluted income per share, included options to purchase 0.8 million shares of common stock and an immaterial amount of restricted stock units.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first quarter of 2025, the Company was in a net loss position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first quarter of 2025, because their inclusion would have been anti-dilutive. For the first quarter of 2025 the weighted average shares that were anti-dilutive, and therefore excluded from the calculation of diluted income per share, included options to purchase 0.9 million shares of common stock and an immaterial amount of restricted stock units.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convertible notes and the warrants issued by the Company could have been converted or exercised, respectively, for the Company’s common stock, subject to certain contingencies. These convertible notes were settled in 2025 and the warrants have expired and are no longer outstanding. The if-converted method was used for diluted net income per share calculation of our convertible notes.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0.3 million shares related to the potentially dilutive shares of the Company's common stock associated with the 0.50% Convertible Senior Notes due July 15, 2025 for the first quarter of 2025 were excluded from the calculation of diluted income per share because their inclusion would have been anti-dilutive. Shares of the Company's common stock associated with the warrants issued by the Company in 2020 were excluded from the calculation of diluted loss per share for the first quarter of 2026 and for the first quarter of 2025, as they were anti-dilutive because the strike price of the warrants was greater than the average market price of the Company's common stock during the relevant periods. The warrants expired on February 11,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Company entered into an Equity Distribution Agreement in connection with the establishment of an ATM Equity Program under which the Company may sell up to an aggregate of $50.0 million of shares of the Company's common stock. No sales were made under the Equity Distribution Agreement during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plan authorized for the repurchase of LendingTree's common stock. During the first quarter of 2026 and the first quarter of 2025, the Company did not repurchase shares of its common stock. At March 31, 2026, approximately $96.7 million of the previous authorizations to repurchase common stock remain available.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8—STOCK-BASED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4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4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30"/>
        </w:trPr>
        <w:tc>
          <w:tcPr>
            <w:tcW w:w="4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4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5040" w:type="dxa"/>
            <w:vAlign w:val="bottom"/>
            <w:tcBorders>
              <w:bottom w:val="single" w:sz="8" w:color="auto"/>
            </w:tcBorders>
            <w:gridSpan w:val="2"/>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4,060</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9,927</w:t>
            </w:r>
          </w:p>
        </w:tc>
      </w:tr>
      <w:tr>
        <w:trPr>
          <w:trHeight w:val="891"/>
        </w:trPr>
        <w:tc>
          <w:tcPr>
            <w:tcW w:w="4060" w:type="dxa"/>
            <w:vAlign w:val="bottom"/>
          </w:tcPr>
          <w:p>
            <w:pPr>
              <w:spacing w:after="0"/>
              <w:rPr>
                <w:sz w:val="24"/>
                <w:szCs w:val="24"/>
                <w:color w:val="auto"/>
              </w:rPr>
            </w:pPr>
          </w:p>
        </w:tc>
        <w:tc>
          <w:tcPr>
            <w:tcW w:w="408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vMerge w:val="restart"/>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tcPr>
          <w:p>
            <w:pPr>
              <w:jc w:val="center"/>
              <w:ind w:right="6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2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3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2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line="202" w:lineRule="exact"/>
              <w:rPr>
                <w:sz w:val="20"/>
                <w:szCs w:val="20"/>
                <w:color w:val="auto"/>
              </w:rPr>
            </w:pPr>
            <w:r>
              <w:rPr>
                <w:rFonts w:ascii="Times New Roman" w:cs="Times New Roman" w:eastAsia="Times New Roman" w:hAnsi="Times New Roman"/>
                <w:sz w:val="14"/>
                <w:szCs w:val="14"/>
                <w:b w:val="1"/>
                <w:bCs w:val="1"/>
                <w:color w:val="auto"/>
                <w:w w:val="93"/>
              </w:rPr>
              <w:t>Value</w:t>
            </w:r>
            <w:r>
              <w:rPr>
                <w:rFonts w:ascii="Times New Roman" w:cs="Times New Roman" w:eastAsia="Times New Roman" w:hAnsi="Times New Roman"/>
                <w:sz w:val="18"/>
                <w:szCs w:val="18"/>
                <w:b w:val="1"/>
                <w:bCs w:val="1"/>
                <w:color w:val="auto"/>
                <w:w w:val="93"/>
                <w:vertAlign w:val="superscript"/>
              </w:rPr>
              <w:t>(a)</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80" w:type="dxa"/>
            <w:vAlign w:val="bottom"/>
          </w:tcPr>
          <w:p>
            <w:pPr>
              <w:spacing w:after="0"/>
              <w:rPr>
                <w:sz w:val="16"/>
                <w:szCs w:val="16"/>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2026</w:t>
            </w: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359,477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228.86</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82.14</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March 31, 2026</w:t>
            </w: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351,126</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232.35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March 31, 2026</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351,126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232.35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1"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$42.88 on the last trading day of the quarter ended March 31, 2026 and the exercise price, multiplied by the number of shares covered by in-the-money options) that would have been received by the option holder had the option holder exercised these options on March 31, 2026. The intrinsic value changes based on the market value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Market 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stock options with market conditions at target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vMerge w:val="restart"/>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440" w:type="dxa"/>
            <w:vAlign w:val="bottom"/>
          </w:tcPr>
          <w:p>
            <w:pPr>
              <w:jc w:val="center"/>
              <w:ind w:right="6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8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jc w:val="center"/>
              <w:ind w:right="378"/>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 Market</w:t>
            </w:r>
          </w:p>
        </w:tc>
        <w:tc>
          <w:tcPr>
            <w:tcW w:w="340" w:type="dxa"/>
            <w:vAlign w:val="bottom"/>
          </w:tcPr>
          <w:p>
            <w:pPr>
              <w:spacing w:after="0"/>
              <w:rPr>
                <w:sz w:val="12"/>
                <w:szCs w:val="12"/>
                <w:color w:val="auto"/>
              </w:rPr>
            </w:pPr>
          </w:p>
        </w:tc>
        <w:tc>
          <w:tcPr>
            <w:tcW w:w="1440" w:type="dxa"/>
            <w:vAlign w:val="bottom"/>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94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Conditions</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4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9"/>
                <w:szCs w:val="9"/>
                <w:b w:val="1"/>
                <w:bCs w:val="1"/>
                <w:color w:val="auto"/>
              </w:rPr>
              <w:t>(a)</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i w:val="1"/>
                <w:iCs w:val="1"/>
                <w:color w:val="auto"/>
              </w:rPr>
              <w:t>(in years)</w:t>
            </w:r>
          </w:p>
        </w:tc>
        <w:tc>
          <w:tcPr>
            <w:tcW w:w="280" w:type="dxa"/>
            <w:vAlign w:val="bottom"/>
          </w:tcPr>
          <w:p>
            <w:pPr>
              <w:spacing w:after="0"/>
              <w:rPr>
                <w:sz w:val="17"/>
                <w:szCs w:val="17"/>
                <w:color w:val="auto"/>
              </w:rPr>
            </w:pPr>
          </w:p>
        </w:tc>
        <w:tc>
          <w:tcPr>
            <w:tcW w:w="12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2026</w:t>
            </w:r>
          </w:p>
        </w:tc>
        <w:tc>
          <w:tcPr>
            <w:tcW w:w="1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4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March 31, 2026</w:t>
            </w:r>
          </w:p>
        </w:tc>
        <w:tc>
          <w:tcPr>
            <w:tcW w:w="15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March 31, 2026</w:t>
            </w:r>
          </w:p>
        </w:tc>
        <w:tc>
          <w:tcPr>
            <w:tcW w:w="15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660" w:hanging="328"/>
        <w:spacing w:after="0" w:line="261" w:lineRule="auto"/>
        <w:tabs>
          <w:tab w:leader="none" w:pos="6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$42.88 on the last trading day of the quarter ended March 31, 2026 and the exercise price, multiplied by the number of shares covered by in-the-money options) that would have been received by the option holder had the option holder exercised these options on March 31, 2026. The intrinsic value changes based on the market value of the Company's common stock.</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no additional performance-based nonqualified stock options with a market condition had been earned or remain available to be earned.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outstanding nonvested restricted stock units (“RSUs”)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756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2026</w:t>
            </w:r>
          </w:p>
        </w:tc>
        <w:tc>
          <w:tcPr>
            <w:tcW w:w="1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720,460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41.50</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468,700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(262,952)</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(20,707)</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March 31, 2026</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905,501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44.07</w:t>
            </w:r>
          </w:p>
        </w:tc>
        <w:tc>
          <w:tcPr>
            <w:tcW w:w="0" w:type="dxa"/>
            <w:vAlign w:val="bottom"/>
          </w:tcPr>
          <w:p>
            <w:pPr>
              <w:spacing w:after="0"/>
              <w:rPr>
                <w:sz w:val="1"/>
                <w:szCs w:val="1"/>
                <w:color w:val="auto"/>
              </w:rPr>
            </w:pPr>
          </w:p>
        </w:tc>
      </w:tr>
      <w:tr>
        <w:trPr>
          <w:trHeight w:val="527"/>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Market Conditions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changes in outstanding nonvested RSUs with performance conditions is as follows:</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560" w:type="dxa"/>
            <w:vAlign w:val="bottom"/>
          </w:tcPr>
          <w:p>
            <w:pPr>
              <w:spacing w:after="0"/>
              <w:rPr>
                <w:sz w:val="17"/>
                <w:szCs w:val="17"/>
                <w:color w:val="auto"/>
              </w:rPr>
            </w:pPr>
          </w:p>
        </w:tc>
        <w:tc>
          <w:tcPr>
            <w:tcW w:w="368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RSUs with Market Conditions</w:t>
            </w:r>
          </w:p>
        </w:tc>
        <w:tc>
          <w:tcPr>
            <w:tcW w:w="0" w:type="dxa"/>
            <w:vAlign w:val="bottom"/>
          </w:tcPr>
          <w:p>
            <w:pPr>
              <w:spacing w:after="0"/>
              <w:rPr>
                <w:sz w:val="1"/>
                <w:szCs w:val="1"/>
                <w:color w:val="auto"/>
              </w:rPr>
            </w:pPr>
          </w:p>
        </w:tc>
      </w:tr>
      <w:tr>
        <w:trPr>
          <w:trHeight w:val="23"/>
        </w:trPr>
        <w:tc>
          <w:tcPr>
            <w:tcW w:w="75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60" w:type="dxa"/>
            <w:vAlign w:val="bottom"/>
          </w:tcPr>
          <w:p>
            <w:pPr>
              <w:spacing w:after="0"/>
              <w:rPr>
                <w:sz w:val="11"/>
                <w:szCs w:val="11"/>
                <w:color w:val="auto"/>
              </w:rPr>
            </w:pPr>
          </w:p>
        </w:tc>
        <w:tc>
          <w:tcPr>
            <w:tcW w:w="18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7"/>
        </w:trPr>
        <w:tc>
          <w:tcPr>
            <w:tcW w:w="7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2026</w:t>
            </w:r>
          </w:p>
        </w:tc>
        <w:tc>
          <w:tcPr>
            <w:tcW w:w="1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79,000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(a)</w:t>
            </w:r>
          </w:p>
        </w:tc>
        <w:tc>
          <w:tcPr>
            <w:tcW w:w="1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62,800</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March 31, 2026</w:t>
            </w:r>
          </w:p>
        </w:tc>
        <w:tc>
          <w:tcPr>
            <w:tcW w:w="1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136,800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1"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granted RSUs with market conditions that will vest if the Company's 90 trading day average closing stock prices equals or exceeds certain price hurdles ($69.15, $83.85 and $98.55) during the performance period of March 5, 2026 to March 5, 2030. Upon achievement of each price hurdle, one-half of the awards will vest upon the later of the achievement date or the one-year anniversary of the grant date, and the other half of the awards will vest on the first anniversary of the achievement date.</w:t>
      </w:r>
    </w:p>
    <w:p>
      <w:pPr>
        <w:spacing w:after="0" w:line="12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RSUs with market conditions was estimated using the Monte Carlo simulation model, which requires the use of various key assumptions.</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r>
      <w:tr>
        <w:trPr>
          <w:trHeight w:val="195"/>
        </w:trPr>
        <w:tc>
          <w:tcPr>
            <w:tcW w:w="59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r>
      <w:tr>
        <w:trPr>
          <w:trHeight w:val="195"/>
        </w:trPr>
        <w:tc>
          <w:tcPr>
            <w:tcW w:w="59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9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4.04 years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years</w:t>
            </w:r>
          </w:p>
        </w:tc>
      </w:tr>
      <w:tr>
        <w:trPr>
          <w:trHeight w:val="230"/>
        </w:trPr>
        <w:tc>
          <w:tcPr>
            <w:tcW w:w="7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(2)</w:t>
            </w:r>
          </w:p>
        </w:tc>
        <w:tc>
          <w:tcPr>
            <w:tcW w:w="15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76.84%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w:t>
            </w:r>
          </w:p>
        </w:tc>
      </w:tr>
      <w:tr>
        <w:trPr>
          <w:trHeight w:val="230"/>
        </w:trPr>
        <w:tc>
          <w:tcPr>
            <w:tcW w:w="7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(3)</w:t>
            </w:r>
          </w:p>
        </w:tc>
        <w:tc>
          <w:tcPr>
            <w:tcW w:w="154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3.55%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312"/>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(4)</w:t>
            </w:r>
          </w:p>
        </w:tc>
        <w:tc>
          <w:tcPr>
            <w:tcW w:w="15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bl>
    <w:p>
      <w:pPr>
        <w:spacing w:after="0" w:line="156" w:lineRule="exact"/>
        <w:rPr>
          <w:sz w:val="20"/>
          <w:szCs w:val="20"/>
          <w:color w:val="auto"/>
        </w:rPr>
      </w:pPr>
    </w:p>
    <w:p>
      <w:pPr>
        <w:ind w:left="980" w:hanging="324"/>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RSUs with market conditions granted was calculated using the respective performance period plus any time-based vesting requirement.</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0" w:right="20" w:hanging="324"/>
        <w:spacing w:after="0" w:line="282" w:lineRule="auto"/>
        <w:tabs>
          <w:tab w:leader="none" w:pos="9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RSUs with market conditions granted, no dividends are expected to be paid over the contractual term of the stock options, resulting in a zero expected dividend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2021, the Company implemented an employee stock purchase plan (“ESPP”) under which a total of 262,731 shares of the Company's common stock were reserved for issuance. As of March 31, 2026, 74,304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No shares were issued under the ESPP during the three months ended March 31, 2026.</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granted employee stock purchase rights to certain employees with a grant date fair value per share of $15.95 and $13.70, respectively,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10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60" w:type="dxa"/>
            <w:vAlign w:val="bottom"/>
            <w:tcBorders>
              <w:bottom w:val="single" w:sz="8" w:color="CCEEFF"/>
            </w:tcBorders>
          </w:tcPr>
          <w:p>
            <w:pPr>
              <w:spacing w:after="0"/>
              <w:rPr>
                <w:sz w:val="17"/>
                <w:szCs w:val="17"/>
                <w:color w:val="auto"/>
              </w:rPr>
            </w:pPr>
          </w:p>
        </w:tc>
        <w:tc>
          <w:tcPr>
            <w:tcW w:w="2200" w:type="dxa"/>
            <w:vAlign w:val="bottom"/>
            <w:tcBorders>
              <w:top w:val="single" w:sz="8" w:color="auto"/>
              <w:bottom w:val="single" w:sz="8" w:color="auto"/>
            </w:tcBorders>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5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3"/>
                <w:szCs w:val="23"/>
                <w:color w:val="auto"/>
                <w:vertAlign w:val="superscript"/>
              </w:rPr>
              <w:t>(1)</w:t>
            </w:r>
          </w:p>
        </w:tc>
        <w:tc>
          <w:tcPr>
            <w:tcW w:w="22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0.50 years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29"/>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3"/>
                <w:szCs w:val="23"/>
                <w:color w:val="auto"/>
                <w:vertAlign w:val="superscript"/>
              </w:rPr>
              <w:t>(2)</w:t>
            </w:r>
          </w:p>
        </w:tc>
        <w:tc>
          <w:tcPr>
            <w:tcW w:w="22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(3)</w:t>
            </w:r>
          </w:p>
        </w:tc>
        <w:tc>
          <w:tcPr>
            <w:tcW w:w="22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7560" w:type="dxa"/>
            <w:vAlign w:val="bottom"/>
            <w:tcBorders>
              <w:bottom w:val="single" w:sz="8" w:color="999999"/>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(4)</w:t>
            </w:r>
          </w:p>
        </w:tc>
        <w:tc>
          <w:tcPr>
            <w:tcW w:w="2200" w:type="dxa"/>
            <w:vAlign w:val="bottom"/>
            <w:tcBorders>
              <w:bottom w:val="single" w:sz="8" w:color="999999"/>
            </w:tcBorders>
          </w:tcPr>
          <w:p>
            <w:pPr>
              <w:jc w:val="right"/>
              <w:ind w:right="334"/>
              <w:spacing w:after="0"/>
              <w:rPr>
                <w:sz w:val="20"/>
                <w:szCs w:val="20"/>
                <w:color w:val="auto"/>
              </w:rPr>
            </w:pPr>
            <w:r>
              <w:rPr>
                <w:rFonts w:ascii="Times New Roman" w:cs="Times New Roman" w:eastAsia="Times New Roman" w:hAnsi="Times New Roman"/>
                <w:sz w:val="18"/>
                <w:szCs w:val="18"/>
                <w:color w:val="auto"/>
              </w:rPr>
              <w:t>3.58%</w:t>
            </w:r>
          </w:p>
        </w:tc>
        <w:tc>
          <w:tcPr>
            <w:tcW w:w="148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bl>
    <w:p>
      <w:pPr>
        <w:spacing w:after="0" w:line="23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calculated using the time period between the grant date and the purchase date.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are expected to be paid, resulting in a zero expected dividend rate.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12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r>
      <w:tr>
        <w:trPr>
          <w:trHeight w:val="23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(5,651)</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2,430</w:t>
            </w:r>
          </w:p>
        </w:tc>
      </w:tr>
      <w:tr>
        <w:trPr>
          <w:trHeight w:val="230"/>
        </w:trPr>
        <w:tc>
          <w:tcPr>
            <w:tcW w:w="8180" w:type="dxa"/>
            <w:vAlign w:val="bottom"/>
            <w:tcBorders>
              <w:bottom w:val="single" w:sz="8" w:color="999999"/>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20" w:type="dxa"/>
            <w:vAlign w:val="bottom"/>
            <w:tcBorders>
              <w:bottom w:val="single" w:sz="8" w:color="999999"/>
            </w:tcBorders>
          </w:tcPr>
          <w:p>
            <w:pPr>
              <w:spacing w:after="0"/>
              <w:rPr>
                <w:sz w:val="19"/>
                <w:szCs w:val="19"/>
                <w:color w:val="auto"/>
              </w:rPr>
            </w:pPr>
          </w:p>
        </w:tc>
        <w:tc>
          <w:tcPr>
            <w:tcW w:w="122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24.7 %</w:t>
            </w:r>
          </w:p>
        </w:tc>
        <w:tc>
          <w:tcPr>
            <w:tcW w:w="400" w:type="dxa"/>
            <w:vAlign w:val="bottom"/>
            <w:tcBorders>
              <w:bottom w:val="single" w:sz="8" w:color="999999"/>
            </w:tcBorders>
          </w:tcPr>
          <w:p>
            <w:pPr>
              <w:spacing w:after="0"/>
              <w:rPr>
                <w:sz w:val="19"/>
                <w:szCs w:val="19"/>
                <w:color w:val="auto"/>
              </w:rPr>
            </w:pPr>
          </w:p>
        </w:tc>
        <w:tc>
          <w:tcPr>
            <w:tcW w:w="112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16.4 %</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2026, the effective tax rate varied from the federal statutory rate of 21% primarily due to the effect of state income taxes. For the first quarter of 2025, the effective tax rate varied from the federal statutory rate of 21% primarily due to the change in the valuation allowance, net of the current period change in tax effected net indefinite-lived intangibles.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out-of-the-money stock options may expire unexercised, and as a result the Company could be required to reverse the related deferred tax asset for share-based compensation, which would increase income tax expense and the effective tax rate in a future period in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10—DEBT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21, 2025, the Company entered into a credit agreement (the “2025 Credit Agreement”), consisting of a $75.0 million revolving credit facility (the “2025 Revolving Facility”), which matures on August 21, 2030, and a $400.0 million term loan facility (the “2025 Term Loan” and together with the 2025 Revolving Facility, the “2025 Credit Facility”), which matures on August 21, 2030.</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gross carrying amount, debt issuance costs, original issue discount, and net carrying value of the 2025 Term Loan in the accompanying consolidated balance sheets,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3,929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Portion</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395,000</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3,474</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30"/>
        </w:trPr>
        <w:tc>
          <w:tcPr>
            <w:tcW w:w="8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original issue discount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3,509</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30"/>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387,017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387,694</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borrowings outstanding under the 2025 Term Loan bear interest based on the Secured Overnight Financing Rate ("SOFR") of 7.92%. The carrying value of the Company's financial instruments are equal to fair value at March 31,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no borrowings outstanding under the 2025 Revolving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covenants at March 31, 2026.</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three months of 2026, the Company recorded interest expense related to its 2025 Credit Agreement of $8.5 million which consisted of $7.9 million associated with borrowings bearing interest based on the SOFR rate, $0.3 million associated with the amortization of debt issuance costs, and $0.2 million associated with the accretion of the original issue discount and $0.1 million in unused commitment fees.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three months of 2025, the Company recorded interest expense on the 2025 Notes of $0.2 million which consisted of $0.1 million associated with the 0.50% coupon rate and $0.1 million associated with the amortization of the debt issuance costs. Additionally, a gain on the extinguishment of debt of $0.3 million for the repurchase of a portion of the 2025 Notes is included in interest expense, net in the consolidated statement of operations and comprehensive income.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three months of 2025, the Company recorded interest expense related to its Credit Agreement from 2021 of $5.6 million which consisted of $5.1 million associated with borrowings bearing interest at the SOFR option rate, $0.3 million in unused commitment fees and $0.2 million associated with the amortization of the debt issuance costs.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three months of 2025, the Company recorded interest expense related to the 2024 Term Loan of $3.4 million which consisted of $3.0 million associated with borrowings bearing interest based on the SOFR option rate, $0.2 million associated with unused commitment fees, $0.1 million associated with the amortization of debt issuance costs, and $0.1 million associated with the accretion of the original issue discount.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monetary remedies sought by plaintiffs (e.g., injunctive relief) that may require it to change its business practices in a manner that could have a material and adverse impact on the Company's business. With respect to the matters disclosed in this Note 11, unless otherwise indicated, the Company is unable to estimate the possible loss or range of losses that could potentially result from the application of such non-monetary remedies.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are party to litigation involving property, contract, intellectual property and a variety of other claims. The amounts that may be incurred in such matters may be subject to insurance coverage.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litigation settlement accruals of $6.7 million and $13.0 million, respectively. The litigation settlement accruals relate to litigation matters that were either settled or a firm offer for settlement was extended or an estimated settlement range has been determined, thereby establishing an accrual amount that is both probable and reasonably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or about October 29, 2019, Joseph Mantha filed a class action lawsuit against QuoteWizard.com, LLC alleging claims in violation of the Telephone Consumer Protection Act. On August 16, 2024, the U.S. District Court of Massachusetts granted the plaintiff’s motion to certify a class. The Company participated in a mediation in April 2025 and reached a preliminary agreement on the terms of settlement for $19.0 million. The settlement was approved by the court on September 29, 2025, and the matter was dismissed with prejudice. A liability of $6.3 million for this matter is included in the accompanying consolidated balance sheet as of March 31, 2026. The settlement was scheduled to be paid over three equal installments. The first payment was made in October 2025, the second payment was made in January 2026, and the final payment was made in April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12—RELATED PARTY TRANSACTIONS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Company's Board of Directors approved a $0.4 million contribution to the LendingTree Foundation that the Company paid in the second quarter of 2026. Officers of the Company serve as officers of the LendingTree Foundation.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13—SEGMENT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the Company's Chief Executive Officer, for the purpose of assessing performance and allocating resources.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Home segment includes the following products: purchase mortgage, refinance mortgage, and home equity loans and lines of credit. The Consumer segment includes the following products: credit cards, personal loans, small business loans, auto loans, deposit accounts, and other credit products. The Insurance segment consists of insurance quote products and sales of insurance policies in the agency businesses. The insurance agency business was closed in the second quarter of 2025.</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are a reconciliation of segment profit, which is the Company's primary segment profitability measure, to income before income taxes. Segment marketing expense represents the portion of selling and marketing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LENDINGTREE,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attributable to variable costs paid for advertising, direct marketing and related expenses, that are directly attributable to the segments' products. This measure excludes overhead, fixed costs and personnel-related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4"/>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221,859</w:t>
            </w:r>
          </w:p>
        </w:tc>
        <w:tc>
          <w:tcPr>
            <w:tcW w:w="8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327,267</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163,927</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226,510</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9,962</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32,933</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57,932</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100,757</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11,696</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12,058</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31,114</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(8,566)</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3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22,917</w:t>
            </w:r>
          </w:p>
        </w:tc>
      </w:tr>
      <w:tr>
        <w:trPr>
          <w:trHeight w:val="450"/>
        </w:trPr>
        <w:tc>
          <w:tcPr>
            <w:tcW w:w="5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4"/>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7"/>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146,652</w:t>
            </w:r>
          </w:p>
        </w:tc>
        <w:tc>
          <w:tcPr>
            <w:tcW w:w="86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239,728</w:t>
            </w:r>
          </w:p>
        </w:tc>
      </w:tr>
      <w:tr>
        <w:trPr>
          <w:trHeight w:val="213"/>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28,896</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107,942</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160,747</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13,146</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27,137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38,710</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78,981</w:t>
            </w:r>
          </w:p>
        </w:tc>
      </w:tr>
      <w:tr>
        <w:trPr>
          <w:trHeight w:val="207"/>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9,908</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30,660</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11,904</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r>
      <w:tr>
        <w:trPr>
          <w:trHeight w:val="213"/>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1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15,212</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(7,109)</w:t>
            </w:r>
          </w:p>
        </w:tc>
      </w:tr>
      <w:tr>
        <w:trPr>
          <w:trHeight w:val="218"/>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(9,084)</w:t>
            </w:r>
          </w:p>
        </w:tc>
      </w:tr>
      <w:tr>
        <w:trPr>
          <w:trHeight w:val="21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(14,805)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does not review information on segment assets and as such, no segment asset information is reported herein.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Securities Act of 1933, as amended,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elsewhere in this Quarterly Report on Form 10-Q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Company's Annual Report on Form 10-K for the year ended December 31, 2025 (the “2025 Annual Report”).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Quarterly Report on Form 10-Q may not prove to be accurate. Accordingly, you should not place undue reliance on these forward-looking statements, which only reflect the views of LendingTree, Inc.'s management as of the date of this Quarterly Report on Form 10-Q. We undertake no obligation to update or revise forward-looking statements to reflect changed assumptions, the occurrence of unanticipated events or changes to future operating results or expectations,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auto loans, credit cards, deposit accounts, personal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provide them competing quotes for the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developing new product offerings and enhancements to improve the experience of consumers and Network Partners as they interact with us. By expanding our portfolio of financial services offerings, we are growing and diversifying our business and sources of revenue. We intend to capitalize on our expertise in performance marketing, product development and technology by leveraging the widespread recognition of the LendingTree brand.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consumer and insurance industries are in the middle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Network Partners place us in a strong position to continue to benefit from this market shift.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monitor the current global economic environment, specifically including inflationary pressures and interest rates, and any resulting impacts on our financial position and results of operations. Refer to Part I, Item 1A. “Risk Factors” of our 2025 Annual Report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first quarter of 2026, the challenging interest rate environment and inflationary pressures have continued to present challenges for many of our mortgage lending partners. In our Home segment, mortgage rates have decreased slightly in the first quarter of 2026, with the quarterly average mortgage rate in the first quarter of 2026 of 6.1% compared to 6.8% in the first quarter of 2025, but remain significantly increased compared to the low rates seen in 2021. A shortage of in-the-money refinance borrowers persists given the current higher level of mortgage rates, and historically low existing home sales are suppressing consumer demand for purchase loans. Our Consumer segment has benefited from the recent Federal Reserve rate decreases, but recent geopolitical events and higher consumer tax refunds appear to have pressured consumer demand for new borrowing. In our Insurance segment, carriers are broadly experiencing strong automotive underwriting results following multiple quarters of premium increases and stable loss cost trends. We are optimistic about maintaining the strong performance in the Insurance segment in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reportable segments: Home, Consumer, and Insurance.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and market risks are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dynamically adjust selling and marketing expenditures in all interest rate environments to optimize our results against these variables.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Freddie Mac, the monthly average 30-year mortgage interest rates remained consistent at 6.2% in March 2026 and in December 2025. On a quarterly basis, 30-year mortgage interest rates decreased to an average of 6.1% in the first quarter of 2026 from 6.2% in the fourth quarter of 2025. The quarterly average decreased to 6.1% in the first quarter of 2026 compared to 6.8% in the first quarter of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900430</wp:posOffset>
            </wp:positionV>
            <wp:extent cx="5863590" cy="4191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decreased to 40% of total mortgage origination dollars in the first quarter of 2026 compared to 42% in the fourth quarter of 2025 and increased from 29% in the first quarter of 2025. In the first quarter of 2026, total refinance origination dollars decreased 11% from the fourth quarter of 2025 and increased 96% from the first quarter of 2025. Industry-wide mortgage origination dollars in the first quarter of 2026 decreased 6% from the fourth quarter of 2025, but increased 43% from first quarter of 2025.</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 to MBA projections, the mix of mortgage origination dollars is expected to continue to be weighted towards purchase mortgages with the refinance share representing approximately 35% for 2026 compared to 34%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 to Fannie Mae data, existing home sales decreased 3% in the first quarter of 2026 compared to the fourth quarter of 2025, and decreased 1% compared to the first quarter of 2025. Fannie Mae predicts an overall increase in existing-home sales of approximately 1.2% in 2026 compared to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discussion within Revenue provides the details of consolidated revenue by segment and significant products. In this section, we describe overall changes in revenue in our segments and significant products within each segment and increases or decreases in revenue from the prior period. We also provide insight into how changes in price and volume in each significant product impacted product revenue.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Segment Profit is a discussion of profitability within each segment of the business. It is impacted by segment revenues as well as segment cost of revenue and marketing expenses. In Segment Profit, we provide a discussion of the business within each segment, addressing both Company and market impacts on the profitability of each segment in addition to a discussion of segment margin.</w:t>
      </w:r>
    </w:p>
    <w:p>
      <w:pPr>
        <w:spacing w:after="0" w:line="9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20"/>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tcPr>
          <w:p>
            <w:pPr>
              <w:jc w:val="right"/>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i w:val="1"/>
                <w:iCs w:val="1"/>
                <w:color w:val="auto"/>
                <w:w w:val="96"/>
              </w:rPr>
              <w:t>(Dollars in thousands)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39,068</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37,019</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2,049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66,333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56,033</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10,300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221,859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146,652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75,207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327,267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239,728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87,539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37 %</w:t>
            </w:r>
          </w:p>
        </w:tc>
        <w:tc>
          <w:tcPr>
            <w:tcW w:w="0" w:type="dxa"/>
            <w:vAlign w:val="bottom"/>
          </w:tcPr>
          <w:p>
            <w:pPr>
              <w:spacing w:after="0"/>
              <w:rPr>
                <w:sz w:val="1"/>
                <w:szCs w:val="1"/>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16"/>
                <w:szCs w:val="16"/>
                <w:i w:val="1"/>
                <w:iCs w:val="1"/>
                <w:color w:val="auto"/>
              </w:rPr>
              <w:t>(exclusive of depreciation and amortization shown separately below)</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11,696</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1,788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238,568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172,751</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65,817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27,990</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(437)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15,212</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(15,192)</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296,153</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246,837</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49,316</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20 %</w:t>
            </w:r>
          </w:p>
        </w:tc>
        <w:tc>
          <w:tcPr>
            <w:tcW w:w="0" w:type="dxa"/>
            <w:vAlign w:val="bottom"/>
          </w:tcPr>
          <w:p>
            <w:pPr>
              <w:spacing w:after="0"/>
              <w:rPr>
                <w:sz w:val="1"/>
                <w:szCs w:val="1"/>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31,114</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(7,109)</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38,223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538 %</w:t>
            </w:r>
          </w:p>
        </w:tc>
        <w:tc>
          <w:tcPr>
            <w:tcW w:w="0" w:type="dxa"/>
            <w:vAlign w:val="bottom"/>
          </w:tcPr>
          <w:p>
            <w:pPr>
              <w:spacing w:after="0"/>
              <w:rPr>
                <w:sz w:val="1"/>
                <w:szCs w:val="1"/>
                <w:color w:val="auto"/>
              </w:rPr>
            </w:pPr>
          </w:p>
        </w:tc>
      </w:tr>
      <w:tr>
        <w:trPr>
          <w:trHeight w:val="21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16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(1,019)</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10"/>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22,917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(14,805)</w:t>
            </w:r>
          </w:p>
        </w:tc>
        <w:tc>
          <w:tcPr>
            <w:tcW w:w="160" w:type="dxa"/>
            <w:vAlign w:val="bottom"/>
          </w:tcPr>
          <w:p>
            <w:pPr>
              <w:spacing w:after="0"/>
              <w:rPr>
                <w:sz w:val="18"/>
                <w:szCs w:val="18"/>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37,722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255 %</w:t>
            </w:r>
          </w:p>
        </w:tc>
        <w:tc>
          <w:tcPr>
            <w:tcW w:w="0" w:type="dxa"/>
            <w:vAlign w:val="bottom"/>
          </w:tcPr>
          <w:p>
            <w:pPr>
              <w:spacing w:after="0"/>
              <w:rPr>
                <w:sz w:val="1"/>
                <w:szCs w:val="1"/>
                <w:color w:val="auto"/>
              </w:rPr>
            </w:pPr>
          </w:p>
        </w:tc>
      </w:tr>
      <w:tr>
        <w:trPr>
          <w:trHeight w:val="215"/>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8,081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and comprehensive income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17,266</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(12,375)</w:t>
            </w: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29,641</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240 %</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in the first quarter of 2026 compared to the first quarter of 2025 due to increases in our Insurance, Consumer and Home segments.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our Insurance segment increased $75.2 million, or 51%, to $221.9 million in the first quarter of 2026 from $146.7 million in the first quarter of 2025. The increase in revenue was due to a 28% increase in volume, representing $48.9 million of the increase and an 18% increase in revenue earned per consumer, representing $26.3 million of the increase We measure volume for insurance products as the number of consumer request forms and in certain cases of re-engagement with a consumer, the number of subsequent consumer engagements through our platform.</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Consumer segment includes the following products: credit cards, personal loans, small business loans, auto loans, deposit accounts, and other credit products. Many of our Consumer segment products are not individually significant to revenue. Revenue from our Consumer segment increased $10.3 million, or 18%, in the first quarter of 2026 from the first quarter of 2025 primarily due to increases in our small business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periods presented, no products in our Consumer segment represented more than 10% of revenue; however, certain other Consumer products experienced notable changes. Revenue from small business increased $9.7 million, or 49%, in the first quarter of 2026 compared to the first quarter of 2025 due to increases in revenue earned per consumer and in the number of consumers completing request forms.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Home segment includes the following products: purchase mortgage, refinance mortgage, and home equity loans and lines of credit. Revenue from our Home segment increased $2.0 million, or 6%, in the first quarter of 2026 from the first quarter of 2025 primarily due to an increase in revenue from our home equity loans product, partially offset by a decrease in revenue from our mortgage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revenue increased in the first quarter of 2026 from the first quarter of 2025 by $1.8 million, primarily due to an increase in compensation and benefits.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as a percentage of revenue was 4% in the first quarter of 2026 which is consistent with the first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 increased in the first quarter of 2026 compared to the first quarter 2025 by $65.8 million primarily due to the changes in advertising and promotional expense discussed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3"/>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1"/>
                <w:szCs w:val="11"/>
                <w:color w:val="auto"/>
              </w:rPr>
            </w:pPr>
          </w:p>
        </w:tc>
        <w:tc>
          <w:tcPr>
            <w:tcW w:w="90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1"/>
                <w:szCs w:val="11"/>
                <w:color w:val="auto"/>
              </w:rPr>
            </w:pPr>
          </w:p>
        </w:tc>
        <w:tc>
          <w:tcPr>
            <w:tcW w:w="1040" w:type="dxa"/>
            <w:vAlign w:val="bottom"/>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ind w:right="457"/>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3"/>
          </w:tcPr>
          <w:p>
            <w:pPr>
              <w:jc w:val="center"/>
              <w:ind w:right="77"/>
              <w:spacing w:after="0"/>
              <w:rPr>
                <w:sz w:val="20"/>
                <w:szCs w:val="20"/>
                <w:color w:val="auto"/>
              </w:rPr>
            </w:pPr>
            <w:r>
              <w:rPr>
                <w:rFonts w:ascii="Times New Roman" w:cs="Times New Roman" w:eastAsia="Times New Roman" w:hAnsi="Times New Roman"/>
                <w:sz w:val="13"/>
                <w:szCs w:val="13"/>
                <w:b w:val="1"/>
                <w:bCs w:val="1"/>
                <w:i w:val="1"/>
                <w:iCs w:val="1"/>
                <w:color w:val="auto"/>
                <w:w w:val="97"/>
              </w:rPr>
              <w:t>(Dollars in thousands)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161,075</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65,808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(89)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advertising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227,720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162,001</w:t>
            </w:r>
          </w:p>
        </w:tc>
        <w:tc>
          <w:tcPr>
            <w:tcW w:w="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65,719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the periods presented, advertising and promotional expenses are equivalent to the non-GAAP measure variable marketing expense.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Variable Marketing Expense and Variable Marketing Margin below for additional information.</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adjusted our advertising expenditures in the first quarter of 2026 compared to the first quarter of 2025 in response to changes in Network Partner demand on our marketplace. We will continue to adjust selling and marketing expenditures dynamically in response to anticipated revenue opportunities.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decreased in the first quarter of 2026 compared to the first quarter of 2025, primarily due to a decrease in compensation and benefits of $3.4 million.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Non-cash compensation expense, included in total compensation and benefits noted above, within general and administrative expense decreased in the first quarter of 2026 compared to the first quarter of 2025 primarily due to $6.1 million of non-compensation expense in the first quarter of 2025 on equity awards associated with our previous Founder and Chief Executive Officer. For additional information,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Note—8-Stock-Based Compensation in the notes to the consolidated financial statements included elsewhere in this report. Non-cash compensation expense is excluded from Adjusted Earnings Before Interest, Taxes, Depreciation, and Amortization (“Adjusted EBITDA”), as discussed below.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as a percentage of revenue in the first quarter of 2026 was 9% compared to 13% for the first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2025, we incurred $15.2 million of expenses for litigation contingencies due to the Mantha litigation. See Note 11—Contingencies in the notes to the consolidated financial statements for additional information on litigation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2025, we repurchased approximately $20.0 million in principal amount of our 0.50% Convertible Senior Notes due July 15, 2025 (the "2025 Notes") for $19.7 million plus accrued and unpaid interest. As a result of the repurchase, we recognized a gain on the extinguishment of $0.3 million, which is included in interest expense, net in the consolidated statement of operations and comprehensive income.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10—Debt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quarter of 2026, the effective tax rate varied from the U.S. federal statutory rate of 21% primarily due to the effect of state income taxes.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first quarter of 2025, the effective tax rate differed from the U.S. federal statutory rate of 21% primarily due to changes in the valuation allowance, net of the current period change in tax-effected net indefinite-lived intangibles.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out-of-the-money stock options may expire unexercised, and as a result we could be required to reverse the related deferred tax asset for share-based compensation, which would increase income tax expense and the effective tax rate in a future period in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Profit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3"/>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60" w:type="dxa"/>
            <w:vAlign w:val="bottom"/>
          </w:tcPr>
          <w:p>
            <w:pPr>
              <w:spacing w:after="0"/>
              <w:rPr>
                <w:sz w:val="11"/>
                <w:szCs w:val="11"/>
                <w:color w:val="auto"/>
              </w:rPr>
            </w:pPr>
          </w:p>
        </w:tc>
        <w:tc>
          <w:tcPr>
            <w:tcW w:w="94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1"/>
                <w:szCs w:val="11"/>
                <w:color w:val="auto"/>
              </w:rPr>
            </w:pPr>
          </w:p>
        </w:tc>
        <w:tc>
          <w:tcPr>
            <w:tcW w:w="1080" w:type="dxa"/>
            <w:vAlign w:val="bottom"/>
          </w:tcPr>
          <w:p>
            <w:pPr>
              <w:jc w:val="right"/>
              <w:ind w:right="61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3"/>
          </w:tcPr>
          <w:p>
            <w:pPr>
              <w:jc w:val="center"/>
              <w:ind w:right="112"/>
              <w:spacing w:after="0"/>
              <w:rPr>
                <w:sz w:val="20"/>
                <w:szCs w:val="20"/>
                <w:color w:val="auto"/>
              </w:rPr>
            </w:pPr>
            <w:r>
              <w:rPr>
                <w:rFonts w:ascii="Times New Roman" w:cs="Times New Roman" w:eastAsia="Times New Roman" w:hAnsi="Times New Roman"/>
                <w:sz w:val="13"/>
                <w:szCs w:val="13"/>
                <w:b w:val="1"/>
                <w:bCs w:val="1"/>
                <w:i w:val="1"/>
                <w:iCs w:val="1"/>
                <w:color w:val="auto"/>
                <w:w w:val="96"/>
              </w:rPr>
              <w:t>(Dollars in thousands)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Home</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37,019</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2,049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29,106</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5,233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2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(3,184)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36%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10,300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4,504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27,137</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5,796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60" w:type="dxa"/>
            <w:vAlign w:val="bottom"/>
          </w:tcPr>
          <w:p>
            <w:pPr>
              <w:spacing w:after="0"/>
              <w:rPr>
                <w:sz w:val="19"/>
                <w:szCs w:val="19"/>
                <w:color w:val="auto"/>
              </w:rPr>
            </w:pPr>
          </w:p>
        </w:tc>
        <w:tc>
          <w:tcPr>
            <w:tcW w:w="86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50%</w:t>
            </w:r>
          </w:p>
        </w:tc>
        <w:tc>
          <w:tcPr>
            <w:tcW w:w="160" w:type="dxa"/>
            <w:vAlign w:val="bottom"/>
          </w:tcPr>
          <w:p>
            <w:pPr>
              <w:spacing w:after="0"/>
              <w:rPr>
                <w:sz w:val="19"/>
                <w:szCs w:val="19"/>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48%</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221,859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146,652</w:t>
            </w:r>
          </w:p>
        </w:tc>
        <w:tc>
          <w:tcPr>
            <w:tcW w:w="22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75,207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163,927</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107,942</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55,985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38,710</w:t>
            </w:r>
          </w:p>
        </w:tc>
        <w:tc>
          <w:tcPr>
            <w:tcW w:w="220" w:type="dxa"/>
            <w:vAlign w:val="bottom"/>
          </w:tcPr>
          <w:p>
            <w:pPr>
              <w:spacing w:after="0"/>
              <w:rPr>
                <w:sz w:val="19"/>
                <w:szCs w:val="19"/>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19,222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26%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26%</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profit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327,267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239,728</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87,539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marketing expense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226,510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160,747</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65,763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78,981</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21,776</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0" w:type="dxa"/>
            <w:vAlign w:val="bottom"/>
          </w:tcPr>
          <w:p>
            <w:pPr>
              <w:spacing w:after="0"/>
              <w:rPr>
                <w:sz w:val="1"/>
                <w:szCs w:val="1"/>
                <w:color w:val="auto"/>
              </w:rPr>
            </w:pPr>
          </w:p>
        </w:tc>
      </w:tr>
      <w:tr>
        <w:trPr>
          <w:trHeight w:val="227"/>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Segment margin</w:t>
            </w:r>
          </w:p>
        </w:tc>
        <w:tc>
          <w:tcPr>
            <w:tcW w:w="260" w:type="dxa"/>
            <w:vAlign w:val="bottom"/>
          </w:tcPr>
          <w:p>
            <w:pPr>
              <w:spacing w:after="0"/>
              <w:rPr>
                <w:sz w:val="19"/>
                <w:szCs w:val="19"/>
                <w:color w:val="auto"/>
              </w:rPr>
            </w:pPr>
          </w:p>
        </w:tc>
        <w:tc>
          <w:tcPr>
            <w:tcW w:w="860" w:type="dxa"/>
            <w:vAlign w:val="bottom"/>
          </w:tcPr>
          <w:p>
            <w:pPr>
              <w:jc w:val="center"/>
              <w:ind w:right="171"/>
              <w:spacing w:after="0"/>
              <w:rPr>
                <w:sz w:val="20"/>
                <w:szCs w:val="20"/>
                <w:color w:val="auto"/>
              </w:rPr>
            </w:pPr>
            <w:r>
              <w:rPr>
                <w:rFonts w:ascii="Times New Roman" w:cs="Times New Roman" w:eastAsia="Times New Roman" w:hAnsi="Times New Roman"/>
                <w:sz w:val="18"/>
                <w:szCs w:val="18"/>
                <w:i w:val="1"/>
                <w:iCs w:val="1"/>
                <w:color w:val="auto"/>
                <w:w w:val="96"/>
              </w:rPr>
              <w:t>31%</w:t>
            </w:r>
          </w:p>
        </w:tc>
        <w:tc>
          <w:tcPr>
            <w:tcW w:w="160" w:type="dxa"/>
            <w:vAlign w:val="bottom"/>
          </w:tcPr>
          <w:p>
            <w:pPr>
              <w:spacing w:after="0"/>
              <w:rPr>
                <w:sz w:val="19"/>
                <w:szCs w:val="19"/>
                <w:color w:val="auto"/>
              </w:rPr>
            </w:pPr>
          </w:p>
        </w:tc>
        <w:tc>
          <w:tcPr>
            <w:tcW w:w="940" w:type="dxa"/>
            <w:vAlign w:val="bottom"/>
          </w:tcPr>
          <w:p>
            <w:pPr>
              <w:jc w:val="center"/>
              <w:ind w:right="73"/>
              <w:spacing w:after="0"/>
              <w:rPr>
                <w:sz w:val="20"/>
                <w:szCs w:val="20"/>
                <w:color w:val="auto"/>
              </w:rPr>
            </w:pPr>
            <w:r>
              <w:rPr>
                <w:rFonts w:ascii="Times New Roman" w:cs="Times New Roman" w:eastAsia="Times New Roman" w:hAnsi="Times New Roman"/>
                <w:sz w:val="18"/>
                <w:szCs w:val="18"/>
                <w:i w:val="1"/>
                <w:iCs w:val="1"/>
                <w:color w:val="auto"/>
              </w:rPr>
              <w:t>33%</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140" w:right="100"/>
        <w:spacing w:after="0" w:line="214"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costs.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Segment margin is segment profit divided by segment revenue.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13—Segment Information in the notes to the consolidated financial statements for additional information on segments and a reconciliation of segment profit to pre-tax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in the Home segment increased 6% to $39.1 million in the first quarter of 2026 and segment profit decreased 24% to $10.0 million in the first quarter of 2026 compared to the first quarter of 2025. Segment margin decreased to 25% in the first quarter of 2026 compared to 36% in the first quarter of 2025 primarily due to an increase in online marketing costs as we experienced an increase in competition from certain direct-to-consumer lenders for mortgage products. Additionally, there was a strategic investment decision to drive higher quality traffic within the home equity product, increasing marketing costs.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refinance product within our mortgage business matches consumers in the market looking to refinance their existing mortgages with our network lenders. Our purchase product within our mortgage business matches consumers in the market looking to buy a new home with our network lenders. Our mortgage business is directly impacted by the mortgage market in which we participate and continues to see headwinds from a lack of in-the-money refinance borrowers given the current higher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of mortgage rates, and subdued home sales have pressured the volume of consumers searching for purchase loans. We expect this environment to continue in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 in our Consumer segment increased 18% to $66.3 million in the first quarter of 2026 from the first quarter of 2025, and segment profit increased 21% to $32.9 million in the first quarter of 2026 from the first quarter of 2025. Segment margin increased slightly to 50% in the first quarter of 2026 compared to 48% in the first quarter of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Small business revenue increased 49% in the first quarter of 2026 from the first quarter of 2025. This increase in revenue was driven by additional investment in our concierge sales team, which provides a high-touch service option to help business owners find the right financing option, while increasing the speed of application submission, approval and funding.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section titled "Revenue" above for additional discussion of product revenues within the Consumer segment.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Insurance revenue of $221.9 million in the first quarter of 2026 increased 51% from first quarter of 2025, while segment profit of $57.9 million in the first quarter of 2026 increased 50% from the first quarter of 2025. Insurance carriers continue to enjoy very strong automotive underwriting results and our leading market position with the largest carriers creates scale benefits. Growing marketing budgets from mid-sized carriers that are competing for market share provides market breadth for consumers that are shopping for lower policy rates.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price decreases in auto insurance rates across select states in 2026 will provide an additional catalyst for consumer shopping and market share competition amongst carriers, which is expected to benefit our insurance segment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Marketing Expense and Variable Marketing Margin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report variable marketing expense and variable marketing margin as supplemental measures to accounting principles generally accepted in the United States of America ("GAAP"). These related measures are the primary metrics by which we measure the effectiveness of our marketing efforts. Variable marketing expense represents the portion of selling and marketing expense attributable to variable costs paid for advertising, direct marketing, and related expenses, and excludes overhead, fixed costs, and personnel-related expenses. Variable marketing margin is a measure of the efficiency of our operating model, measuring revenue after subtracting variable marketing expense.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Variable marketing expense is defined as the expense attributable to variable costs paid for advertising, direct marketing and related expenses, and excluding overhead, fixed costs and personnel-related expenses. The majority of these variable advertising costs are expressly intended to drive traffic to our websites and these variable advertising costs are included in selling and marketing expense on our consolidated statements of operations and comprehensive income. Variable marketing margin is defined as revenue less variable marketing expense.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calculation of variable marketing margin:</w:t>
      </w:r>
    </w:p>
    <w:p>
      <w:pPr>
        <w:spacing w:after="0" w:line="20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13335</wp:posOffset>
            </wp:positionV>
            <wp:extent cx="1654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8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8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38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6"/>
                <w:szCs w:val="16"/>
                <w:color w:val="auto"/>
              </w:rPr>
            </w:pPr>
          </w:p>
        </w:tc>
      </w:tr>
      <w:tr>
        <w:trPr>
          <w:trHeight w:val="23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5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327,267</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239,728</w:t>
            </w:r>
          </w:p>
        </w:tc>
      </w:tr>
      <w:tr>
        <w:trPr>
          <w:trHeight w:val="229"/>
        </w:trPr>
        <w:tc>
          <w:tcPr>
            <w:tcW w:w="3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Variable marketing expense</w:t>
            </w:r>
          </w:p>
        </w:tc>
        <w:tc>
          <w:tcPr>
            <w:tcW w:w="4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227,720</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162,001</w:t>
            </w:r>
          </w:p>
        </w:tc>
      </w:tr>
      <w:tr>
        <w:trPr>
          <w:trHeight w:val="230"/>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5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99,547</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77,727</w:t>
            </w:r>
          </w:p>
        </w:tc>
      </w:tr>
      <w:tr>
        <w:trPr>
          <w:trHeight w:val="904"/>
        </w:trPr>
        <w:tc>
          <w:tcPr>
            <w:tcW w:w="3840" w:type="dxa"/>
            <w:vAlign w:val="bottom"/>
          </w:tcPr>
          <w:p>
            <w:pPr>
              <w:spacing w:after="0"/>
              <w:rPr>
                <w:sz w:val="24"/>
                <w:szCs w:val="24"/>
                <w:color w:val="auto"/>
              </w:rPr>
            </w:pPr>
          </w:p>
        </w:tc>
        <w:tc>
          <w:tcPr>
            <w:tcW w:w="4800" w:type="dxa"/>
            <w:vAlign w:val="bottom"/>
          </w:tcPr>
          <w:p>
            <w:pPr>
              <w:jc w:val="right"/>
              <w:ind w:right="283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selling and marketing expense, the most directly comparable GAAP measure, to variable marketing expense:</w:t>
      </w:r>
    </w:p>
    <w:p>
      <w:pPr>
        <w:spacing w:after="0" w:line="20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13335</wp:posOffset>
            </wp:positionV>
            <wp:extent cx="1654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left="41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6"/>
                <w:szCs w:val="16"/>
                <w:color w:val="auto"/>
              </w:rPr>
            </w:pPr>
          </w:p>
        </w:tc>
      </w:tr>
      <w:tr>
        <w:trPr>
          <w:trHeight w:val="235"/>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238,568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172,751</w:t>
            </w:r>
          </w:p>
        </w:tc>
      </w:tr>
      <w:tr>
        <w:trPr>
          <w:trHeight w:val="229"/>
        </w:trPr>
        <w:tc>
          <w:tcPr>
            <w:tcW w:w="8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Non-variable selling and marketing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(10,848)</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(10,750)</w:t>
            </w:r>
          </w:p>
        </w:tc>
      </w:tr>
      <w:tr>
        <w:trPr>
          <w:trHeight w:val="230"/>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227,720</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162,001</w:t>
            </w:r>
          </w:p>
        </w:tc>
      </w:tr>
      <w:tr>
        <w:trPr>
          <w:trHeight w:val="473"/>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(loss), the most directly comparable GAAP measure, to variable marketing margin:</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24"/>
        </w:trPr>
        <w:tc>
          <w:tcPr>
            <w:tcW w:w="8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3"/>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6"/>
        </w:trPr>
        <w:tc>
          <w:tcPr>
            <w:tcW w:w="8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r>
      <w:tr>
        <w:trPr>
          <w:trHeight w:val="192"/>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1"/>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jc w:val="center"/>
              <w:ind w:left="41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6"/>
                <w:szCs w:val="16"/>
                <w:color w:val="auto"/>
              </w:rPr>
            </w:pPr>
          </w:p>
        </w:tc>
      </w:tr>
      <w:tr>
        <w:trPr>
          <w:trHeight w:val="23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17,266</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(12,375)</w:t>
            </w:r>
          </w:p>
        </w:tc>
      </w:tr>
      <w:tr>
        <w:trPr>
          <w:trHeight w:val="256"/>
        </w:trPr>
        <w:tc>
          <w:tcPr>
            <w:tcW w:w="8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variable marketing margin: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11,696</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9,908</w:t>
            </w:r>
          </w:p>
        </w:tc>
      </w:tr>
      <w:tr>
        <w:trPr>
          <w:trHeight w:val="230"/>
        </w:trPr>
        <w:tc>
          <w:tcPr>
            <w:tcW w:w="86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Non-variable selling and marketing expense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10,848</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10,750</w:t>
            </w: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27,990</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30,660</w:t>
            </w: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11,467</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11,904</w:t>
            </w: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4,185</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4,297</w:t>
            </w: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1,288</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1,307</w:t>
            </w:r>
          </w:p>
        </w:tc>
      </w:tr>
      <w:tr>
        <w:trPr>
          <w:trHeight w:val="230"/>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939</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798</w:t>
            </w: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15,212</w:t>
            </w:r>
          </w:p>
        </w:tc>
      </w:tr>
      <w:tr>
        <w:trPr>
          <w:trHeight w:val="229"/>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8,566</w:t>
            </w:r>
          </w:p>
        </w:tc>
        <w:tc>
          <w:tcPr>
            <w:tcW w:w="4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9,084</w:t>
            </w: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(369)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(1,388)</w:t>
            </w:r>
          </w:p>
        </w:tc>
      </w:tr>
      <w:tr>
        <w:trPr>
          <w:trHeight w:val="230"/>
        </w:trPr>
        <w:tc>
          <w:tcPr>
            <w:tcW w:w="8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5,651</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(2,430)</w:t>
            </w:r>
          </w:p>
        </w:tc>
      </w:tr>
      <w:tr>
        <w:trPr>
          <w:trHeight w:val="223"/>
        </w:trPr>
        <w:tc>
          <w:tcPr>
            <w:tcW w:w="8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99,547</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77,727</w:t>
            </w:r>
          </w:p>
        </w:tc>
      </w:tr>
    </w:tbl>
    <w:p>
      <w:pPr>
        <w:spacing w:after="0" w:line="252" w:lineRule="exact"/>
        <w:rPr>
          <w:sz w:val="20"/>
          <w:szCs w:val="20"/>
          <w:color w:val="auto"/>
        </w:rPr>
      </w:pPr>
    </w:p>
    <w:p>
      <w:pPr>
        <w:ind w:left="400" w:right="100" w:hanging="251"/>
        <w:spacing w:after="0" w:line="250"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 Adjusted EBITDA as net income adjusted to exclude interest, income tax, amortization of intangibles and depreciation, and to further exclude</w:t>
      </w:r>
    </w:p>
    <w:p>
      <w:pPr>
        <w:spacing w:after="0" w:line="27" w:lineRule="exact"/>
        <w:rPr>
          <w:sz w:val="20"/>
          <w:szCs w:val="20"/>
          <w:color w:val="auto"/>
        </w:rPr>
      </w:pPr>
    </w:p>
    <w:p>
      <w:pPr>
        <w:jc w:val="both"/>
        <w:ind w:firstLine="8"/>
        <w:spacing w:after="0" w:line="255"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contributions to the LendingTree Foundation, (9) dividend income, and (10) one-time items. Adjusted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there are no adjustments for one-time items.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income (loss), the most directly comparable GAAP measure, to Adjusted EBITDA.</w:t>
      </w:r>
    </w:p>
    <w:p>
      <w:pPr>
        <w:spacing w:after="0" w:line="151"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20" w:type="dxa"/>
            <w:vAlign w:val="bottom"/>
          </w:tcPr>
          <w:p>
            <w:pPr>
              <w:spacing w:after="0"/>
              <w:rPr>
                <w:sz w:val="17"/>
                <w:szCs w:val="17"/>
                <w:color w:val="auto"/>
              </w:rPr>
            </w:pPr>
          </w:p>
        </w:tc>
      </w:tr>
      <w:tr>
        <w:trPr>
          <w:trHeight w:val="23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17,266</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(12,375)</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1,288</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4,185</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impairments and disposal of assets</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359</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4,060</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Contribution to LendingTree Foundation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400</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8,566</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30"/>
        </w:trPr>
        <w:tc>
          <w:tcPr>
            <w:tcW w:w="86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5,651</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30"/>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42,009</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24,626</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we had $85.5 million of cash and cash equivalents, compared to $81.1 million of cash and cash equivalents as of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cash and cash equivalents and cash flows from operations to be sufficient to fund our operating needs for the next twelve months and beyond. We will continue to monitor the impact of the current economic conditions, including interest rates, and inflation on our liquidity and capital resources.</w:t>
      </w:r>
    </w:p>
    <w:p>
      <w:pPr>
        <w:spacing w:after="0" w:line="123" w:lineRule="exact"/>
        <w:rPr>
          <w:sz w:val="20"/>
          <w:szCs w:val="20"/>
          <w:color w:val="auto"/>
        </w:rPr>
      </w:pPr>
    </w:p>
    <w:p>
      <w:pPr>
        <w:ind w:right="1960"/>
        <w:spacing w:after="0" w:line="422" w:lineRule="auto"/>
        <w:rPr>
          <w:sz w:val="20"/>
          <w:szCs w:val="20"/>
          <w:color w:val="auto"/>
        </w:rPr>
      </w:pPr>
      <w:r>
        <w:rPr>
          <w:rFonts w:ascii="Times New Roman" w:cs="Times New Roman" w:eastAsia="Times New Roman" w:hAnsi="Times New Roman"/>
          <w:sz w:val="18"/>
          <w:szCs w:val="18"/>
          <w:color w:val="auto"/>
        </w:rPr>
        <w:t xml:space="preserve">For more information, see Note 10—Debt, in the notes to the consolidated financial statements included elsewhere in this report. </w:t>
      </w:r>
      <w:r>
        <w:rPr>
          <w:rFonts w:ascii="Times New Roman" w:cs="Times New Roman" w:eastAsia="Times New Roman" w:hAnsi="Times New Roman"/>
          <w:sz w:val="18"/>
          <w:szCs w:val="18"/>
          <w:b w:val="1"/>
          <w:bCs w:val="1"/>
          <w:color w:val="auto"/>
        </w:rPr>
        <w:t>Equity Distribution Agreement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we entered into an Equity Distribution Agreement in connection with the establishment of an ATM Equity Program under which we may sell up to an aggregate of $50.0 million of shares of our common stock. No sales have been made under the Equity Distribution Agreement since its inception.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21, 2025, we entered into a $475.0 million first lien term loan facility ("the 2025 Credit Facility"), consisting of a $75.0 million revolving credit facility (the "2025 Revolving Credit Facility") and a $400.0 million term loan facility (the "2025 Term Loan"), both with maturities of August 21, 2030. Proceeds from the 2025 Facility were used to refinance two previously outstanding term loans and for working capital and general corporate purposes.</w:t>
      </w:r>
    </w:p>
    <w:p>
      <w:pPr>
        <w:spacing w:after="0" w:line="1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May 1, 2026, we have $398.0 million outstanding under the 2025 Term Loan and we have $75.0 million available for borrowing under the 2025 Revolving Credit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10—Debt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130"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7"/>
                <w:szCs w:val="17"/>
                <w:color w:val="auto"/>
              </w:rPr>
            </w:pPr>
          </w:p>
        </w:tc>
      </w:tr>
      <w:tr>
        <w:trPr>
          <w:trHeight w:val="23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11,552</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(2,718)</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r>
      <w:tr>
        <w:trPr>
          <w:trHeight w:val="229"/>
        </w:trPr>
        <w:tc>
          <w:tcPr>
            <w:tcW w:w="8720" w:type="dxa"/>
            <w:vAlign w:val="bottom"/>
            <w:tcBorders>
              <w:bottom w:val="single" w:sz="8" w:color="999999"/>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(4,389)</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and income taxes.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increased in the first three months of 2026 from the first three months of 2025 primarily due to increases in revenue, partially offset by operating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first three months of 2026 and 2025 of $2.7 million and $3.4 million, respectively, consisted of capital expenditures primarily related to internally developed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 the first three months of 2026 of $4.4 million consisted of $3.4 million in withholding taxes paid upon surrender of shares to satisfy obligations on equity awards, net of proceeds from the exercise of stock options and $1.0 million for a scheduled payment on the 2025 Term Loan.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first three months of 2025 of $23.4 million consisted primarily of $49.5 million of net proceeds from a term loan partially offset by repurchases of convertible notes for $19.7 million, term loan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repayments of $3.8 million and $2.6 million in withholding taxes paid upon surrender of shares to satisfy obligations on equity awards, net of proceeds from the exercise of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color w:val="auto"/>
        </w:rPr>
        <w:t xml:space="preserve">For information regarding new accounting pronouncements,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Significant Accounting Policies, in Part I, Item 1 consolidated financial statements of this Quarterly Report on Form 10-Q.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the 2025 Term Loan,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$4.0 million annual effect on the interest paid on borrowings under the 2025 Term Loan. As of May 1, 2026, the Company had $398.0 million outstanding on its 2025 Term Loan Facility, and there were no outstanding borrowings under its 2025 Revolving Credit Facility.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the level of refinancing activity and other loan products which, in turn, affects lender demand for leads.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a company in the reports that it files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under the Exchange Act is accumulated and communicated to a company’s management, including its principal executive officer and principal financial officer, as appropriate to allow timely decisions regarding required disclosure. Based upon that evaluation, our Chief Executive Officer and Chief Financial Officer concluded that our disclosure controls and procedures are effective, as of March 31, 2026,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March 31, 2026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our 2025 Annual Report and updated that information in Note 11— Contingencies to the consolidated financial statements included elsewhere in this Quarterly Report on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Risk factors that affect our business and financial results are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2025 Annual Report. There have been no material changes to the risk factors included in our 2025 Annual Report.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in our 2025 Annual Report, which could materially affect our business, financial condition or future results. The risks described in our 2025 Annual Report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stock repurchase program authorized for the repurchase of LendingTree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Furthermore, our 2025 Credit Facility limits stock repurchases. During the quarter ended March 31, 2026, no shares of common stock were repurchased under the stock repurchase program. As of May 1, 2026, approximately $96.7 million remains authorized for share repurchase.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LendingTree 2023 Stock Plan and LendingTree 2023 Inducement Grant Plan allows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March 31, 2026, 84,305 shares were withheld related to these obligations under the LendingTree 2023 Stock Plan. The withholding of those shares does not affect the dollar amount or number of shares that may be purchased under the stock repurchase program described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March 31,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7"/>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left="168"/>
              <w:spacing w:after="0" w:line="137"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May Yet Be</w:t>
            </w:r>
          </w:p>
        </w:tc>
        <w:tc>
          <w:tcPr>
            <w:tcW w:w="0" w:type="dxa"/>
            <w:vAlign w:val="bottom"/>
          </w:tcPr>
          <w:p>
            <w:pPr>
              <w:spacing w:after="0"/>
              <w:rPr>
                <w:sz w:val="1"/>
                <w:szCs w:val="1"/>
                <w:color w:val="auto"/>
              </w:rPr>
            </w:pPr>
          </w:p>
        </w:tc>
      </w:tr>
      <w:tr>
        <w:trPr>
          <w:trHeight w:val="146"/>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40" w:type="dxa"/>
            <w:vAlign w:val="bottom"/>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97"/>
        </w:trPr>
        <w:tc>
          <w:tcPr>
            <w:tcW w:w="3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1/1/2026 - 1/31/2026</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2/1/2026 - 2/28/2026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3/1/2026 - 3/31/2026</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84,305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96,655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660" w:hanging="328"/>
        <w:spacing w:after="0" w:line="266"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January 2026, February 2026 and March 2026, 873 shares, 38 shares and 83,394 shares, respectively (totaling 84,305 shares), were purchased to satisfy federal and state withholding obligations of our employees upon the settlement of restricted stock units, all in accordance with our 2023 Stock Plan, as described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quarter ended March 31,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Further, during the fiscal quarter ended March 31, 2026, the Company did not adopt or terminate a Rule 10b5-1 trading arrangement.</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42" w:lineRule="exact"/>
        <w:rPr>
          <w:sz w:val="20"/>
          <w:szCs w:val="20"/>
          <w:color w:val="auto"/>
        </w:rPr>
      </w:pPr>
    </w:p>
    <w:p>
      <w:pPr>
        <w:ind w:left="300"/>
        <w:spacing w:after="0"/>
        <w:tabs>
          <w:tab w:leader="none" w:pos="4320" w:val="left"/>
          <w:tab w:leader="none" w:pos="950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2" w:lineRule="exact"/>
        <w:rPr>
          <w:sz w:val="20"/>
          <w:szCs w:val="20"/>
          <w:color w:val="auto"/>
        </w:rPr>
      </w:pPr>
    </w:p>
    <w:p>
      <w:pPr>
        <w:ind w:left="74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56">
        <w:r>
          <w:rPr>
            <w:rFonts w:ascii="Times New Roman" w:cs="Times New Roman" w:eastAsia="Times New Roman" w:hAnsi="Times New Roman"/>
            <w:sz w:val="17"/>
            <w:szCs w:val="17"/>
            <w:u w:val="single" w:color="auto"/>
            <w:color w:val="0000FF"/>
          </w:rPr>
          <w:t>Amended and Restated Certificate of Incorporation of LendingTree,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771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367" w:lineRule="exact"/>
        <w:rPr>
          <w:sz w:val="20"/>
          <w:szCs w:val="20"/>
          <w:color w:val="auto"/>
        </w:rPr>
      </w:pPr>
    </w:p>
    <w:p>
      <w:pPr>
        <w:ind w:left="74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58">
        <w:r>
          <w:rPr>
            <w:rFonts w:ascii="Times New Roman" w:cs="Times New Roman" w:eastAsia="Times New Roman" w:hAnsi="Times New Roman"/>
            <w:sz w:val="17"/>
            <w:szCs w:val="17"/>
            <w:u w:val="single" w:color="auto"/>
            <w:color w:val="0000FF"/>
          </w:rPr>
          <w:t>Fifth Amended and Restated By-laws of LendingTree, Inc.</w:t>
        </w:r>
      </w:hyperlink>
    </w:p>
    <w:p>
      <w:pPr>
        <w:spacing w:after="0" w:line="387" w:lineRule="exact"/>
        <w:rPr>
          <w:sz w:val="20"/>
          <w:szCs w:val="20"/>
          <w:color w:val="auto"/>
        </w:rPr>
      </w:pPr>
    </w:p>
    <w:p>
      <w:pPr>
        <w:jc w:val="both"/>
        <w:ind w:left="1160" w:hanging="512"/>
        <w:spacing w:after="0" w:line="226" w:lineRule="auto"/>
        <w:tabs>
          <w:tab w:leader="none" w:pos="11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pursuant to Rule 13a-14(a) or Rule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377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both"/>
        <w:ind w:left="1160" w:hanging="512"/>
        <w:spacing w:after="0" w:line="226" w:lineRule="auto"/>
        <w:tabs>
          <w:tab w:leader="none" w:pos="11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the Chief Financial Officer pursuant to Rule 13a-14(a) or Rule 15d-14(a) of the Securities Exchange Act of 1934 as adopted pursuant to Section 302 of the Sarbanes-Oxley Act of 2002.</w:t>
      </w:r>
    </w:p>
    <w:p>
      <w:pPr>
        <w:spacing w:after="0" w:line="9" w:lineRule="exact"/>
        <w:rPr>
          <w:sz w:val="20"/>
          <w:szCs w:val="20"/>
          <w:color w:val="auto"/>
        </w:rPr>
      </w:pPr>
    </w:p>
    <w:p>
      <w:pPr>
        <w:jc w:val="both"/>
        <w:ind w:left="1160" w:hanging="512"/>
        <w:spacing w:after="0" w:line="237" w:lineRule="auto"/>
        <w:tabs>
          <w:tab w:leader="none" w:pos="11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the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right="140"/>
        <w:spacing w:after="0" w:line="226" w:lineRule="auto"/>
        <w:rPr>
          <w:sz w:val="20"/>
          <w:szCs w:val="20"/>
          <w:color w:val="auto"/>
        </w:rPr>
      </w:pPr>
      <w:r>
        <w:rPr>
          <w:rFonts w:ascii="Times New Roman" w:cs="Times New Roman" w:eastAsia="Times New Roman" w:hAnsi="Times New Roman"/>
          <w:sz w:val="18"/>
          <w:szCs w:val="18"/>
          <w:color w:val="auto"/>
        </w:rPr>
        <w:t>Exhibit 3.1 to the Registrant's Current Report on Form 8-K filed August 25, 2008</w:t>
      </w:r>
    </w:p>
    <w:p>
      <w:pPr>
        <w:spacing w:after="0" w:line="9" w:lineRule="exact"/>
        <w:rPr>
          <w:sz w:val="20"/>
          <w:szCs w:val="20"/>
          <w:color w:val="auto"/>
        </w:rPr>
      </w:pPr>
    </w:p>
    <w:p>
      <w:pPr>
        <w:jc w:val="both"/>
        <w:ind w:right="140"/>
        <w:spacing w:after="0" w:line="226" w:lineRule="auto"/>
        <w:rPr>
          <w:sz w:val="20"/>
          <w:szCs w:val="20"/>
          <w:color w:val="auto"/>
        </w:rPr>
      </w:pPr>
      <w:r>
        <w:rPr>
          <w:rFonts w:ascii="Times New Roman" w:cs="Times New Roman" w:eastAsia="Times New Roman" w:hAnsi="Times New Roman"/>
          <w:sz w:val="18"/>
          <w:szCs w:val="18"/>
          <w:color w:val="auto"/>
        </w:rPr>
        <w:t>Exhibit 3.1 to the Registrant's Current Report on Form 8-K filed November 21,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2" w:lineRule="exact"/>
        <w:rPr>
          <w:sz w:val="20"/>
          <w:szCs w:val="20"/>
          <w:color w:val="auto"/>
        </w:rPr>
      </w:pPr>
    </w:p>
    <w:p>
      <w:pPr>
        <w:sectPr>
          <w:pgSz w:w="11900" w:h="16838" w:orient="portrait"/>
          <w:cols w:equalWidth="0" w:num="2">
            <w:col w:w="8220" w:space="140"/>
            <w:col w:w="28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110"/>
              <w:spacing w:after="0" w:line="204" w:lineRule="exact"/>
              <w:rPr>
                <w:sz w:val="20"/>
                <w:szCs w:val="20"/>
                <w:color w:val="auto"/>
              </w:rPr>
            </w:pPr>
            <w:r>
              <w:rPr>
                <w:rFonts w:ascii="Times New Roman" w:cs="Times New Roman" w:eastAsia="Times New Roman" w:hAnsi="Times New Roman"/>
                <w:sz w:val="18"/>
                <w:szCs w:val="18"/>
                <w:color w:val="auto"/>
              </w:rPr>
              <w:t>32.2</w:t>
            </w:r>
          </w:p>
        </w:tc>
        <w:tc>
          <w:tcPr>
            <w:tcW w:w="714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 Section 1350 as adopted</w:t>
            </w:r>
          </w:p>
        </w:tc>
        <w:tc>
          <w:tcPr>
            <w:tcW w:w="2940" w:type="dxa"/>
            <w:vAlign w:val="bottom"/>
          </w:tcPr>
          <w:p>
            <w:pPr>
              <w:ind w:left="60"/>
              <w:spacing w:after="0" w:line="204" w:lineRule="exact"/>
              <w:rPr>
                <w:sz w:val="20"/>
                <w:szCs w:val="20"/>
                <w:color w:val="auto"/>
              </w:rPr>
            </w:pPr>
            <w:r>
              <w:rPr>
                <w:rFonts w:ascii="Times New Roman" w:cs="Times New Roman" w:eastAsia="Times New Roman" w:hAnsi="Times New Roman"/>
                <w:sz w:val="18"/>
                <w:szCs w:val="18"/>
                <w:color w:val="auto"/>
              </w:rPr>
              <w:t>††</w:t>
            </w:r>
          </w:p>
        </w:tc>
      </w:tr>
      <w:tr>
        <w:trPr>
          <w:trHeight w:val="156"/>
        </w:trPr>
        <w:tc>
          <w:tcPr>
            <w:tcW w:w="1160" w:type="dxa"/>
            <w:vAlign w:val="bottom"/>
          </w:tcPr>
          <w:p>
            <w:pPr>
              <w:spacing w:after="0"/>
              <w:rPr>
                <w:sz w:val="13"/>
                <w:szCs w:val="13"/>
                <w:color w:val="auto"/>
              </w:rPr>
            </w:pPr>
          </w:p>
        </w:tc>
        <w:tc>
          <w:tcPr>
            <w:tcW w:w="706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8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4"/>
        </w:trPr>
        <w:tc>
          <w:tcPr>
            <w:tcW w:w="1160" w:type="dxa"/>
            <w:vAlign w:val="bottom"/>
          </w:tcPr>
          <w:p>
            <w:pPr>
              <w:spacing w:after="0"/>
              <w:rPr>
                <w:sz w:val="2"/>
                <w:szCs w:val="2"/>
                <w:color w:val="auto"/>
              </w:rPr>
            </w:pPr>
          </w:p>
        </w:tc>
        <w:tc>
          <w:tcPr>
            <w:tcW w:w="4300" w:type="dxa"/>
            <w:vAlign w:val="bottom"/>
            <w:tcBorders>
              <w:top w:val="single" w:sz="8" w:color="0000FF"/>
            </w:tcBorders>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75"/>
        </w:trPr>
        <w:tc>
          <w:tcPr>
            <w:tcW w:w="116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7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Inline XBRL Instance Document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instance document does not appear in the Interactive</w:t>
            </w:r>
          </w:p>
        </w:tc>
        <w:tc>
          <w:tcPr>
            <w:tcW w:w="29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43"/>
        </w:trPr>
        <w:tc>
          <w:tcPr>
            <w:tcW w:w="1160" w:type="dxa"/>
            <w:vAlign w:val="bottom"/>
            <w:shd w:val="clear" w:color="auto" w:fill="CCEEFF"/>
          </w:tcPr>
          <w:p>
            <w:pPr>
              <w:spacing w:after="0"/>
              <w:rPr>
                <w:sz w:val="21"/>
                <w:szCs w:val="21"/>
                <w:color w:val="auto"/>
              </w:rPr>
            </w:pPr>
          </w:p>
        </w:tc>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2940" w:type="dxa"/>
            <w:vAlign w:val="bottom"/>
            <w:shd w:val="clear" w:color="auto" w:fill="CCEEFF"/>
          </w:tcPr>
          <w:p>
            <w:pPr>
              <w:spacing w:after="0"/>
              <w:rPr>
                <w:sz w:val="21"/>
                <w:szCs w:val="21"/>
                <w:color w:val="auto"/>
              </w:rPr>
            </w:pPr>
          </w:p>
        </w:tc>
      </w:tr>
      <w:tr>
        <w:trPr>
          <w:trHeight w:val="229"/>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101.SCH</w:t>
            </w: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101.CAL</w:t>
            </w:r>
          </w:p>
        </w:tc>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101.DEF</w:t>
            </w: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101.LAB</w:t>
            </w:r>
          </w:p>
        </w:tc>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101.PRE</w:t>
            </w: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66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1160" w:hanging="414"/>
        <w:spacing w:after="0" w:line="21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contained in  †††</w:t>
      </w: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w:t>
      </w:r>
    </w:p>
    <w:p>
      <w:pPr>
        <w:spacing w:after="0" w:line="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44" w:lineRule="exact"/>
        <w:rPr>
          <w:sz w:val="20"/>
          <w:szCs w:val="20"/>
          <w:color w:val="auto"/>
        </w:rPr>
      </w:pPr>
    </w:p>
    <w:p>
      <w:pPr>
        <w:jc w:val="both"/>
        <w:ind w:firstLine="8"/>
        <w:spacing w:after="0" w:line="266" w:lineRule="auto"/>
        <w:tabs>
          <w:tab w:leader="none" w:pos="2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108" w:lineRule="exact"/>
        <w:rPr>
          <w:sz w:val="20"/>
          <w:szCs w:val="20"/>
          <w:color w:val="auto"/>
        </w:rPr>
      </w:pPr>
    </w:p>
    <w:p>
      <w:pPr>
        <w:jc w:val="both"/>
        <w:ind w:firstLine="8"/>
        <w:spacing w:after="0" w:line="266" w:lineRule="auto"/>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Exchange Act, and otherwise are not subject to liability under those sections.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36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LENDINGTREE, INC.</w:t>
      </w:r>
    </w:p>
    <w:p>
      <w:pPr>
        <w:spacing w:after="0" w:line="248" w:lineRule="exact"/>
        <w:rPr>
          <w:sz w:val="20"/>
          <w:szCs w:val="20"/>
          <w:color w:val="auto"/>
        </w:rPr>
      </w:pPr>
    </w:p>
    <w:p>
      <w:pPr>
        <w:ind w:left="462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19685</wp:posOffset>
            </wp:positionV>
            <wp:extent cx="37630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Jason Bengel</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Peyree, certify that:</w:t>
      </w:r>
    </w:p>
    <w:p>
      <w:pPr>
        <w:spacing w:after="0" w:line="10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LendingTree,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14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/s/ SCOTT PEYREE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19685</wp:posOffset>
            </wp:positionV>
            <wp:extent cx="3865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Scott Peyree</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Bengel, certify that:</w:t>
      </w:r>
    </w:p>
    <w:p>
      <w:pPr>
        <w:spacing w:after="0" w:line="10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2026 of LendingTree,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14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19685</wp:posOffset>
            </wp:positionV>
            <wp:extent cx="38658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Jason Bengel</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Peyree, certify, pursuant to 18 U.S.C. Section 1350, as adopted pursuant to Section 906 of the Sarbanes-Oxley Act of 2002, that to my knowledge:</w:t>
      </w:r>
    </w:p>
    <w:p>
      <w:pPr>
        <w:spacing w:after="0" w:line="104" w:lineRule="exact"/>
        <w:rPr>
          <w:sz w:val="20"/>
          <w:szCs w:val="20"/>
          <w:color w:val="auto"/>
        </w:rPr>
      </w:pPr>
    </w:p>
    <w:p>
      <w:pPr>
        <w:ind w:left="340" w:right="80" w:hanging="332"/>
        <w:spacing w:after="0" w:line="282"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March 31, 2026 of LendingTree, Inc. (the “Report”) which this statement accompanies fully complies with the requirements of Section 13(a) or 15(d) of the Securities Exchange Act of 1934 (15 U.S.C. 78m or 78o(d)); and</w:t>
      </w:r>
    </w:p>
    <w:p>
      <w:pPr>
        <w:spacing w:after="0" w:line="40" w:lineRule="exact"/>
        <w:rPr>
          <w:rFonts w:ascii="Times New Roman" w:cs="Times New Roman" w:eastAsia="Times New Roman" w:hAnsi="Times New Roman"/>
          <w:sz w:val="18"/>
          <w:szCs w:val="18"/>
          <w:color w:val="auto"/>
        </w:rPr>
      </w:pPr>
    </w:p>
    <w:p>
      <w:pPr>
        <w:ind w:right="240" w:firstLine="8"/>
        <w:spacing w:after="0" w:line="373" w:lineRule="auto"/>
        <w:tabs>
          <w:tab w:leader="none" w:pos="3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May 1, 2026</w:t>
      </w:r>
    </w:p>
    <w:p>
      <w:pPr>
        <w:spacing w:after="0" w:line="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/s/ SCOTT PEYREE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19685</wp:posOffset>
            </wp:positionV>
            <wp:extent cx="3865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Scott Peyree</w:t>
      </w:r>
    </w:p>
    <w:p>
      <w:pPr>
        <w:spacing w:after="0" w:line="27"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7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Bengel, certify, pursuant to 18 U.S.C. Section 1350, as adopted pursuant to Section 906 of the Sarbanes-Oxley Act of 2002, that to my knowledge:</w:t>
      </w:r>
    </w:p>
    <w:p>
      <w:pPr>
        <w:spacing w:after="0" w:line="104" w:lineRule="exact"/>
        <w:rPr>
          <w:sz w:val="20"/>
          <w:szCs w:val="20"/>
          <w:color w:val="auto"/>
        </w:rPr>
      </w:pPr>
    </w:p>
    <w:p>
      <w:pPr>
        <w:ind w:left="340" w:right="80" w:hanging="332"/>
        <w:spacing w:after="0" w:line="282"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quarter ended March 31, 2026 of LendingTree, Inc. (the “Report”) which this statement accompanies fully complies with the requirements of Section 13(a) or 15(d) of the Securities Exchange Act of 1934 (15 U.S.C. 78m or 78o(d)); and</w:t>
      </w:r>
    </w:p>
    <w:p>
      <w:pPr>
        <w:spacing w:after="0" w:line="40" w:lineRule="exact"/>
        <w:rPr>
          <w:rFonts w:ascii="Times New Roman" w:cs="Times New Roman" w:eastAsia="Times New Roman" w:hAnsi="Times New Roman"/>
          <w:sz w:val="18"/>
          <w:szCs w:val="18"/>
          <w:color w:val="auto"/>
        </w:rPr>
      </w:pPr>
    </w:p>
    <w:p>
      <w:pPr>
        <w:ind w:right="240" w:firstLine="8"/>
        <w:spacing w:after="0" w:line="373" w:lineRule="auto"/>
        <w:tabs>
          <w:tab w:leader="none" w:pos="3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May 1, 2026</w:t>
      </w:r>
    </w:p>
    <w:p>
      <w:pPr>
        <w:spacing w:after="0" w:line="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/s/ JASON BENGEL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19685</wp:posOffset>
            </wp:positionV>
            <wp:extent cx="38658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Jason Bengel</w:t>
      </w:r>
    </w:p>
    <w:p>
      <w:pPr>
        <w:spacing w:after="0" w:line="27"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56" Type="http://schemas.openxmlformats.org/officeDocument/2006/relationships/hyperlink" Target="https://www.sec.gov/Archives/edgar/data/1434621/000110465908054882/a08-22125_1ex3d1.htm" TargetMode="External"/><Relationship Id="rId58" Type="http://schemas.openxmlformats.org/officeDocument/2006/relationships/hyperlink" Target="https://www.sec.gov/Archives/edgar/data/1434621/000168316825008622/lending_ex03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2026-05-01T15:29:03Z</dcterms:created>
  <dcterms:modified xsi:type="dcterms:W3CDTF">2026-05-01T15:29:03Z</dcterms:modified>
</cp:coreProperties>
</file>