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348615</wp:posOffset>
            </wp:positionV>
            <wp:extent cx="71329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5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3" w:lineRule="exact"/>
        <w:rPr>
          <w:sz w:val="24"/>
          <w:szCs w:val="24"/>
          <w:color w:val="auto"/>
        </w:rPr>
      </w:pPr>
    </w:p>
    <w:p>
      <w:pPr>
        <w:jc w:val="center"/>
        <w:ind w:left="3880" w:right="1360" w:hanging="3086"/>
        <w:spacing w:after="0" w:line="352" w:lineRule="auto"/>
        <w:tabs>
          <w:tab w:leader="none" w:pos="11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tbl>
      <w:tblPr>
        <w:tblLayout w:type="fixed"/>
        <w:tblInd w:w="520" w:type="dxa"/>
        <w:tblCellMar>
          <w:top w:w="0" w:type="dxa"/>
          <w:left w:w="0" w:type="dxa"/>
          <w:bottom w:w="0" w:type="dxa"/>
          <w:right w:w="0" w:type="dxa"/>
        </w:tblCellMar>
      </w:tblPr>
      <w:tr>
        <w:trPr>
          <w:trHeight w:val="302"/>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w:t>
            </w:r>
          </w:p>
        </w:tc>
        <w:tc>
          <w:tcPr>
            <w:tcW w:w="958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tc>
        <w:tc>
          <w:tcPr>
            <w:tcW w:w="0" w:type="dxa"/>
            <w:vAlign w:val="bottom"/>
          </w:tcPr>
          <w:p>
            <w:pPr>
              <w:spacing w:after="0"/>
              <w:rPr>
                <w:sz w:val="1"/>
                <w:szCs w:val="1"/>
                <w:color w:val="auto"/>
              </w:rPr>
            </w:pPr>
          </w:p>
        </w:tc>
      </w:tr>
      <w:tr>
        <w:trPr>
          <w:trHeight w:val="67"/>
        </w:trPr>
        <w:tc>
          <w:tcPr>
            <w:tcW w:w="300" w:type="dxa"/>
            <w:vAlign w:val="bottom"/>
            <w:vMerge w:val="continue"/>
          </w:tcPr>
          <w:p>
            <w:pPr>
              <w:spacing w:after="0"/>
              <w:rPr>
                <w:sz w:val="5"/>
                <w:szCs w:val="5"/>
                <w:color w:val="auto"/>
              </w:rPr>
            </w:pPr>
          </w:p>
        </w:tc>
        <w:tc>
          <w:tcPr>
            <w:tcW w:w="5840" w:type="dxa"/>
            <w:vAlign w:val="bottom"/>
            <w:vMerge w:val="restart"/>
          </w:tcPr>
          <w:p>
            <w:pPr>
              <w:ind w:left="31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3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to</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001-34063</w:t>
      </w:r>
    </w:p>
    <w:p>
      <w:pPr>
        <w:spacing w:after="0" w:line="18"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-1905</wp:posOffset>
            </wp:positionV>
            <wp:extent cx="1134745" cy="409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4745"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LendingTree,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222" w:right="339" w:bottom="1440" w:gutter="0" w:footer="0" w:header="0"/>
        </w:sectPr>
      </w:pP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26-2414818</w:t>
      </w:r>
    </w:p>
    <w:p>
      <w:pPr>
        <w:spacing w:after="0" w:line="28" w:lineRule="exact"/>
        <w:rPr>
          <w:sz w:val="24"/>
          <w:szCs w:val="24"/>
          <w:color w:val="auto"/>
        </w:rPr>
      </w:pPr>
    </w:p>
    <w:p>
      <w:pPr>
        <w:sectPr>
          <w:pgSz w:w="11900" w:h="16838" w:orient="portrait"/>
          <w:cols w:equalWidth="0" w:num="2">
            <w:col w:w="7000" w:space="720"/>
            <w:col w:w="3520"/>
          </w:cols>
          <w:pgMar w:left="320" w:top="222"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222" w:right="339" w:bottom="1440" w:gutter="0" w:footer="0" w:header="0"/>
          <w:type w:val="continuous"/>
        </w:sectPr>
      </w:pP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1415 Vantage Park Dr., Suite 700, Charlotte, North Carolina 28203</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offices)(Zip Code)</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07"/>
        </w:trPr>
        <w:tc>
          <w:tcPr>
            <w:tcW w:w="2220" w:type="dxa"/>
            <w:vAlign w:val="bottom"/>
          </w:tcPr>
          <w:p>
            <w:pPr>
              <w:spacing w:after="0"/>
              <w:rPr>
                <w:sz w:val="18"/>
                <w:szCs w:val="18"/>
                <w:color w:val="auto"/>
              </w:rPr>
            </w:pPr>
          </w:p>
        </w:tc>
        <w:tc>
          <w:tcPr>
            <w:tcW w:w="280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326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5020" w:type="dxa"/>
            <w:vAlign w:val="bottom"/>
            <w:gridSpan w:val="3"/>
          </w:tcPr>
          <w:p>
            <w:pPr>
              <w:jc w:val="center"/>
              <w:ind w:left="49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9"/>
              </w:rPr>
              <w:t>TREE</w:t>
            </w:r>
          </w:p>
        </w:tc>
        <w:tc>
          <w:tcPr>
            <w:tcW w:w="4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left="160" w:right="230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161"/>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firstLine="161"/>
        <w:spacing w:after="0" w:line="25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ectPr>
          <w:pgSz w:w="11900" w:h="16838" w:orient="portrait"/>
          <w:cols w:equalWidth="0" w:num="1">
            <w:col w:w="11240"/>
          </w:cols>
          <w:pgMar w:left="320" w:top="222" w:right="339" w:bottom="1440" w:gutter="0" w:footer="0" w:header="0"/>
          <w:type w:val="continuous"/>
        </w:sectPr>
      </w:pPr>
    </w:p>
    <w:p>
      <w:pPr>
        <w:spacing w:after="0" w:line="35"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72" w:lineRule="exact"/>
        <w:rPr>
          <w:sz w:val="24"/>
          <w:szCs w:val="24"/>
          <w:color w:val="auto"/>
        </w:rPr>
      </w:pPr>
    </w:p>
    <w:p>
      <w:pPr>
        <w:sectPr>
          <w:pgSz w:w="11900" w:h="16838" w:orient="portrait"/>
          <w:cols w:equalWidth="0" w:num="5">
            <w:col w:w="2020" w:space="520"/>
            <w:col w:w="1260" w:space="580"/>
            <w:col w:w="1560" w:space="620"/>
            <w:col w:w="1940" w:space="640"/>
            <w:col w:w="2100"/>
          </w:cols>
          <w:pgMar w:left="320" w:top="222" w:right="339" w:bottom="1440" w:gutter="0" w:footer="0" w:header="0"/>
          <w:type w:val="continuous"/>
        </w:sectPr>
      </w:pPr>
    </w:p>
    <w:p>
      <w:pPr>
        <w:jc w:val="both"/>
        <w:ind w:firstLine="161"/>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0"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jc w:val="both"/>
        <w:ind w:right="20" w:firstLine="161"/>
        <w:spacing w:after="0" w:line="19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ind w:firstLine="161"/>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160"/>
        <w:spacing w:after="0" w:line="184" w:lineRule="exact"/>
        <w:tabs>
          <w:tab w:leader="none" w:pos="74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 w:lineRule="exact"/>
        <w:rPr>
          <w:sz w:val="24"/>
          <w:szCs w:val="24"/>
          <w:color w:val="auto"/>
        </w:rPr>
      </w:pPr>
    </w:p>
    <w:p>
      <w:pPr>
        <w:jc w:val="both"/>
        <w:ind w:firstLine="161"/>
        <w:spacing w:after="0" w:line="251" w:lineRule="auto"/>
        <w:rPr>
          <w:sz w:val="20"/>
          <w:szCs w:val="20"/>
          <w:color w:val="auto"/>
        </w:rPr>
      </w:pPr>
      <w:r>
        <w:rPr>
          <w:rFonts w:ascii="Times New Roman" w:cs="Times New Roman" w:eastAsia="Times New Roman" w:hAnsi="Times New Roman"/>
          <w:sz w:val="16"/>
          <w:szCs w:val="16"/>
          <w:color w:val="auto"/>
        </w:rPr>
        <w:t>As of June 30, 2024, the aggregate market value of the voting common stock held by non-affiliates of the Registrant was approximately $457 million. For the purposes of the foregoing calculation only, all directors and executive officers of the Registrant and a single stockholder who owned in excess of 20% of the voting common stock are assumed to be affiliates of the Registrant.</w:t>
      </w:r>
    </w:p>
    <w:p>
      <w:pPr>
        <w:spacing w:after="0" w:line="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As of February 28, 2025, there were 13,393,620 shares of the Registrant's common stock, par value $.01 per share, outstanding.</w:t>
      </w:r>
    </w:p>
    <w:p>
      <w:pPr>
        <w:spacing w:after="0" w:line="6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6"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Portions of the Registrant's proxy statement for its 2025 Annual Meeting of Stockholders are incorporated by reference into Part III herein. Such proxy statement will be filed with the U.S.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391160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62230</wp:posOffset>
            </wp:positionV>
            <wp:extent cx="70935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3585" cy="1714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36830</wp:posOffset>
            </wp:positionV>
            <wp:extent cx="7093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1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880" w:type="dxa"/>
            <w:vAlign w:val="bottom"/>
            <w:gridSpan w:val="13"/>
            <w:vMerge w:val="restart"/>
          </w:tcPr>
          <w:p>
            <w:pPr>
              <w:jc w:val="center"/>
              <w:ind w:right="430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880" w:type="dxa"/>
            <w:vAlign w:val="bottom"/>
            <w:gridSpan w:val="13"/>
            <w:vMerge w:val="continue"/>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Business</w:t>
            </w:r>
          </w:p>
        </w:tc>
        <w:tc>
          <w:tcPr>
            <w:tcW w:w="580" w:type="dxa"/>
            <w:vAlign w:val="bottom"/>
            <w:tcBorders>
              <w:top w:val="single" w:sz="8" w:color="0000FF"/>
            </w:tcBorders>
            <w:gridSpan w:val="3"/>
          </w:tcPr>
          <w:p>
            <w:pPr>
              <w:spacing w:after="0"/>
              <w:rPr>
                <w:sz w:val="18"/>
                <w:szCs w:val="18"/>
                <w:color w:val="auto"/>
              </w:rPr>
            </w:pPr>
          </w:p>
        </w:tc>
        <w:tc>
          <w:tcPr>
            <w:tcW w:w="430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8060" w:type="dxa"/>
            <w:vAlign w:val="bottom"/>
            <w:gridSpan w:val="28"/>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1B.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Unresolved Staff Comments</w:t>
            </w:r>
          </w:p>
        </w:tc>
        <w:tc>
          <w:tcPr>
            <w:tcW w:w="6880" w:type="dxa"/>
            <w:vAlign w:val="bottom"/>
            <w:gridSpan w:val="2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Cybersecurity</w:t>
            </w:r>
          </w:p>
        </w:tc>
        <w:tc>
          <w:tcPr>
            <w:tcW w:w="7940" w:type="dxa"/>
            <w:vAlign w:val="bottom"/>
            <w:gridSpan w:val="27"/>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Properties</w:t>
            </w:r>
          </w:p>
        </w:tc>
        <w:tc>
          <w:tcPr>
            <w:tcW w:w="8240" w:type="dxa"/>
            <w:vAlign w:val="bottom"/>
            <w:gridSpan w:val="30"/>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4"/>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5.</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6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b w:val="1"/>
                <w:bCs w:val="1"/>
                <w:color w:val="0000FF"/>
                <w:w w:val="99"/>
              </w:rPr>
              <w:t>Market for Registrant's Common Equity, Related Stockholder Matters and Issuer Purchases of Equity Securities</w:t>
            </w:r>
          </w:p>
        </w:tc>
        <w:tc>
          <w:tcPr>
            <w:tcW w:w="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[Reserved]</w:t>
            </w:r>
          </w:p>
        </w:tc>
        <w:tc>
          <w:tcPr>
            <w:tcW w:w="8200" w:type="dxa"/>
            <w:vAlign w:val="bottom"/>
            <w:gridSpan w:val="29"/>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7.</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7A.</w:t>
            </w:r>
          </w:p>
        </w:tc>
        <w:tc>
          <w:tcPr>
            <w:tcW w:w="220" w:type="dxa"/>
            <w:vAlign w:val="bottom"/>
          </w:tcPr>
          <w:p>
            <w:pPr>
              <w:spacing w:after="0"/>
              <w:rPr>
                <w:sz w:val="18"/>
                <w:szCs w:val="18"/>
                <w:color w:val="auto"/>
              </w:rPr>
            </w:pPr>
          </w:p>
        </w:tc>
        <w:tc>
          <w:tcPr>
            <w:tcW w:w="4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442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8.</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 and Supplementary Data</w:t>
            </w:r>
          </w:p>
        </w:tc>
        <w:tc>
          <w:tcPr>
            <w:tcW w:w="5460" w:type="dxa"/>
            <w:vAlign w:val="bottom"/>
            <w:gridSpan w:val="17"/>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9.</w:t>
            </w:r>
          </w:p>
        </w:tc>
        <w:tc>
          <w:tcPr>
            <w:tcW w:w="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8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b w:val="1"/>
                <w:bCs w:val="1"/>
                <w:color w:val="0000FF"/>
                <w:w w:val="99"/>
              </w:rPr>
              <w:t>Changes in and Disagreements With Accountants on Accounting and Financial Disclosure</w:t>
            </w:r>
          </w:p>
        </w:tc>
        <w:tc>
          <w:tcPr>
            <w:tcW w:w="2160" w:type="dxa"/>
            <w:vAlign w:val="bottom"/>
            <w:gridSpan w:val="3"/>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9A.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Controls and Procedures</w:t>
            </w:r>
          </w:p>
        </w:tc>
        <w:tc>
          <w:tcPr>
            <w:tcW w:w="712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87"/>
              </w:rPr>
              <w:t>Item 9B.</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9C.</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Borders>
              <w:top w:val="single" w:sz="8" w:color="0000FF"/>
            </w:tcBorders>
          </w:tcPr>
          <w:p>
            <w:pPr>
              <w:spacing w:after="0"/>
              <w:rPr>
                <w:sz w:val="24"/>
                <w:szCs w:val="24"/>
                <w:color w:val="auto"/>
              </w:rPr>
            </w:pPr>
          </w:p>
        </w:tc>
        <w:tc>
          <w:tcPr>
            <w:tcW w:w="38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10.</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Directors, Executive Officers and Corporate Governance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Item 11.</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468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12.</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 Related Stockholder Matters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13.</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 Independence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14.</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Principal Accounting Fees and Services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4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40" w:type="dxa"/>
            <w:vAlign w:val="bottom"/>
            <w:gridSpan w:val="16"/>
          </w:tcPr>
          <w:p>
            <w:pPr>
              <w:jc w:val="center"/>
              <w:ind w:right="422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15.</w:t>
            </w:r>
          </w:p>
        </w:tc>
        <w:tc>
          <w:tcPr>
            <w:tcW w:w="4340" w:type="dxa"/>
            <w:vAlign w:val="bottom"/>
            <w:gridSpan w:val="18"/>
          </w:tcPr>
          <w:p>
            <w:pPr>
              <w:ind w:left="220"/>
              <w:spacing w:after="0"/>
              <w:rPr>
                <w:sz w:val="20"/>
                <w:szCs w:val="20"/>
                <w:color w:val="auto"/>
              </w:rPr>
            </w:pPr>
            <w:r>
              <w:rPr>
                <w:rFonts w:ascii="Times New Roman" w:cs="Times New Roman" w:eastAsia="Times New Roman" w:hAnsi="Times New Roman"/>
                <w:sz w:val="18"/>
                <w:szCs w:val="18"/>
                <w:b w:val="1"/>
                <w:bCs w:val="1"/>
                <w:color w:val="0000FF"/>
              </w:rPr>
              <w:t>Exhibits and Financial Statement Schedules</w:t>
            </w:r>
          </w:p>
        </w:tc>
        <w:tc>
          <w:tcPr>
            <w:tcW w:w="700" w:type="dxa"/>
            <w:vAlign w:val="bottom"/>
            <w:tcBorders>
              <w:top w:val="single" w:sz="8" w:color="0000FF"/>
            </w:tcBorders>
            <w:gridSpan w:val="7"/>
          </w:tcPr>
          <w:p>
            <w:pPr>
              <w:spacing w:after="0"/>
              <w:rPr>
                <w:sz w:val="18"/>
                <w:szCs w:val="18"/>
                <w:color w:val="auto"/>
              </w:rPr>
            </w:pPr>
          </w:p>
        </w:tc>
        <w:tc>
          <w:tcPr>
            <w:tcW w:w="422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568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16.</w:t>
            </w:r>
          </w:p>
        </w:tc>
        <w:tc>
          <w:tcPr>
            <w:tcW w:w="9260" w:type="dxa"/>
            <w:vAlign w:val="bottom"/>
            <w:gridSpan w:val="33"/>
          </w:tcPr>
          <w:p>
            <w:pPr>
              <w:ind w:left="220"/>
              <w:spacing w:after="0"/>
              <w:rPr>
                <w:sz w:val="20"/>
                <w:szCs w:val="20"/>
                <w:color w:val="auto"/>
              </w:rPr>
            </w:pPr>
            <w:r>
              <w:rPr>
                <w:rFonts w:ascii="Times New Roman" w:cs="Times New Roman" w:eastAsia="Times New Roman" w:hAnsi="Times New Roman"/>
                <w:sz w:val="18"/>
                <w:szCs w:val="18"/>
                <w:b w:val="1"/>
                <w:bCs w:val="1"/>
                <w:color w:val="0000FF"/>
              </w:rPr>
              <w:t>Form 10-K Summary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9"/>
        </w:trPr>
        <w:tc>
          <w:tcPr>
            <w:tcW w:w="4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2024 (the “Annual Report”) contains “forward-looking statements” within the meaning of the Securities Act of 1933, as amended (the "Securities Act"), and the Securities Exchange Act of 1934, as amended (the "Exchange Act").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“believes” and "forecasts" among others, generally identify forward-looking statements.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Annual Report may not prove to be accurate. Accordingly, you should not place undue reliance on these forward-looking statements, which only reflect the views of LendingTree, Inc.'s management as of the date of this Annual Report. We undertake no obligation to update or revise forward-looking statements to reflect changed assumptions, the occurrence of unanticipated events or changes to future operating results or expectations, except as required by law.</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jc w:val="both"/>
        <w:ind w:firstLine="323"/>
        <w:spacing w:after="0" w:line="260"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and our other filings with the SEC, before making an investment decision regarding our common stock.</w:t>
      </w:r>
    </w:p>
    <w:p>
      <w:pPr>
        <w:spacing w:after="0" w:line="126" w:lineRule="exact"/>
        <w:rPr>
          <w:sz w:val="20"/>
          <w:szCs w:val="20"/>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primary and secondary mortgage markets, as well as the general economy, have had and could continue to have a material adverse effect on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financial strength of our Network Partners and our relationships with them. Any adverse changes in these relationships could adversely affect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in relationships with our Network Partners, or failure to meet certain metrics required by Network Partners, could adversely affect our business.</w:t>
      </w:r>
    </w:p>
    <w:p>
      <w:pPr>
        <w:spacing w:after="0" w:line="108" w:lineRule="exact"/>
        <w:rPr>
          <w:rFonts w:ascii="Times New Roman" w:cs="Times New Roman" w:eastAsia="Times New Roman" w:hAnsi="Times New Roman"/>
          <w:sz w:val="18"/>
          <w:szCs w:val="18"/>
          <w:color w:val="auto"/>
        </w:rPr>
      </w:pPr>
    </w:p>
    <w:p>
      <w:pPr>
        <w:jc w:val="both"/>
        <w:ind w:left="660" w:right="2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reputation and brand recognition and to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spacing w:after="0" w:line="12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12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technology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loan markets could harm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business, QuoteWizard, is significant to our revenue, and operational issues in this business could have a material impact on our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small business loans are a significant product within our Consumer segment and there are risks specific to this product that could have a material impact on our results of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credit card industry, as well as the impact of the general economy on the ability of users to qualify for credit cards, could harm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continually enhance our products and services and adapt them to technological changes and consumer and Network Partner needs, we may lose market share and revenue and our business could suffer.</w:t>
      </w:r>
    </w:p>
    <w:p>
      <w:pPr>
        <w:spacing w:after="0" w:line="10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consumers do not find value in our Spring platform or other platforms or do not like the consumer experience on the platforms, the number of matches on our platform may decline, which would harm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people through the changes caused by economic challenges, our business and results of operations could be harmed.</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highly skilled personnel and if we are unable to attract, retain, develop and motivate well-qualified employees, our business and results of operations could be harmed.</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revenue is derived from two Network Partners and our results of operations could be adversely affected if we lose significant business from either of these Network Partners.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123"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123"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past, existing or new laws, rules and regulations, or to obtain and maintain required licenses, could materially and adversely affect our business, financial condition and results of operations.</w:t>
      </w:r>
    </w:p>
    <w:p>
      <w:pPr>
        <w:spacing w:after="0" w:line="108"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123"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10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adverse outcomes resulting from examination of our income or other tax returns could adversely affect our operating results and financial condition.</w:t>
      </w:r>
    </w:p>
    <w:p>
      <w:pPr>
        <w:spacing w:after="0" w:line="10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1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intellectual property disputes, which are costly and may subject us to significant liability and increased costs of doing business.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business, we are party to litigation involving contract, intellectual property and a variety of other claims,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quarter to quarter earnings and other factors may result in significant decreases in the price of our common stock.</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holder of our common stock owns a substantial portion of our outstanding common stock, which concentrates voting control and limits your ability to influence corporate matters.</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fluctuate as a result of seasonality, which may make it difficult to predict our future performance and may adversely affect our common stock price.</w:t>
      </w:r>
    </w:p>
    <w:p>
      <w:pPr>
        <w:spacing w:after="0" w:line="108"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 of our outstanding convertible senior notes, if triggered, may adversely affect our financial condition and operating results.</w:t>
      </w:r>
    </w:p>
    <w:p>
      <w:pPr>
        <w:spacing w:after="0" w:line="94" w:lineRule="exact"/>
        <w:rPr>
          <w:rFonts w:ascii="Times New Roman" w:cs="Times New Roman" w:eastAsia="Times New Roman" w:hAnsi="Times New Roman"/>
          <w:sz w:val="18"/>
          <w:szCs w:val="18"/>
          <w:color w:val="auto"/>
        </w:rPr>
      </w:pPr>
    </w:p>
    <w:p>
      <w:pPr>
        <w:ind w:left="660" w:hanging="330"/>
        <w:spacing w:after="0" w:line="26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pay off the Notes with our current cash and future cash flow, combined with our borrowing capacity under our current Credit Facility and 2024 Term Loan, or raise the funds necessary to pay off the Notes upon their maturity in July 2025.</w:t>
      </w:r>
    </w:p>
    <w:p>
      <w:pPr>
        <w:spacing w:after="0" w:line="20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hedge and warrant transactions may affect the value of the Notes and our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1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approximately 430 partners (which we refer to as “Network Partners”) in one simple search, and choose the option that best fits their financial needs. Services include mortgage loans, mortgage refinances, home equity loans and lines of credit, auto loans, credit cards, deposit accounts, personal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spacing w:after="0" w:line="84"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business we charge other kinds of fees, such as closed loan or closed sale fees. In addition to our primary consumer request data referral business, we also match consumers with Network Partners by offering consumers the ability to click from our website to a Network Partner’s website or by calls for which Network Partners pay either front-end or back-end fees.</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Evolution and Future Growth of Our Business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Since 2012,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introduced our Spring platform, which provides a relationship-based consumer experience, rather than just a transaction-based experience. Our Spring platform offers a personalized comparison-shopping experience, financial health advice and credit simulations by providing free access to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have at a given point in time. Customers can track the progress of their financial health over time based on actions they have taken, and see recommended credit score improvement actions, loans or other products offered by LendingTree.</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By expanding our portfolio of financial services offerings, we have grown and diversified our business and sources of revenue. We intend to capitalize on our expertise in performance marketing, product development and technology by leveraging the widespread recognition of the LendingTree brand and our expanded portfolio of product offerings.</w:t>
      </w:r>
    </w:p>
    <w:p>
      <w:pPr>
        <w:spacing w:after="0" w:line="6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financial services consumers will continue to move towards online shopping and transactions in response to which suppliers will increasingly shift their product offerings and advertising budgets toward the online channel. We believe the strength of our brands and of our Network Partners places us in a strong position to continue to benefit from this market shift.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inflationary pressures and interest rates, and any resulting impacts on our financial position and results of operations.</w:t>
      </w:r>
    </w:p>
    <w:p>
      <w:pPr>
        <w:spacing w:after="0" w:line="55"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During 2022, the challenging interest rate environment and persistent inflationary pressures presented challenges for many of our mortgage, consumer and insurance partners. We saw the most significant impact in our Home segment as mortgage rates nearly doubled in 2022, causing a sharp decline in refinance volumes and pressure on purchase activity. Although our Insurance segment rebounded from the trough in the fourth quarter of 2021, the recovery was slower than expected as demand from our carrier partners remained volatile as they continued to attempt to implement premium increases to offset the effect of inflation on claims. In addition, the auto and home insurance industry was impacted in 2022 by persistent industry headwinds, supply chain issues, rising accident severity and frequency, and hurricane losses.</w:t>
      </w:r>
    </w:p>
    <w:p>
      <w:pPr>
        <w:spacing w:after="0" w:line="78"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2023, the challenging interest rate environment and inflationary pressures continued to present challenges for many of our mortgage, consumer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Our Consumer segment was also negatively impacted by economic conditions, with successive Federal Reserve rate increases having their intended effect of tightening financial conditions. The availability of credit contracted and lenders were less inclined to make loans in an environment with high inflation and significantly increased cost of capital. In our Insurance segment, demand from our carrier partners remained volatile for much of the year as they continued to deal with persistent industry headwinds. In the last months of 2023, we began to see advertising budgets from our carrier partners increase.</w:t>
      </w:r>
    </w:p>
    <w:p>
      <w:pPr>
        <w:spacing w:after="0" w:line="82" w:lineRule="exact"/>
        <w:rPr>
          <w:sz w:val="20"/>
          <w:szCs w:val="20"/>
          <w:color w:val="auto"/>
        </w:rPr>
      </w:pPr>
    </w:p>
    <w:p>
      <w:pPr>
        <w:jc w:val="both"/>
        <w:ind w:firstLine="323"/>
        <w:spacing w:after="0" w:line="272" w:lineRule="auto"/>
        <w:rPr>
          <w:sz w:val="20"/>
          <w:szCs w:val="20"/>
          <w:color w:val="auto"/>
        </w:rPr>
      </w:pPr>
      <w:r>
        <w:rPr>
          <w:rFonts w:ascii="Times New Roman" w:cs="Times New Roman" w:eastAsia="Times New Roman" w:hAnsi="Times New Roman"/>
          <w:sz w:val="18"/>
          <w:szCs w:val="18"/>
          <w:color w:val="auto"/>
        </w:rPr>
        <w:t>During 2024, the challenging interest rate environment and inflationary pressures have continued to present challenges for many of our mortgage lending partners. In our Home segment, mortgage rates remained relatively consistent in 2024, with the annual average mortgage rate in 2024 of 6.7%</w:t>
      </w:r>
    </w:p>
    <w:p>
      <w:pPr>
        <w:spacing w:after="0" w:line="1"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compared to 6.8% in 2023. However, these rates are more than doubled compared to the low annual average mortgage rates seen in 2021. The increased mortgage rates continue to cause reduced refinance volumes and continue to put pressure on purchase activity. Additionally, the restrictive lending</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conditions continue to pressure our Consumer segment. In our Insurance segment, demand from our carrier partners increased significantly in 2024 and we are optimistic about maintaining the strong performance in the Insurance segment as we head into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We ceased offering reverse mortgage loans on our marketplace in the fourth quarter of 2022. Our Consumer segment includes the following products: credit cards, personal loans, small business loans, auto loans, deposit accounts, and other credit products such as debt settlement. We are in the process of exiting the student loan business and plan to be substantially completed by the end of the first quarter of 2025. We ceased offering credit repair products at the end of the second quarter of 2023 when we shut-down our Ovation business. Our Insurance segment consists of insurance quote products and insurance policies in our agency businesses.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Segment 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128,854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143,753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289,383</w:t>
            </w:r>
          </w:p>
        </w:tc>
      </w:tr>
      <w:tr>
        <w:trPr>
          <w:trHeight w:val="22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222,462</w:t>
            </w:r>
          </w:p>
        </w:tc>
        <w:tc>
          <w:tcPr>
            <w:tcW w:w="4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278,945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396,109</w:t>
            </w:r>
          </w:p>
        </w:tc>
      </w:tr>
      <w:tr>
        <w:trPr>
          <w:trHeight w:val="228"/>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548,704</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249,605</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299,073</w:t>
            </w:r>
          </w:p>
        </w:tc>
      </w:tr>
      <w:tr>
        <w:trPr>
          <w:trHeight w:val="235"/>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5"/>
        </w:trPr>
        <w:tc>
          <w:tcPr>
            <w:tcW w:w="6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672,502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984,992</w:t>
            </w:r>
          </w:p>
        </w:tc>
      </w:tr>
    </w:tbl>
    <w:p>
      <w:pPr>
        <w:spacing w:after="0" w:line="183"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LendingTree does not charge consumers for the use of our services. Revenues from our Home products are mostly derived from upfront match fees paid by Network Partners that receive a consumer request.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 as well as commissions earned on policy sales in our agency businesses.</w:t>
      </w:r>
    </w:p>
    <w:p>
      <w:pPr>
        <w:spacing w:after="0" w:line="64" w:lineRule="exact"/>
        <w:rPr>
          <w:sz w:val="20"/>
          <w:szCs w:val="20"/>
          <w:color w:val="auto"/>
        </w:rPr>
      </w:pPr>
    </w:p>
    <w:p>
      <w:pPr>
        <w:jc w:val="both"/>
        <w:ind w:firstLine="323"/>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2024, two Network Partners, Progressive Casualty Insurance and Allstate Insurance Company, accounted for 22% and 11%, respectively, of total consolidated revenue, all of which was recorded within our Insurance segment. For the years ended December 31, 2023 and 2022, no Network Partners accounted for more than 10% of total consolidated 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Home Segment</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spacing w:after="0" w:line="65" w:lineRule="exact"/>
        <w:rPr>
          <w:sz w:val="20"/>
          <w:szCs w:val="20"/>
          <w:color w:val="auto"/>
        </w:rPr>
      </w:pPr>
    </w:p>
    <w:p>
      <w:pPr>
        <w:ind w:left="660" w:hanging="330"/>
        <w:spacing w:after="0" w:line="284" w:lineRule="auto"/>
        <w:tabs>
          <w:tab w:leader="none" w:pos="65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w:t>
      </w:r>
      <w:r>
        <w:rPr>
          <w:rFonts w:ascii="Times New Roman" w:cs="Times New Roman" w:eastAsia="Times New Roman" w:hAnsi="Times New Roman"/>
          <w:sz w:val="18"/>
          <w:szCs w:val="18"/>
          <w:color w:val="auto"/>
        </w:rPr>
        <w:t>Consumers complete a single request form with information regarding the type of mortgage loan product they are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preferences and other data. Consumers also consent to a soft inquiry regarding their credit and to have lenders contact them.</w:t>
      </w:r>
    </w:p>
    <w:p>
      <w:pPr>
        <w:spacing w:after="0" w:line="47" w:lineRule="exact"/>
        <w:rPr>
          <w:rFonts w:ascii="Times New Roman" w:cs="Times New Roman" w:eastAsia="Times New Roman" w:hAnsi="Times New Roman"/>
          <w:sz w:val="18"/>
          <w:szCs w:val="18"/>
          <w:b w:val="1"/>
          <w:bCs w:val="1"/>
          <w:color w:val="auto"/>
        </w:rPr>
      </w:pPr>
    </w:p>
    <w:p>
      <w:pPr>
        <w:jc w:val="both"/>
        <w:ind w:left="660" w:hanging="330"/>
        <w:spacing w:after="0" w:line="267" w:lineRule="auto"/>
        <w:tabs>
          <w:tab w:leader="none" w:pos="65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Consumer Request Form Matching and Transmission. </w:t>
      </w:r>
      <w:r>
        <w:rPr>
          <w:rFonts w:ascii="Times New Roman" w:cs="Times New Roman" w:eastAsia="Times New Roman" w:hAnsi="Times New Roman"/>
          <w:sz w:val="18"/>
          <w:szCs w:val="18"/>
          <w:color w:val="auto"/>
        </w:rPr>
        <w:t>Our proprietary systems and technology match a given consumer’s request form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spacing w:after="0" w:line="61" w:lineRule="exact"/>
        <w:rPr>
          <w:rFonts w:ascii="Times New Roman" w:cs="Times New Roman" w:eastAsia="Times New Roman" w:hAnsi="Times New Roman"/>
          <w:sz w:val="18"/>
          <w:szCs w:val="18"/>
          <w:b w:val="1"/>
          <w:bCs w:val="1"/>
          <w:color w:val="auto"/>
        </w:rPr>
      </w:pPr>
    </w:p>
    <w:p>
      <w:pPr>
        <w:ind w:left="660" w:hanging="330"/>
        <w:spacing w:after="0" w:line="284" w:lineRule="auto"/>
        <w:tabs>
          <w:tab w:leader="none" w:pos="65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Lender Evaluation and Response. </w:t>
      </w:r>
      <w:r>
        <w:rPr>
          <w:rFonts w:ascii="Times New Roman" w:cs="Times New Roman" w:eastAsia="Times New Roman" w:hAnsi="Times New Roman"/>
          <w:sz w:val="18"/>
          <w:szCs w:val="18"/>
          <w:color w:val="auto"/>
        </w:rPr>
        <w:t>Network Partners that receive a consumer request form evaluate the information contained in it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to make a conditional loan offer.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hanging="330"/>
        <w:spacing w:after="0" w:line="267" w:lineRule="auto"/>
        <w:tabs>
          <w:tab w:leader="none" w:pos="65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Communication of a Conditional Offer. </w:t>
      </w:r>
      <w:r>
        <w:rPr>
          <w:rFonts w:ascii="Times New Roman" w:cs="Times New Roman" w:eastAsia="Times New Roman" w:hAnsi="Times New Roman"/>
          <w:sz w:val="18"/>
          <w:szCs w:val="18"/>
          <w:color w:val="auto"/>
        </w:rPr>
        <w:t>All matched Network Partners and any conditional offers are presented to the consumer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the consumer request form. Consumers can return to the site and view their offer(s) at any time by logging in to their Spring profile. Additionally, matched lenders and offers are also sent to the email address associated with the consumer request.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offer matches to providers of other Home lending products on our online marketplace that include the following:</w:t>
      </w:r>
    </w:p>
    <w:p>
      <w:pPr>
        <w:spacing w:after="0" w:line="115" w:lineRule="exact"/>
        <w:rPr>
          <w:sz w:val="20"/>
          <w:szCs w:val="20"/>
          <w:color w:val="auto"/>
        </w:rPr>
      </w:pPr>
    </w:p>
    <w:p>
      <w:pPr>
        <w:jc w:val="both"/>
        <w:ind w:left="660" w:hanging="330"/>
        <w:spacing w:after="0" w:line="26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loans and lines of credit, which enable homeowners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spacing w:after="0" w:line="6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mortgage loans, which were loan products available to qualifying homeowners age 62 or older. We ceased offering matches to providers of reverse mortgage loans in the fourth quarter of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Segment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Consumer lending products on our online marketplace that include information, tools and access to multiple conditional loan offers for the following:</w:t>
      </w:r>
    </w:p>
    <w:p>
      <w:pPr>
        <w:spacing w:after="0" w:line="115" w:lineRule="exact"/>
        <w:rPr>
          <w:sz w:val="20"/>
          <w:szCs w:val="20"/>
          <w:color w:val="auto"/>
        </w:rPr>
      </w:pPr>
    </w:p>
    <w:p>
      <w:pPr>
        <w:ind w:left="660" w:right="20" w:hanging="330"/>
        <w:spacing w:after="0" w:line="28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which includes our auto refinance and purchase loan products. Auto loans enable consumers to purchase new or used vehicles or refinance an existing loan secured by an automobile.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cards, which include offerings from most major card issuers.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loans, which are typically unsecured obligations generally carrying shorter terms and smaller loan amounts than home mortgages.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business loans, which include a broad array of financing types including, but not limited to, loans secured by working capital, equipment, real estate and other forms of financing, provided to small and medium-sized businesses.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loans, which includes both new loans to finance education and related expenses, as well as refinancing of existing loans. We are in the process of exiting the student loans business, and plan to be substantially completed by the end of the first quarter of 2025.</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Non-lending Consumer products also includes information, tools and access to the following:</w:t>
      </w:r>
    </w:p>
    <w:p>
      <w:pPr>
        <w:spacing w:after="0" w:line="115" w:lineRule="exact"/>
        <w:rPr>
          <w:sz w:val="20"/>
          <w:szCs w:val="20"/>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through which consumers can access depository deals and analysis covering all major deposit product categories.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repair, through which consumers can obtain assistance improving their credit profiles, in order to expand and improve loan and other financial product opportunities available to them. We ceased offering credit repair products at the end of the second quarter of 2023 when we shut-down our Ovation business.</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relief services, through which consumers can obtain assistance negotiating existing loans.</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refer to the various purchasers of leads from our other marketplaces as lead purchasers. We generate revenue from the deposit account product when a consumer clicks from our website through to a financial institution's website. We generate revenue from debt relief services through a fee for a customer referral to a service provider partner or through a fee at the time a consumer enrolls in a program with one of our Network Partners.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 Segment</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Our Insurance segment includes information, tools and access to insurance quote products, including automobile, home, life, health and Medicare, through which consumers are matched with insurance lead aggregators to obtain insurance offers, as well as insurance policies in our agency businesses. Our QuoteWizard business is one of the largest insurance comparison marketplaces in the growing online insurance advertising market. ValuePenguin, a personal finance website that offers consumers objective analysis on a variety of financial topics related to insurance, is also part of our Insurance segment.</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Revenue in our Home segment is subject to cyclical and seasonal trends. Home sales (and purchase mortgages) typically rise during the spring and summer months and decline during the fall and winter months, while refinancing and home equity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activity is principally driven by mortgage interest rates as well as real estate values. However, in certain historical periods additional factors affecting the mortgage and real estate markets, such as the current high interest rate economic period, the 2008-2009 financial crisis and related recession as well as the economic conditions related to the COVID-19 pandemic, have impacted customary seasonal trends.</w:t>
      </w:r>
    </w:p>
    <w:p>
      <w:pPr>
        <w:spacing w:after="0" w:line="56" w:lineRule="exact"/>
        <w:rPr>
          <w:sz w:val="20"/>
          <w:szCs w:val="20"/>
          <w:color w:val="auto"/>
        </w:rPr>
      </w:pPr>
    </w:p>
    <w:p>
      <w:pPr>
        <w:jc w:val="both"/>
        <w:ind w:firstLine="323"/>
        <w:spacing w:after="0" w:line="243" w:lineRule="auto"/>
        <w:rPr>
          <w:sz w:val="20"/>
          <w:szCs w:val="20"/>
          <w:color w:val="auto"/>
        </w:rPr>
      </w:pPr>
      <w:r>
        <w:rPr>
          <w:rFonts w:ascii="Times New Roman" w:cs="Times New Roman" w:eastAsia="Times New Roman" w:hAnsi="Times New Roman"/>
          <w:sz w:val="18"/>
          <w:szCs w:val="18"/>
          <w:color w:val="auto"/>
        </w:rPr>
        <w:t>Our insurance segment typically experiences a decline in December around the holidays and an increase in the spring around tax season. Our personal loan product experiences less consumer demand during the fourth and first quarters of each year. We also anticipate less consumer demand for credit cards in the fourth quarter of each year, and we anticipate higher consumer demand for deposit accounts in the first quarter of each year. Other factors affecting our businesses include macro factors such as credit availability in the market, interest rates, inflation, the strength of the economy and employment.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LendingTree, LLC also owns several companies. LendingTree, Inc. was incorporated in the state of Delaware in June 1996 and commenced nationwide operations in July 1998.</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2003, IAC/InterActiveCorp (“IAC”) acquired LendingTree, LLC, which at the time of the acquisition was known as LendingTree,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in December 2004, IAC converted LendingTree, Inc. to a Delaware limited liability company, LendingTree, LLC.</w:t>
      </w:r>
    </w:p>
    <w:p>
      <w:pPr>
        <w:spacing w:after="0" w:line="97"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January 1, 2015, we changed our name from Tree.com, Inc. to LendingTree,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Legal Compliance</w:t>
      </w:r>
    </w:p>
    <w:p>
      <w:pPr>
        <w:spacing w:after="0" w:line="11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online and offline channels across the United States. As a result, we are subject to a variety of federal and state laws and regulations, including:</w:t>
      </w:r>
    </w:p>
    <w:p>
      <w:pPr>
        <w:spacing w:after="0" w:line="55" w:lineRule="exact"/>
        <w:rPr>
          <w:sz w:val="20"/>
          <w:szCs w:val="20"/>
          <w:color w:val="auto"/>
        </w:rPr>
      </w:pPr>
    </w:p>
    <w:p>
      <w:pPr>
        <w:jc w:val="both"/>
        <w:ind w:left="660" w:hanging="330"/>
        <w:spacing w:after="0" w:line="259"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spacing w:after="0" w:line="73" w:lineRule="exact"/>
        <w:rPr>
          <w:rFonts w:ascii="Times New Roman" w:cs="Times New Roman" w:eastAsia="Times New Roman" w:hAnsi="Times New Roman"/>
          <w:sz w:val="17"/>
          <w:szCs w:val="17"/>
          <w:b w:val="1"/>
          <w:bCs w:val="1"/>
          <w:color w:val="auto"/>
        </w:rPr>
      </w:pPr>
    </w:p>
    <w:p>
      <w:pPr>
        <w:ind w:left="660" w:hanging="330"/>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which imposes, among other things, limitations on fees charged by mortgage lenders, and requirements related to mortgage disclosures.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lending and insurance licensing laws.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spacing w:after="0" w:line="69" w:lineRule="exact"/>
        <w:rPr>
          <w:rFonts w:ascii="Times New Roman" w:cs="Times New Roman" w:eastAsia="Times New Roman" w:hAnsi="Times New Roman"/>
          <w:sz w:val="17"/>
          <w:szCs w:val="17"/>
          <w:b w:val="1"/>
          <w:bCs w:val="1"/>
          <w:color w:val="auto"/>
        </w:rPr>
      </w:pPr>
    </w:p>
    <w:p>
      <w:pPr>
        <w:ind w:left="660" w:right="20" w:hanging="330"/>
        <w:spacing w:after="0" w:line="280" w:lineRule="auto"/>
        <w:tabs>
          <w:tab w:leader="none" w:pos="65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Federal and state laws and regulations relating to data privacy and security, including the Gramm-Leach-Bliley Act (“GLBA”), which may impact how we collect, use, store, share and otherwise process personal information of consumers and other individuals.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Factors—Risks Related to Legal, Compliance and Regulations” for additional information and a discussion of our regulatory risks.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As we develop or identify new or improved proprietary technologies, we seek patent protection in the United States and abroad, as appropriate. As of December 31, 2024, we owned one issued U.S. patent related to the system and method for collecting financial information over a global communications network, that expires in 2032. We also owned one provisional U.S. patent related to systems for determination of fair market value of a mortgage lead that expires on July 26, 2025, at which time a non-provisional patent application may be filed.</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2024, we owned 58 trademarks and service marks; 15 of those marks are registered outside of the United States, and 43 are registered or in the midst of the application process with the United States Patent and Trademark Office (“USPTO”). Of the 43 marks registered or pending with the USPTO, six have applications pending but have not yet been registered. These registrations can typically be renewed at 10-year intervals.</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addition, we reserve and register domain names when and where we deem appropriate. As of December 31, 2024, we owned approximately 1,570 registered domain names. We also have agreements with third parties that provide for the licensing of patented, copyrighted and other proprietary technology used in our business.</w:t>
      </w:r>
    </w:p>
    <w:p>
      <w:pPr>
        <w:spacing w:after="0" w:line="6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Our success significantly depends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We are committed to investing in our employees, and nurturing an entrepreneurial and dynamic work environment. We achieve this through dedication to our core principles which include: building truly outstanding products, being open and 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spacing w:after="0" w:line="82"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we had 937 employees, of which approximately 927 are full-time and 10 are temporary or part-time. None of our employees are represented under collective bargaining agreements and we consider our relations with employees and independent contractors to be good.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Website and Public Filings</w:t>
      </w:r>
    </w:p>
    <w:p>
      <w:pPr>
        <w:spacing w:after="0" w:line="117" w:lineRule="exact"/>
        <w:rPr>
          <w:sz w:val="20"/>
          <w:szCs w:val="20"/>
          <w:color w:val="auto"/>
        </w:rPr>
      </w:pPr>
    </w:p>
    <w:p>
      <w:pPr>
        <w:jc w:val="both"/>
        <w:ind w:firstLine="323"/>
        <w:spacing w:after="0" w:line="265"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www.lendingtree.com</w:t>
      </w:r>
      <w:r>
        <w:rPr>
          <w:rFonts w:ascii="Times New Roman" w:cs="Times New Roman" w:eastAsia="Times New Roman" w:hAnsi="Times New Roman"/>
          <w:sz w:val="18"/>
          <w:szCs w:val="18"/>
          <w:color w:val="auto"/>
        </w:rPr>
        <w:t xml:space="preserve"> and an investor relations website at </w:t>
      </w:r>
      <w:r>
        <w:rPr>
          <w:rFonts w:ascii="Times New Roman" w:cs="Times New Roman" w:eastAsia="Times New Roman" w:hAnsi="Times New Roman"/>
          <w:sz w:val="18"/>
          <w:szCs w:val="18"/>
          <w:i w:val="1"/>
          <w:iCs w:val="1"/>
          <w:color w:val="auto"/>
        </w:rPr>
        <w:t>investors.lendingtree.com</w:t>
      </w:r>
      <w:r>
        <w:rPr>
          <w:rFonts w:ascii="Times New Roman" w:cs="Times New Roman" w:eastAsia="Times New Roman" w:hAnsi="Times New Roman"/>
          <w:sz w:val="18"/>
          <w:szCs w:val="18"/>
          <w:color w:val="auto"/>
        </w:rPr>
        <w:t>. None of the information on or accessible through our websites is incorporated by reference in this report, or in any other filings with, or in any information furnished or submitted to, the Securities and Exchange Commission (the “SEC”).</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We make available, free of charge through our website, our Annual Reports on Form 10-K, our Quarterly Reports on Form 10-Q, our Current Reports on Form 8-K, our proxy statement for our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code of business conduct and ethics, which applies to all employees, including all executive officers and senior financial officers and directors, is posted on the investor relations section of our website. Any amendments to or waivers of the code of business conduct and ethics that are of the type described in Item 406(b) and (d) of Regulation S-K will be disclosed on our website or in public filings to the extent required by the applicable rules.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17"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decision, you should carefully consider the risks described below, together with all of the other information included in this Annual Report. If any of the risks described below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primary and secondary mortgage markets, as well as the general economy, have had and could continue to have a material adverse effect on our business, financial condition and results of operations.</w:t>
      </w:r>
    </w:p>
    <w:p>
      <w:pPr>
        <w:spacing w:after="0" w:line="52"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Constraints in the primary and secondary mortgage markets in the past have had, and may continue to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have experienced, and will likely continue to experience a decline in demand for their offerings due to decreased consumer demand as a result of the conditions described above, now or in the future. The high interest rates in 2022, 2023, and 2024 and home affordability significantly impacted our mortgage business and continue to do so.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on the financial strength of our Network Partners and our relationships with them, and any adverse changes in these relationships could adversely affect our business, financial condition and results of operations.</w:t>
      </w:r>
    </w:p>
    <w:p>
      <w:pPr>
        <w:spacing w:after="0" w:line="52"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determine to temporarily suspend or terminate their relationship with us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adverse changes in relationships with our Network Partners, or failure to meet certain metrics required by Network Partners, could adversely affect our business.</w:t>
      </w:r>
    </w:p>
    <w:p>
      <w:pPr>
        <w:spacing w:after="0" w:line="52"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addition, 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campaigns or other traditional methods of distribution, such as referral arrangements, physical store-front operations or broker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agreements. Network Partners may also offer loans, insurance and other financial products and services to prospective customers online directly, through one or more online competitors or other business,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reputation and brand recognition and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spacing w:after="0" w:line="66"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7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spacing w:after="0" w:line="2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spacing w:after="0" w:line="7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If one or more of the search engines or other online sources on which we rely for website traffic were to modify its general methodology for how it displays our websites, resulting in fewer consumers clicking through to our websites, our business could suffer. If our online advertisements are not able to reach certain consumers due to consumers' use of ad-blocking software or other ad-blocking capabilities, our business could suffer. Any required changes in targeting and other related consumer acquisition practices and techniques, such as the upcoming deprecation of third-party cookies, could impair our ability to acquire consumers efficiently and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spacing w:after="0" w:line="66"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are dependent on the use of technology systems like our Spring platform as well as backend systems to support our strategic objectives. Implementation and integration of complex systems and technology present significant challenges in terms of costs, human resources, and development of effective internal controls. Implementation and integration require a balancing between the introduction of new capabilities and the managing of existing systems, and present the risk of operational or security inadequacy or interruption, which could materially affect our ability to effectively operate our business and/or could negatively impact our results of operations.</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our systems continue to require modification and refinements to address operational reliability, growth, and changing business requirements. In addition, our systems may require modification to enable us to comply with changing regulatory requirements. Our operations could be adversely affected, or we could face imposition of regulatory penalties, if it were unable to timely or effectively modify our systems as necessary or appropriately balance the introduction of new capabilities with the management of existing systems.</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In the future, we directly or through our third-party provided information technology systems or software may incorporate artificial intelligence (“AI”) capabilities into our business. As with many innovations, AI presents risks, challenges, and unintended consequences that could affect its adoption, and therefore our business. AI algorithms and training methodologies may be flawed, ineffective or inadequate. AI development or deployment practices by us or third-party providers could result in incidents that could increase the resources we need to implement cybersecurity measures to protect the security of our data. These deficiencies and other failures of any potential AI systems could subject us to competitive harm, regulatory action, legal liability, and brand or reputational harm.</w:t>
      </w:r>
    </w:p>
    <w:p>
      <w:pPr>
        <w:spacing w:after="0" w:line="181" w:lineRule="exact"/>
        <w:rPr>
          <w:sz w:val="20"/>
          <w:szCs w:val="20"/>
          <w:color w:val="auto"/>
        </w:rPr>
      </w:pPr>
    </w:p>
    <w:p>
      <w:pPr>
        <w:jc w:val="both"/>
        <w:ind w:firstLine="323"/>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Economic conditions, including changes in the consumer lending and insurance markets could harm our business, financial condition and results of operations.</w:t>
      </w:r>
    </w:p>
    <w:p>
      <w:pPr>
        <w:spacing w:after="0" w:line="38" w:lineRule="exact"/>
        <w:rPr>
          <w:sz w:val="20"/>
          <w:szCs w:val="20"/>
          <w:color w:val="auto"/>
        </w:rPr>
      </w:pPr>
    </w:p>
    <w:p>
      <w:pPr>
        <w:jc w:val="both"/>
        <w:ind w:firstLine="323"/>
        <w:spacing w:after="0" w:line="239" w:lineRule="auto"/>
        <w:rPr>
          <w:sz w:val="20"/>
          <w:szCs w:val="20"/>
          <w:color w:val="auto"/>
        </w:rPr>
      </w:pPr>
      <w:r>
        <w:rPr>
          <w:rFonts w:ascii="Times New Roman" w:cs="Times New Roman" w:eastAsia="Times New Roman" w:hAnsi="Times New Roman"/>
          <w:sz w:val="18"/>
          <w:szCs w:val="18"/>
          <w:color w:val="auto"/>
        </w:rPr>
        <w:t>Our business is dependent on the products offered by our Network Partners across the consumer financial services and personal insurance industries. Changes in economic conditions, including general factors such as a slower pace of economic growth or recessionary periods, could negatively impact these industries and our business. Additionally, the lending products our Network partners offer within our Home and Consumer segments are dependent upon, among other things, the overall level of interest rates, home prices, availability of credit in the financial market and changes in underwriting standards. Our Insurance segment is dependent on the personal auto and home insurance industry, which can be negatively impacted by inflation, supply chain issues, rising car accident severity and frequency, as well as natural disasters such as hurricanes.</w:t>
      </w:r>
    </w:p>
    <w:p>
      <w:pPr>
        <w:spacing w:after="0" w:line="214" w:lineRule="exact"/>
        <w:rPr>
          <w:sz w:val="20"/>
          <w:szCs w:val="20"/>
          <w:color w:val="auto"/>
        </w:rPr>
      </w:pPr>
    </w:p>
    <w:p>
      <w:pPr>
        <w:jc w:val="both"/>
        <w:ind w:firstLine="323"/>
        <w:spacing w:after="0" w:line="236" w:lineRule="auto"/>
        <w:rPr>
          <w:sz w:val="20"/>
          <w:szCs w:val="20"/>
          <w:color w:val="auto"/>
        </w:rPr>
      </w:pPr>
      <w:r>
        <w:rPr>
          <w:rFonts w:ascii="Times New Roman" w:cs="Times New Roman" w:eastAsia="Times New Roman" w:hAnsi="Times New Roman"/>
          <w:sz w:val="18"/>
          <w:szCs w:val="18"/>
          <w:color w:val="auto"/>
        </w:rPr>
        <w:t>Additionally, the health of the lending markets our Network Partners operate in, including purchase and refinance mortgages, home equity, business loans, personal loans, and credit card, are important to our business. Fluctuations and constraints in these markets in the past have harmed, and may in the future, harm our business, financial condition and results of operations. Economic factors such as increased interest rates, slow economic growth or recessionary conditions, the pace of home price appreciation or outright depreciation, changes in household debt levels, and increased unemployment or stagnant or declining wages can affect the lending markets broadly. National or global events, such as the COVID-19 pandemic, can also affect such macroeconomic conditions. These factors can affect the number of consumers applying for loans and overall loan approval rates, which can adversely affect our business. Increases in interest rates driven by the Federal Reserve Board’s Federal Open Market Committee to combat a historically high rate of inflation may continue or decreases in interest rates may be delayed. Additional rate increases could pressure consumer demand for mortgage products, as well as our business, personal and credit card products, and thus could negatively impact our business.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Our insurance business, QuoteWizard, is significant to our revenue, and operational issues in this business could have a material impact on our results of operations.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QuoteWizard business poses risks for our ongoing operations, including, but not limited to:</w:t>
      </w:r>
    </w:p>
    <w:p>
      <w:pPr>
        <w:spacing w:after="0" w:line="115" w:lineRule="exact"/>
        <w:rPr>
          <w:sz w:val="20"/>
          <w:szCs w:val="20"/>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insurance carriers and their willingness to issue policies;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losses among insurance carriers may increase beyond normal and budgeted levels which could cause a reduction in demand for leads;</w:t>
      </w:r>
    </w:p>
    <w:p>
      <w:pPr>
        <w:spacing w:after="0" w:line="115" w:lineRule="exact"/>
        <w:rPr>
          <w:rFonts w:ascii="Times New Roman" w:cs="Times New Roman" w:eastAsia="Times New Roman" w:hAnsi="Times New Roman"/>
          <w:sz w:val="18"/>
          <w:szCs w:val="18"/>
          <w:color w:val="auto"/>
        </w:rPr>
      </w:pPr>
    </w:p>
    <w:p>
      <w:pPr>
        <w:ind w:left="660" w:right="48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and other advertisers in the business verticals in which we or QuoteWizard operate may be unwilling to advertise on our or QuoteWizard’s websites or mobile applications;</w:t>
      </w:r>
    </w:p>
    <w:p>
      <w:pPr>
        <w:spacing w:after="0" w:line="54" w:lineRule="exact"/>
        <w:rPr>
          <w:rFonts w:ascii="Times New Roman" w:cs="Times New Roman" w:eastAsia="Times New Roman" w:hAnsi="Times New Roman"/>
          <w:sz w:val="18"/>
          <w:szCs w:val="18"/>
          <w:color w:val="auto"/>
        </w:rPr>
      </w:pPr>
    </w:p>
    <w:p>
      <w:pPr>
        <w:ind w:left="660" w:right="600" w:hanging="330"/>
        <w:spacing w:after="0" w:line="28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customers with large insurance carriers may cause significant budget reductions from these customers and may impact our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publishers may determine they no longer want QuoteWizard as an advertising partner;</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underwriting approval rates by insurance carrier customers;</w:t>
      </w:r>
    </w:p>
    <w:p>
      <w:pPr>
        <w:spacing w:after="0" w:line="115" w:lineRule="exact"/>
        <w:rPr>
          <w:rFonts w:ascii="Times New Roman" w:cs="Times New Roman" w:eastAsia="Times New Roman" w:hAnsi="Times New Roman"/>
          <w:sz w:val="18"/>
          <w:szCs w:val="18"/>
          <w:color w:val="auto"/>
        </w:rPr>
      </w:pPr>
    </w:p>
    <w:p>
      <w:pPr>
        <w:ind w:left="660" w:right="24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QuoteWizard’s website traffic, click-through rates, advertising rates, revenue, margins, and market share;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media may rise at a faster pace than QuoteWizard's monetization of traffic;</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competitive service to insurance carriers and to consumers using QuoteWizard’s and our online offerings and other platforms;</w:t>
      </w:r>
    </w:p>
    <w:p>
      <w:pPr>
        <w:spacing w:after="0" w:line="115" w:lineRule="exact"/>
        <w:rPr>
          <w:rFonts w:ascii="Times New Roman" w:cs="Times New Roman" w:eastAsia="Times New Roman" w:hAnsi="Times New Roman"/>
          <w:sz w:val="18"/>
          <w:szCs w:val="18"/>
          <w:color w:val="auto"/>
        </w:rPr>
      </w:pPr>
    </w:p>
    <w:p>
      <w:pPr>
        <w:ind w:left="660" w:right="20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carriers may determine that the online digital marketing channel is no longer a viable marketing platform for generating new insurance customers;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regulatory agencies may hinder or disallow the operation of QuoteWizard's marketplace;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and/or laws that affect the ability of private insurance carriers to market products directly to the consumer;</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 regulations and/or laws that would replace private insurance programs with government run programs;</w:t>
      </w:r>
    </w:p>
    <w:p>
      <w:pPr>
        <w:spacing w:after="0" w:line="115" w:lineRule="exact"/>
        <w:rPr>
          <w:rFonts w:ascii="Times New Roman" w:cs="Times New Roman" w:eastAsia="Times New Roman" w:hAnsi="Times New Roman"/>
          <w:sz w:val="18"/>
          <w:szCs w:val="18"/>
          <w:color w:val="auto"/>
        </w:rPr>
      </w:pPr>
    </w:p>
    <w:p>
      <w:pPr>
        <w:ind w:left="660" w:right="540" w:hanging="330"/>
        <w:spacing w:after="0" w:line="28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LendingTree and QuoteWizard and to effectively leverage the LendingTree brand with the QuoteWizard brand;</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 of QuoteWizard;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any undisclosed or potential liabilities;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 may not continue to perform as well as anticipated;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operating risks, including liabilities arising from data privacy and security laws and regulations or security breaches.</w:t>
      </w:r>
    </w:p>
    <w:p>
      <w:pPr>
        <w:spacing w:after="0" w:line="115" w:lineRule="exact"/>
        <w:rPr>
          <w:sz w:val="20"/>
          <w:szCs w:val="20"/>
          <w:color w:val="auto"/>
        </w:rPr>
      </w:pPr>
    </w:p>
    <w:p>
      <w:pPr>
        <w:ind w:right="280" w:firstLine="323"/>
        <w:spacing w:after="0" w:line="280" w:lineRule="auto"/>
        <w:rPr>
          <w:sz w:val="20"/>
          <w:szCs w:val="20"/>
          <w:color w:val="auto"/>
        </w:rPr>
      </w:pPr>
      <w:r>
        <w:rPr>
          <w:rFonts w:ascii="Times New Roman" w:cs="Times New Roman" w:eastAsia="Times New Roman" w:hAnsi="Times New Roman"/>
          <w:sz w:val="18"/>
          <w:szCs w:val="18"/>
          <w:color w:val="auto"/>
        </w:rPr>
        <w:t>If the QuoteWizard business is impacted by the risks described above, then our results of operations and future growth prospects could be materially and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agency businesses pose unique risks that may have a material adverse impact on our results of operations.</w:t>
      </w:r>
    </w:p>
    <w:p>
      <w:pPr>
        <w:spacing w:after="0" w:line="11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Our Property and Casualty insurance agency businesses employ a different business model than the rest of our businesses and are subject to unique risks because of our role in selling insurance policies direct to consumers. In that role, we act as agents of insurance carriers or of other insurance agents, known as uplines, that we contract with. We must secure and maintain contracts with those carriers and agents and our individual agents must be state-licensed. Our revenues are generated from sales commissions, which are based upon the insurance premiums of policies sold, and our models to determine the appropriate policies for consumers. Our models could be incorrect and we could generate less revenue than expected. We could also lose appointments with carriers or uplines that affect our ability to sell policies and generate revenue. Carrier losses, which could result from increased repair time and costs due to inflation and supply chain issues in the automotive and housing industries, among other issues, could cause carriers to reduce commissions or increase premiums, both of which would have a negative effect on us. Insurance carriers could increase premiums to the point where we cannot profitably sell policies or consumers forego the purchase of insurance. Our licensed insurance agents are critical to our agency business and our inability to attract and retain effective agents or for them to obtain or retain their licenses to sell policies could have a negative impact on our results of operation.</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spacing w:after="0" w:line="66"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Personal loans are typically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requests generated from our personal loan marketplace. Reasons that lenders might reduce their willingness to make personal loans at attractive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small business loans are a significant product within our Consumer segment and there are risks specific to this product that could have a material impact on our results of operations.</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small business loans product has a renewal stream that is a significant part of the revenue of this product. Accounting Standards Codification Topic 606, Revenue from Contracts with Customers, requires the estimation and recognition of revenue for future renewals at the time of the original loan, which creates a contract asset. The contract asset is estimated using historical renewal and commission rates, but actual renewal revenue could differ from this estimate. The contract asset at December 31, 2024 for business loan renewals is $15.3 million. Any changes in future renewals or changes in the assumptions supporting the contract asset could have a material impact on our results of operations.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Additionally, a significant portion of the business loans revenue is derived from one Network Partner and if we lose significant business from this partner, our results of operations could be adversely affected.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Trends in the credit card industry, as well as the impact of the general economy on the ability of users to qualify for credit cards, could harm our business, financial condition and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credit card product offering is subject to particular risks, including, but not limited to:</w:t>
      </w:r>
    </w:p>
    <w:p>
      <w:pPr>
        <w:spacing w:after="0" w:line="115" w:lineRule="exact"/>
        <w:rPr>
          <w:sz w:val="20"/>
          <w:szCs w:val="20"/>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credit card issuers and their willingness to issue new credit which would negatively affect revenue;</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among credit card issuers may increase beyond normal and budgeted levels which could cause a reduction in credit card issuers' ability to extend credit;</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increases may make balance transfer cards less profitable for issuers;</w:t>
      </w:r>
    </w:p>
    <w:p>
      <w:pPr>
        <w:spacing w:after="0" w:line="115"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issuers and other advertisers in the business verticals in which we operate may be unwilling to advertise on our websites or mobile applications;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application approval rates by credit card issuer customers;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website traffic, click-through rates, advertising rates, revenue, margins, and market share;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competitive service to credit card issuers and to consumers using our online offerings and other platforms;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issuers may determine that the online digital marketing channel is no longer a viable marketing platform for generating new credit card customers;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consumer interest in credit card products;</w:t>
      </w:r>
    </w:p>
    <w:p>
      <w:pPr>
        <w:spacing w:after="0" w:line="115"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LendingTree and CompareCards and to effectively leverage the LendingTree brand with the CompareCards brand; and</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w:t>
      </w:r>
    </w:p>
    <w:p>
      <w:pPr>
        <w:spacing w:after="0" w:line="115"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If our credit card product is impacted by the risks described above, then our results of operations and future growth prospects could be materially and adversely affected.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continually enhance our products and services and adapt them to technological changes and consumer and Network Partner needs, we may lose market share and revenue and our business could suffer.</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need to anticipate, develop and introduce new products, services and applications on a timely and cost-effective basis that keep pace with technological developments and changing consumer and Network Partner needs. We are continually working to improve our consumer experience through enhancements to our products and services. However, we may not be able to develop products and services that are equivalent to or better than our competitors or that successfully meet our consumer and Network Partner needs. We may not be successful, or as successful as our competitors, in developing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technologies and systems that operate effectively across multiple devices and platforms in a way that is appealing to our consumers and Network Partners.</w:t>
      </w:r>
    </w:p>
    <w:p>
      <w:pPr>
        <w:spacing w:after="0" w:line="11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Additionally, our interaction with our Network Partners is dependent on the technology and services we offer to these customers. Our inability to offer competitive technology solutions to support our Network Partners could have a negative impact on our business.</w:t>
      </w:r>
    </w:p>
    <w:p>
      <w:pPr>
        <w:spacing w:after="0" w:line="5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If we fail to develop our websites or apps to respond to technological developments and changing consumer and Network Partner needs cost effectively, or if consumers and Network Partners respond negatively to changes, we may lose market share, which could materially and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are new to the market and may fail to achieve or maintain customer acceptance and profitability.</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have, in the past, launched a number of new products and may, in the future, launch new products. We do not have as much experience with new products as with other more mature products. Accordingly, new products may be subject to greater risks than our more mature products.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our new products will depend on a number of factors, including, but not limited to:</w:t>
      </w:r>
    </w:p>
    <w:p>
      <w:pPr>
        <w:spacing w:after="0" w:line="115" w:lineRule="exact"/>
        <w:rPr>
          <w:sz w:val="20"/>
          <w:szCs w:val="20"/>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offered by our competitors and/or expected by consumers, and Network Partners;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by consumers and Network Partners;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by current and future competitors;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management and other skilled personnel for these businesses;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from third parties;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and cost-effective marketing campaigns; and</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adjust marketing expenditures in relation to changes in demand for the underlying products and services offered by our Network Partners.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of operations may suffer if we fail to successfully anticipate and manage these issues associated with new products.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consumers do not find value in our Spring platform or other platforms, or do not like the consumer experience on the platforms, the number of matches on our platforms may decline, which would harm our business, financial condition and results of operations.</w:t>
      </w:r>
    </w:p>
    <w:p>
      <w:pPr>
        <w:spacing w:after="0" w:line="5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believe that the growth of our business and revenue depends upon our ability to engage our existing users on the Spring and other platforms and to add new users.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could negatively affect our ability to grow our user base and engagement include, among others:</w:t>
      </w:r>
    </w:p>
    <w:p>
      <w:pPr>
        <w:spacing w:after="0" w:line="250" w:lineRule="exact"/>
        <w:rPr>
          <w:sz w:val="20"/>
          <w:szCs w:val="20"/>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lose users to new market entrants and/or existing competitors;</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obtain regulatory approvals necessary for expansion into new verticals, or to launch new products, product features or tools;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4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effectively use search engines, social media platforms, digital app stores, content-based online advertising, and other online sources for generating traffic to our platforms;</w:t>
      </w:r>
    </w:p>
    <w:p>
      <w:pPr>
        <w:spacing w:after="0" w:line="54"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platforms experience disruptions or outages;</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reputational harm to our brand including from negative publicity, whether accurate or inaccurate;</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4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offer new and competitive products, to provide effective updates to our existing products or to keep pace with technological improvements in our industry;</w:t>
      </w:r>
    </w:p>
    <w:p>
      <w:pPr>
        <w:spacing w:after="0" w:line="54"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user experience;</w:t>
      </w:r>
    </w:p>
    <w:p>
      <w:pPr>
        <w:spacing w:after="0" w:line="115" w:lineRule="exact"/>
        <w:rPr>
          <w:rFonts w:ascii="Times New Roman" w:cs="Times New Roman" w:eastAsia="Times New Roman" w:hAnsi="Times New Roman"/>
          <w:sz w:val="18"/>
          <w:szCs w:val="18"/>
          <w:color w:val="auto"/>
        </w:rPr>
      </w:pPr>
    </w:p>
    <w:p>
      <w:pPr>
        <w:ind w:left="440" w:hanging="110"/>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address user concerns regarding the content, privacy, and security of our digital platforms;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innovate and improve our platforms by generating compelling content and tools;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30"/>
        <w:spacing w:after="0" w:line="28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new financial services providers use incentives to directly cross-sell their products, reducing consumer benefits of using multiple providers.</w:t>
      </w:r>
    </w:p>
    <w:p>
      <w:pPr>
        <w:spacing w:after="0" w:line="41"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inability to overcome these challenges could impair our ability to engage users on our platforms, and could harm our business,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improve our products and services in ways that forego short-term gains.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make acquisitions, successfully integrate acquired companies into our business, or our acquisitions may not meet our expectations, any of which would adversely affect our business, financial condition, and results of operations.</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may divert the attention of management and cause us to incur significant expenses related to identifying, investigating, and pursuing suitable acquisitions, whether or not they are consummated. Even if we successfully acquire additional businesses or technologies, we may not achieve the anticipated benefits or synergies due to a number of factors, including but not limited to:</w:t>
      </w:r>
    </w:p>
    <w:p>
      <w:pPr>
        <w:spacing w:after="0" w:line="79" w:lineRule="exact"/>
        <w:rPr>
          <w:sz w:val="20"/>
          <w:szCs w:val="20"/>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management’s attention may be diverted from the management of daily operations to the integration of the businesses acquired in the acquisition;</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costs;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maintaining quality and security standards consistent with our brand;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anticipated synergies or unanticipated difficulty with integration into our corporate culture;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integrate or implement additional controls, procedures, and policies;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existing business relationships with business partners as a result of the acquisition;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or the incurrence of debt to consummate the acquisition;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businesses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fully integrate the businesses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associated with any undisclosed or potential liabilities;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businesses acquired in the acquisition may not perform as well as anticipated;</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economy may affect the lenders or insurance carriers or other customers of the acquired businesses and their willingness to issue new credit, write new policies or otherwise expand their businesses;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in the business verticals in which we, or the acquired businesses we operate, may be unwilling to advertise on our websites or mobile applications;</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our or the acquired businesses' website traffic, click-through rates, submitted consumer requests, advertising rates, revenue, margins, and market share;</w:t>
      </w:r>
    </w:p>
    <w:p>
      <w:pPr>
        <w:spacing w:after="0" w:line="54"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brand recognition for both us and the acquired businesses and to effectively leverage the LendingTree brand with the newly acquired brands;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enhance existing ones; and</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liabilities associated with the historical operations of the acquired businesses, including as a result of data privacy and security laws and regulations or security breaches.</w:t>
      </w:r>
    </w:p>
    <w:p>
      <w:pPr>
        <w:spacing w:after="0" w:line="5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 or strategic investments that we pursue may not be successful and could disrupt our business and harm our financial condition.</w:t>
      </w:r>
    </w:p>
    <w:p>
      <w:pPr>
        <w:spacing w:after="0" w:line="11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spacing w:after="0" w:line="82" w:lineRule="exact"/>
        <w:rPr>
          <w:sz w:val="20"/>
          <w:szCs w:val="20"/>
          <w:color w:val="auto"/>
        </w:rPr>
      </w:pPr>
    </w:p>
    <w:p>
      <w:pPr>
        <w:jc w:val="both"/>
        <w:ind w:firstLine="323"/>
        <w:spacing w:after="0" w:line="271" w:lineRule="auto"/>
        <w:rPr>
          <w:sz w:val="20"/>
          <w:szCs w:val="20"/>
          <w:color w:val="auto"/>
        </w:rPr>
      </w:pPr>
      <w:r>
        <w:rPr>
          <w:rFonts w:ascii="Times New Roman" w:cs="Times New Roman" w:eastAsia="Times New Roman" w:hAnsi="Times New Roman"/>
          <w:sz w:val="17"/>
          <w:szCs w:val="17"/>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have been and may continue to be adversely affected by public health issues, including epidemics or pandemics such as COVID-19.</w:t>
      </w:r>
    </w:p>
    <w:p>
      <w:pPr>
        <w:spacing w:after="0" w:line="52"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outbreaks, such as the global outbreak of COVID-19. The COVID-19 pandemic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in many states and communities. As a result, the demand for our products, in particular in our Consumer segment, was significantly impacted. The full impact of any widespread public health issue on our financial condition and results of operations will depend on the duration and scope of an outbreak (including any potential future waves, the emergence or re-emergence of variants and their transmissibility, and the success of vaccination programs and treatments), its impact on our consumers and our Network Partners, how quickly normal economic conditions, operations, and the demand for our services and products can resume, and any permanent behavioral changes that the pandemic may cause. The extent to which any widespread public health issue impacts our business, financial condition and results of operations, as well as our regulatory capital and liquidity ratios, will depend on future developments, which are highly uncertain and cannot be predicted.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people through the changes caused by the economic challenges, our business and results of operations could be harmed.</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have experienced a reduction in our headcount as a result of both elevated turnover caused by the market as well as planned severances, which places substantial demand on remaining management and our operational infrastructure. As we manage through this change, we must effectively transition work and train, develop and motivate a large number of both existing and new employees, all while maintaining the beneficial aspects of our Company culture. If we do not manage the changing employee base effectively, the quality of our services and efficiency of our operations could suffer, which could harm our business and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highly skilled personnel and if we are unable to attract, retain, develop and motivate well-qualified employees, our business and results of operations could be harmed.</w:t>
      </w:r>
    </w:p>
    <w:p>
      <w:pPr>
        <w:spacing w:after="0" w:line="52"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believe our success has depended, continues to depend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Network Partners on our marketplaces may not provide competitive levels of service to consumers, which could materially and adversely affect our brands and businesses and their ability to attract consumers.</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ability of our businesses to provide consumers with a high-quality experience depends, in part, on consumers receiving competitive levels of convenience, customer service, price and responsiveness from Network Partners participating on our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revenue is derived from two Network Partners and our results of operations could be adversely affected if we lose significant business from either of these Network Partners.</w:t>
      </w:r>
    </w:p>
    <w:p>
      <w:pPr>
        <w:spacing w:after="0" w:line="5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2024, two Network Partners accounted for 22% and 11%, respectively, of total consolidated revenue. If either of these significant Network Partners were to cease purchasing consumer requests and we were unable to replace the associated demand, the loss could have a material adverse effect on our results of operations in the short term and potentially also the longer term. Also, if either of these Network Partners reduces their volume of consumer requests for any reason, our business could be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we may not be able to generate sufficient revenue to be profitable over the long term.</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have incurred operating losses from continuing operations at times in our history and we have an accumulated deficit of $879.4 million at December 31, 2024. If we fail to maintain or grow our revenue and manage our expenses, we may incur significant losses in the future and not be able to maintain or increase our profitability.</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and 2024 Term Loan (as defined herein) contain financial covenants and other restrictions on our actions and they could therefore limit our operational flexibility or otherwise adversely affect our financial condition. Failure to comply with the terms of any such facilities could impair our rights to the assets that have been pledged as collateral under the facilities.</w:t>
      </w:r>
    </w:p>
    <w:p>
      <w:pPr>
        <w:spacing w:after="0" w:line="66"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On September 15, 2021, we entered into a $200.0 million five-year senior secured revolving credit facility (the “Revolving Facility”) and a $250.0 million seven-year senior secured delayed draw term loan facility (the “Term Loan Facility” and together with the Revolving Facility, the “Credit Facility”). The Revolving Facility matures on September 15, 2026, and the Term Loan Facility matures on September 15, 2028. On May 31, 2022, we borrowed $250.0 million under the Term Loan Facility. Borrowings under the Credit Facility can be used to finance working capital needs, capital expenditures, and general corporate purposes, including to finance permitted acquisitions. As of December 31, 2024, we have $243.8 million borrowings outstanding under the Term Loan Facility.</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Credit Facility contains a restrictive financial covenant, which limits the amount of first lien consolidated debt to an EBITDA ratio subject to a step up following a material acquisition. In addition, the Credit Facility contains customary affirmative and negative covenants, including, subject to certain exceptions, restrictions on our ability to, among other things:</w:t>
      </w:r>
    </w:p>
    <w:p>
      <w:pPr>
        <w:spacing w:after="0" w:line="69" w:lineRule="exact"/>
        <w:rPr>
          <w:sz w:val="20"/>
          <w:szCs w:val="20"/>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mergers or make certain fundamental changes;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including dividends, distributions, stock repurchases or redemptions;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restrictive transactions.</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Credit Facility requires us to pledge as collateral, subject to certain customary exclusions, substantially all of our assets. The obligations under this facility are unconditionally guaranteed, subject to certain customary exclusions, on a senior basis by our material domestic subsidiaries. The guaranties are secured, subject to certain customary exclusions, by substantially all of each such guarantor's assets.</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On March 27, 2024, we entered into a $175.0 million first lien term loan facility (the “2024 Term Loan”), which matures on March 27, 2031. We drew $125.0 million of the 2024 Term Loan upon closing while the remaining $50.0 million will be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available as a delayed draw term loan until March 27, 2025. As of December 31, 2024, we had $115.6 million borrowings outstanding under the 2024 Term Loan.</w:t>
      </w:r>
    </w:p>
    <w:p>
      <w:pPr>
        <w:spacing w:after="0" w:line="5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The 2024 Term Loan has certain financial covenants which are tested on a quarterly basis. The covenants include a requirement for us to maintain a minimum cash balance of $40.0 million as of the last day of any fiscal quarter (or subject to certain conditions an average cash balance of $40.0 million based on the average cash balance as of the last day of each week during a fiscal quarter) and a minimum Consolidated EBITDA (as such term is defined in the 2024 Term Loan agreement dated as of March 27, 2024) based on the applicable quarter. In addition, the 2024 Term Loan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agreements of this type, all subject to certain exceptions.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In the event of a default in the minimum Consolidated EBITDA covenant, we are required to utilize the ATM Equity Program (as defined in the 2024 Term Loan agreement) to sell common stock and use the proceeds to cure the event of default in the minimum Consolidated EBITDA covenant.</w:t>
      </w:r>
    </w:p>
    <w:p>
      <w:pPr>
        <w:spacing w:after="0" w:line="55"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As security for its obligations under the facility, we granted a security interest to substantially all of our assets and the assets of our material subsidiaries, subject to certain exceptions.</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 xml:space="preserve">If an event of default occurs or if we otherwise fail to comply with any of the negative or affirmative covenants of the Credit Facility or the 2024 Term Loan,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Credit Facility and the 2024 Term Loan,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14—Debt, in the notes to the consolidated financial statements included elsewhere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spacing w:after="0" w:line="66"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such as acquiring other competitors, new products, or our advertising partners.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spacing w:after="0" w:line="52" w:lineRule="exact"/>
        <w:rPr>
          <w:sz w:val="20"/>
          <w:szCs w:val="20"/>
          <w:color w:val="auto"/>
        </w:rPr>
      </w:pPr>
    </w:p>
    <w:p>
      <w:pPr>
        <w:jc w:val="both"/>
        <w:ind w:firstLine="323"/>
        <w:spacing w:after="0" w:line="269" w:lineRule="auto"/>
        <w:rPr>
          <w:sz w:val="20"/>
          <w:szCs w:val="20"/>
          <w:color w:val="auto"/>
        </w:rPr>
      </w:pPr>
      <w:r>
        <w:rPr>
          <w:rFonts w:ascii="Times New Roman" w:cs="Times New Roman" w:eastAsia="Times New Roman" w:hAnsi="Times New Roman"/>
          <w:sz w:val="17"/>
          <w:szCs w:val="17"/>
          <w:color w:val="auto"/>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and other resiliency measures in place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spacing w:after="0" w:line="66" w:lineRule="exact"/>
        <w:rPr>
          <w:sz w:val="20"/>
          <w:szCs w:val="20"/>
          <w:color w:val="auto"/>
        </w:rPr>
      </w:pPr>
    </w:p>
    <w:p>
      <w:pPr>
        <w:jc w:val="both"/>
        <w:ind w:firstLine="323"/>
        <w:spacing w:after="0" w:line="267" w:lineRule="auto"/>
        <w:rPr>
          <w:sz w:val="20"/>
          <w:szCs w:val="20"/>
          <w:color w:val="auto"/>
        </w:rPr>
      </w:pPr>
      <w:r>
        <w:rPr>
          <w:rFonts w:ascii="Times New Roman" w:cs="Times New Roman" w:eastAsia="Times New Roman" w:hAnsi="Times New Roman"/>
          <w:sz w:val="17"/>
          <w:szCs w:val="17"/>
          <w:color w:val="auto"/>
        </w:rPr>
        <w:t>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have occurred in the past and may occur in the future, and have in the past resulted in, and could in the future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Such claims could result in state and/or federal litigation and related financial liabilities, as well as criminal penalties or civil liabilities, regulatory actions from state and/or federal governmental authorities, and significant fines, orders, sanctions, litigation and claims against us by consumers or third parties and related indemnification obligations. Actual or perceived security breaches or failures also have in the past caused, and may in the future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spacing w:after="0" w:line="73" w:lineRule="exact"/>
        <w:rPr>
          <w:sz w:val="20"/>
          <w:szCs w:val="20"/>
          <w:color w:val="auto"/>
        </w:rPr>
      </w:pPr>
    </w:p>
    <w:p>
      <w:pPr>
        <w:jc w:val="both"/>
        <w:ind w:firstLine="323"/>
        <w:spacing w:after="0" w:line="251" w:lineRule="auto"/>
        <w:rPr>
          <w:sz w:val="20"/>
          <w:szCs w:val="20"/>
          <w:color w:val="auto"/>
        </w:rPr>
      </w:pPr>
      <w:r>
        <w:rPr>
          <w:rFonts w:ascii="Times New Roman" w:cs="Times New Roman" w:eastAsia="Times New Roman" w:hAnsi="Times New Roman"/>
          <w:sz w:val="18"/>
          <w:szCs w:val="18"/>
          <w:color w:val="auto"/>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spacing w:after="0" w:line="88"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8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past, existing or new laws, rules and regulations, or to obtain and maintain required licenses, could materially and adversely affect our business, financial condition and results of operations.</w:t>
      </w:r>
    </w:p>
    <w:p>
      <w:pPr>
        <w:spacing w:after="0" w:line="52"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administrative fines or proceedings against us or our businesses by governmental agencies and/or litigation by consumers, which could materially and adversely affect our business, financial condition and results of operations and our brand.</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RESPA, and various state telemarketing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Additional federal, state and in some instances, local laws regulate secured and unsecured lending, and insurance brokerage activities, which impacts our marketplace, partners and consumers. These laws generally regulate the manner in which lending and lending-related activities, as well as insurance brokerage activities, are marketed or made available, including advertising and other consumer disclosures, payments for services and record 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Our businesses are also subject to various state, federal and/or local laws, rules and regulations limiting or prohibiting inducements, cash rebates and gifts to consumers, which impacts our lead generation business,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Pursuant to the Dodd-Frank Act, the CFPB administers and enforces RESPA, and from time to time issues guidance related to various RESPA compliance topics (see, e.g. CFPB Advisory Opinion “Real Estate Settlement Procedures Act (Regulation X); Digital Mortgage Comparison-Shopping Platforms and Related Payments to Operators” (February 7, 2023)). Some state authorities have also asserted enforcement rights.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 RESPA and related regulations do, however, contain a number of provisions that allow for payments between unaffiliated entities, including market-based fees for the provision of non-referral goods, services or facilities and advertising arrangements. In addition, RESPA allows for referrals to affiliated entities, including joint ventures, when specific requirements have been met. We rely on these provisions in conducting our business activities.</w:t>
      </w:r>
    </w:p>
    <w:p>
      <w:pPr>
        <w:spacing w:after="0" w:line="78"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231F20"/>
        </w:rPr>
        <w:t xml:space="preserve">Violations of </w:t>
      </w:r>
      <w:r>
        <w:rPr>
          <w:rFonts w:ascii="Times New Roman" w:cs="Times New Roman" w:eastAsia="Times New Roman" w:hAnsi="Times New Roman"/>
          <w:sz w:val="18"/>
          <w:szCs w:val="18"/>
          <w:color w:val="000000"/>
        </w:rPr>
        <w:t>RESPA</w:t>
      </w:r>
      <w:r>
        <w:rPr>
          <w:rFonts w:ascii="Times New Roman" w:cs="Times New Roman" w:eastAsia="Times New Roman" w:hAnsi="Times New Roman"/>
          <w:sz w:val="18"/>
          <w:szCs w:val="18"/>
          <w:color w:val="231F20"/>
        </w:rPr>
        <w:t xml:space="preserve"> or similar state statutes can lead to claims of substantial damages, which may include (but are not limited to) fines, treble damages and attorneys' fees, government enforcement actions, civil and criminal liability, or other remedies. </w:t>
      </w:r>
      <w:r>
        <w:rPr>
          <w:rFonts w:ascii="Times New Roman" w:cs="Times New Roman" w:eastAsia="Times New Roman" w:hAnsi="Times New Roman"/>
          <w:sz w:val="18"/>
          <w:szCs w:val="18"/>
          <w:color w:val="000000"/>
        </w:rPr>
        <w:t>We diligently monitor and assess new regulatory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guidance, enforcement actions and court interpretations of RESPA as part of our ongoing compliance management program and devote substantial resources and management attention to regulatory compliance in light of such developments</w:t>
      </w:r>
      <w:r>
        <w:rPr>
          <w:rFonts w:ascii="Times New Roman" w:cs="Times New Roman" w:eastAsia="Times New Roman" w:hAnsi="Times New Roman"/>
          <w:sz w:val="18"/>
          <w:szCs w:val="18"/>
          <w:color w:val="231F20"/>
        </w:rPr>
        <w:t>.</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Various federal, state and, in some instances, local, laws also prohibit unfair, deceptive and abusive marketing and sales practices. We have adopted appropriate policies and procedures to address these requirements (such as appropriate consumer disclosures and call scripting, call monitoring and other quality assurance and compliance measures), but it is not possible to ensure that all employees comply with our policies and procedures at all times.</w:t>
      </w:r>
    </w:p>
    <w:p>
      <w:pPr>
        <w:spacing w:after="0" w:line="6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Regulatory authorities and private plaintiffs may allege that we failed to comply with applicable laws, rules and regulations where we believe we have complied. These allegations may relate to past conduct and/or past business operations.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spacing w:after="0" w:line="79" w:lineRule="exact"/>
        <w:rPr>
          <w:sz w:val="20"/>
          <w:szCs w:val="20"/>
          <w:color w:val="auto"/>
        </w:rPr>
      </w:pPr>
    </w:p>
    <w:p>
      <w:pPr>
        <w:jc w:val="both"/>
        <w:ind w:firstLine="323"/>
        <w:spacing w:after="0" w:line="273" w:lineRule="auto"/>
        <w:rPr>
          <w:sz w:val="20"/>
          <w:szCs w:val="20"/>
          <w:color w:val="auto"/>
        </w:rPr>
      </w:pPr>
      <w:r>
        <w:rPr>
          <w:rFonts w:ascii="Times New Roman" w:cs="Times New Roman" w:eastAsia="Times New Roman" w:hAnsi="Times New Roman"/>
          <w:sz w:val="17"/>
          <w:szCs w:val="17"/>
          <w:color w:val="auto"/>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spacing w:after="0" w:line="66"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including the GLBA, that are intended to protect the privacy of personal information that is collected, used, stored, disclosed, transferred and otherwise processed in or from the governing jurisdiction. Some countries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security worldwide is continuously evolving and developing and, as a result, interpretation and implementation standards and enforcement practices are likely to remain uncertain for the foreseeable future.</w:t>
      </w:r>
    </w:p>
    <w:p>
      <w:pPr>
        <w:spacing w:after="0" w:line="55" w:lineRule="exact"/>
        <w:rPr>
          <w:sz w:val="20"/>
          <w:szCs w:val="20"/>
          <w:color w:val="auto"/>
        </w:rPr>
      </w:pPr>
    </w:p>
    <w:p>
      <w:pPr>
        <w:jc w:val="both"/>
        <w:ind w:firstLine="323"/>
        <w:spacing w:after="0" w:line="250"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CFPB and FTC, have adopted, or are considering adopting, laws and regulations concerning personal information and data privacy and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are subject to the GLBA, which restricts certain collection, storage, use, disclosure and other processing by covered companies of certain personal information, requires notice to individuals of privacy practices and provides individuals with certain rights to prevent the use and disclosure of certain non-public or otherwise legally protected personal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California Consumer Privacy Act (the “CCPA”), as amended by the California Privacy Rights Act ("CPRA"), requires covered companies to, among other things, provide certain disclosures to California residents and provide such residents with certain data protection and privacy rights, including the ability to opt-out of certain sales of personal information. The CCPA provides for civil penalties for violations, as well as a private right of action for certain data breaches that result in the loss of certain personal information. This private right of action may increase the likelihood of, and risks associated with, data breach litigation. The CCPA contains several exemptions, including a provision to the effect that the CCPA does not apply where the personal information is collected, processed, sold or disclosed pursuant to the GLBA. It is possible that further amendments to the CCPA will be enacted, but even in their current forms it remains unclear how various provisions of the CCPA will be interpreted and enforced. Numerous other states also have enacted or are in the process of enacting state-level data privacy and security laws and regulations and there is discussion in Congress of a new federal data protection and privacy law to which we may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95"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Many regulatory and statutory requirements, both in the United States and abroad, include obligations for companies to notify individuals of data breaches involving certain personal information, which have in the past resulted from, and may in the future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costly. Moreover, states have been frequently amending existing laws, requiring attention to changing regulatory requirements. We also may be contractually required to notify consumers or other third parties of a security breach. Although we may have contractual protections with our external service providers, actual or perceived security breaches have in the past resulted in, and may in the future result in, harm to our reputation and brand, exposure to potential liability or a need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spacing w:after="0" w:line="84" w:lineRule="exact"/>
        <w:rPr>
          <w:sz w:val="20"/>
          <w:szCs w:val="20"/>
          <w:color w:val="auto"/>
        </w:rPr>
      </w:pPr>
    </w:p>
    <w:p>
      <w:pPr>
        <w:jc w:val="both"/>
        <w:ind w:firstLine="323"/>
        <w:spacing w:after="0" w:line="251"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spacing w:after="0" w:line="7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or our Network Partners or external service providers to comply with our posted privacy policies or with any applicable federal, state or foreign laws, regulations, standards, certifications or orders relating to data privacy or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spacing w:after="0" w:line="52"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our business and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w:t>
      </w:r>
    </w:p>
    <w:p>
      <w:pPr>
        <w:spacing w:after="0" w:line="8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52"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The impact of the changes in tax legislation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rules or regulatory or judicial interpretations (including any attempt to tax online services such as those offered by us);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As of December 31, 2024, we had pre-tax consolidated federal net operating losses (“NOLs”) of $103.0 million. The federal NOLs no longer expire under the Tax Cuts and Jobs Act (“TCJA”). Our NOLs will be available to offset taxable income subject to the limitations found in Internal Revenue Code Sections 382 and 383. In addition, we have state NOLs of approximately $428.6 million at December 31, 2024, some of which will expire at various times between 2025 and 2044. The state NOLs could expire before we are able to utilize them. If we experience one or more ownership changes in the future as a result of future transactions in our stock, our ability to utilize NOLs could be limited. Our ability to use our federal NOLs was limited on an annual basis by the TCJA. This limitation was deferred for tax years 2019 and 2020 by the 2020 Coronavirus Aid, Relief, and Economic Security (“CARES”) Act. Our ability to use certain of our state NOLs was limited on an annual basis in various jurisdictions by legislative updates specific to the individual jurisdictions.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5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or we may disagree that our products or services 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Patent litigation tends to be particularly protracted and expensive. Our technologies may not be able to withstand any third-party claims against their use.</w:t>
      </w:r>
    </w:p>
    <w:p>
      <w:pPr>
        <w:spacing w:after="0" w:line="8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spacing w:after="0" w:line="79" w:lineRule="exact"/>
        <w:rPr>
          <w:sz w:val="20"/>
          <w:szCs w:val="20"/>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or rebrand the allegedly infringing products or services to avoid infringement, misappropriation or violation, which could be costly, time-consuming or impossible.</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Any litigation of this nature, regardless of outcome or merit, could result in substantial costs and diversion of management and technical resources, any of which could materially and adversely impact our business, financial condition and results of operations.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spacing w:after="0" w:line="5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w:t>
      </w:r>
    </w:p>
    <w:p>
      <w:pPr>
        <w:spacing w:after="0" w:line="7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7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We have been granted one U.S. patent and from time to time we may have patent applications pending with the USPTO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spacing w:after="0" w:line="82" w:lineRule="exact"/>
        <w:rPr>
          <w:sz w:val="20"/>
          <w:szCs w:val="20"/>
          <w:color w:val="auto"/>
        </w:rPr>
      </w:pPr>
    </w:p>
    <w:p>
      <w:pPr>
        <w:jc w:val="both"/>
        <w:ind w:firstLine="323"/>
        <w:spacing w:after="0" w:line="269" w:lineRule="auto"/>
        <w:rPr>
          <w:sz w:val="20"/>
          <w:szCs w:val="20"/>
          <w:color w:val="auto"/>
        </w:rPr>
      </w:pPr>
      <w:r>
        <w:rPr>
          <w:rFonts w:ascii="Times New Roman" w:cs="Times New Roman" w:eastAsia="Times New Roman" w:hAnsi="Times New Roman"/>
          <w:sz w:val="17"/>
          <w:szCs w:val="17"/>
          <w:color w:val="auto"/>
        </w:rPr>
        <w:t xml:space="preserve">Any patents, trademarks or other intellectual property rights that we have or may obtain may be challenged or circumvented by others or invalidated or held unenforceable through administrative process, including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spacing w:after="0" w:line="66"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 the ordinary course of business, we are party to litigation involving contract, intellectual property and a variety of other claims, which could adversely affect our business and financial condition.</w:t>
      </w:r>
    </w:p>
    <w:p>
      <w:pPr>
        <w:spacing w:after="0" w:line="52"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are involved in various legal proceedings and claims which have involved and may in the future involve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consolidated financial statements may be harmed by improper conduct by our business partners.</w:t>
      </w:r>
    </w:p>
    <w:p>
      <w:pPr>
        <w:spacing w:after="0" w:line="11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and security.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liability against us, claims of vicarious liability or a negative impact on our reputation and business.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Network Partners fail to produce required documents for examination by, or other affiliated parties fail to make certain filings with, state regulators, we may be subject to fines, forfeitures and the revocation of required licenses.</w:t>
      </w:r>
    </w:p>
    <w:p>
      <w:pPr>
        <w:spacing w:after="0" w:line="5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Some of the states in which our businesses maintain licenses require us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consolidated financial statements for prior periods and a decline in the market price of our stock.</w:t>
      </w:r>
    </w:p>
    <w:p>
      <w:pPr>
        <w:spacing w:after="0" w:line="7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In addition, our current internal controls and any new controls we implement may become inadequate because of changes in conditions in our business or information technology systems or changes in the applicable laws, regulations and standards. We may, in the future, acquire or invest in companies that were not subject to the Sarbanes-Oxley regulations prior to acquisition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certain investments 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common stock. In addition, if we are unable to continue to meet these requirements, we may not be able to remain listed on the Nasdaq stock market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the Foreign Corrupt Practices Act (“FCPA”), which could have a material adverse effect on our business.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regulation of the Internet, mobile carriers and their partners could negatively affect our business.</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be impacted. We may also be disadvantaged by the adverse effect of any delays or cancellations of private sector or government initiatives designed to expand broadband access. The reduction in the growth of, or a decline in, broadband and Internet access poses a risk to us.</w:t>
      </w:r>
    </w:p>
    <w:p>
      <w:pPr>
        <w:spacing w:after="0" w:line="78"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possibility of additional future regulations, changing rule interpretations and examinations by regulatory agencies may result in more stringent compliance standards and could adversely affect the results of our operations.</w:t>
      </w:r>
    </w:p>
    <w:p>
      <w:pPr>
        <w:spacing w:after="0" w:line="52"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Common Stock</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quarter-to-quarter earnings and other factors may result in significant decreases in the price of our common stock.</w:t>
      </w:r>
    </w:p>
    <w:p>
      <w:pPr>
        <w:spacing w:after="0" w:line="5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market price for our common stock has been volatile. From when we became a publicly-traded company to as of December 31, 2024,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spacing w:after="0" w:line="74" w:lineRule="exact"/>
        <w:rPr>
          <w:sz w:val="20"/>
          <w:szCs w:val="20"/>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frequent new product introductions and evolving industry standards;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and financial results or our projected operating and financial results;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earnings estimates;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Network Partners or our industry;</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preferred or common stock we may issue in the future;</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actions by stockholders, including “activist” investors;</w:t>
      </w:r>
    </w:p>
    <w:p>
      <w:pPr>
        <w:spacing w:after="0" w:line="115"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companies in our industry, including our Network Partners and competitors;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dispositions, strategic partnerships, joint ventures or capital commitments;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one or more large, well-established technology companies;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data center, website and internet failures, breaches and service interruptions;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including the short selling of our common stock;</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affecting our industry or enforcement of these laws and regulations, or announcements relating to these matters;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ligation;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w:t>
      </w:r>
    </w:p>
    <w:p>
      <w:pPr>
        <w:spacing w:after="0" w:line="11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inaccurate or unfavorable research about our business, our stock price and trading volume could decline.</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One holder of our common stock owns a substantial portion of our outstanding common stock, which concentrates voting control and limits your ability to influence corporate matters.</w:t>
      </w:r>
    </w:p>
    <w:p>
      <w:pPr>
        <w:spacing w:after="0" w:line="5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As of March 6, 2025, Douglas Lebda, our Chairman and Chief Executive Officer, beneficially owned approximately 21% of our outstanding common stock. Additionally, Mr. Lebda holds restricted stock unit awards representing 53,334 shares and options to purchase up to 284,261 shares of our common stock that are not included in beneficial ownership because Mr. Lebda does not have the right to acquire them within 60 days of March 6, 2025. If these restricted stock units were to settle and these options were exercisable, they would represent additional beneficial ownership of approximately 2% of our outstanding common stock.</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Therefore, for the foreseeable future, Mr. Lebda will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may not necessarily align with the interests of our other stockholders. Mr. Lebda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existing stockholders may cause our stock price to fall.</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stockholders to replace or remove our management and affect the market price of our common stock.</w:t>
      </w:r>
    </w:p>
    <w:p>
      <w:pPr>
        <w:spacing w:after="0" w:line="52"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and restated (“bylaws”), may have the effect of delaying or preventing a change of control or changes in our management. Our amended and restated certificate of incorporation and/or bylaws include provisions that:</w:t>
      </w:r>
    </w:p>
    <w:p>
      <w:pPr>
        <w:spacing w:after="0" w:line="55" w:lineRule="exact"/>
        <w:rPr>
          <w:sz w:val="20"/>
          <w:szCs w:val="20"/>
          <w:color w:val="auto"/>
        </w:rPr>
      </w:pPr>
    </w:p>
    <w:p>
      <w:pPr>
        <w:ind w:left="660" w:hanging="330"/>
        <w:spacing w:after="0" w:line="280" w:lineRule="auto"/>
        <w:tabs>
          <w:tab w:leader="none" w:pos="652"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authorize our board of directors to issue, without further action by our stockholders, up to 5,000,000 shares of undesignated preferred stock, sometimes referred to as “blank check preferred”;</w:t>
      </w:r>
    </w:p>
    <w:p>
      <w:pPr>
        <w:spacing w:after="0" w:line="54"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the affirmative vote of a majority of directors then in office or by the sole remaining director;</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board of directors may change the size of our board of directors;</w:t>
      </w:r>
    </w:p>
    <w:p>
      <w:pPr>
        <w:spacing w:after="0" w:line="115"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may be called only by or at the direction of our board of directors or by a person specifically designated with such authority by the board; and</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taking action by written consent.</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substantially all disputes between the Company and its stockholders, which could limit stockholders’ ability to obtain a favorable judicial forum for disputes with our Company or our directors, officers or employees.</w:t>
      </w:r>
    </w:p>
    <w:p>
      <w:pPr>
        <w:spacing w:after="0" w:line="215"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sole and exclusive forum for: (i) any derivative action or proceeding brought on behalf of us, (ii) any action asserting a claim of breach of a fiduciary duty owed by any director, officer or other employee of our Company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8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result in increased costs to our stockholders, which may discourage such lawsuits against us and our directors, officers and other employees. Alternatively, if a court were to find our choice of forum provisions contained in our bylaws to be inapplicable or unenforceable in an action, we may incur additional costs associated with resolving such action in other jurisdictions,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common stock in the foreseeable future.</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 xml:space="preserve">We have not declared or paid a cash dividend on our common stock in over ten years. We have no current intention to declare or pay cash dividends on our common stock in the foreseeable future. In addition, the Credit Facility and the 2024 Term Loan contain certain restrictions on our ability to pay dividends.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fluctuate as a result of seasonality, which may make it difficult to predict our future performance and may adversely affect our common stock price.</w:t>
      </w:r>
    </w:p>
    <w:p>
      <w:pPr>
        <w:spacing w:after="0" w:line="52"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 xml:space="preserve">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1. Business—Seasonality included elsewhere in this Annual Report for more information. Any of these seasonal trends, or the combination of them, may negatively impact the price of our common stock.</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our outstanding convertible senior notes, if triggered, may adversely affect our financial condition and operating results.</w:t>
      </w:r>
    </w:p>
    <w:p>
      <w:pPr>
        <w:spacing w:after="0" w:line="5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If the conditional conversion feature of our 0.50% Convertible Senior Notes due July 15, 2025 (the “Notes”) is triggered, holders of Notes will be entitled to convert the Notes at any time during specified periods at their option. Convertibility for each quarter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respective indentures governing the Notes, which are incorporated by reference as an exhibit to this Annual Report.</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5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pay off the Notes with our current cash and future cash flow, combined with our borrowing capacity under our current Credit Facility and 2024 Term Loan, or raise the funds necessary to pay off the Notes upon their maturity in July 2025.</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Notes mature on July 15, 2025, unless earlier repurchased, redeemed or converted. As of December 31, 2024, $115 million of the Notes were</w:t>
      </w:r>
    </w:p>
    <w:p>
      <w:pPr>
        <w:spacing w:after="0" w:line="4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outstanding. We may not have enough available cash or availability under our Credit Facility or 2024 Term Loan or be able to obtain financing at the time the Notes mature, which could harm our reputation and affect the trading price of our common stock. Additional funding may not be available to us on</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acceptable terms or at all. Our ability to obtain additional debt will depend on a number of factors, including market conditions, interest rates, our operating performance, our credit rating and lender or investor interest.</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settle the Notes in shares, then existing stockholders could experience substantial dilution.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hedge and warrant transactions may affect the value of the Notes and our common stock.</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$709.52 for the warrants associated with the Notes.</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equity, debt or other financing in the future, which we may not be able to obtain on acceptable terms, or at all, and any additional financing may result in restrictions on our operations or substantial dilution to our stockholders.</w:t>
      </w:r>
    </w:p>
    <w:p>
      <w:pPr>
        <w:spacing w:after="0" w:line="5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and 2024 Term Loan limit our ability to incur additional indebtedness, these restrictions are subject to a number of qualifications and exceptions and may be amended with the consent of our lenders. Accordingly, under certain circumstances, we may incur substantial additional debt.</w:t>
      </w:r>
    </w:p>
    <w:p>
      <w:pPr>
        <w:spacing w:after="0" w:line="74"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consummated or that it will enhance long-term stockholder value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Although we have a plan authorized for the repurchase of our common stock, we cannot guarantee that the stock repurchase program will be fully consummated or that it will enhance long-term stockholder value. Our ability to repurchase stock is limited by our Credit Facility and 2024 Term Loan. The program could affect the trading price of our stock and increase volatility, and any announcement of a termination or change of this program may result in a decrease in the trading price of our stock. In addition, any purchases made under this program may diminish our cash reserves. There were no repurchases during the years ended December 31, 2024 and 2023. During the year ended December 31, 2022 we purchased 379,895 shares of our common stock for $43.0 million. At December 31, 2024, $96.7 million remains authorized for share repurchase.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indefinite-lived intangible assets become impaired, we may be required to record a significant charge to earnings.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estimates and slower growth rates in our industry or our customers’ industries. We may be required to record a significant charge in our consolidated financial statements during a period in which any impairment of our goodwill or indefinite-lived intangible assets is determined, negatively impacting our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fair value of our equity investments decrease, we will be required to record a significant charge to earnings.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equity investments do not have readily determinable fair values and, upon acquisition, we elected the measurement alternative to value these securities. These equity securities are carried at cost less impairment, if any, and subsequently measured to fair value upon observable price changes in an orderly transaction for the identical or similar investments with any gains or losses recorded in operating income in the consolidated statement of operations. If there is an observable price change that indicates a decrease in the fair value of our equity investments, we will be required to record a significant charge in our consolidated financial statements, negatively impacting our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may adversely affect our operating results.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Under GAAP, when we acquire businesses, we allocate the purchase price to tangible assets and liabilities and identifiable intangible assets acquired at their acquisition date fair values. Any residual purchase price is recorded as goodwill. We also 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spacing w:after="0" w:line="79" w:lineRule="exact"/>
        <w:rPr>
          <w:sz w:val="20"/>
          <w:szCs w:val="20"/>
          <w:color w:val="auto"/>
        </w:rPr>
      </w:pPr>
    </w:p>
    <w:p>
      <w:pPr>
        <w:ind w:left="660" w:hanging="330"/>
        <w:spacing w:after="0" w:line="28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or relocation expenses;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useful lives of intangible assets acquired;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or changes to, assumed contingent liabilities;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of any contingent consideration;</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duplicative pre-merger activities;</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from expenses incurred to effect the acquisition;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due to the expensing of certain stock awards assumed in an acquisition.</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119"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Cybersecurity risk oversight is a top priority for management and our board of directors. Management is responsible for the day-to-day management of cybersecurity risks we face, while our board of directors, as a whole and through committees, is responsible for the oversight of risk management.</w:t>
      </w:r>
    </w:p>
    <w:p>
      <w:pPr>
        <w:spacing w:after="0" w:line="55"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Our Chief Information Security Officer (“CISO”) is responsible for the assessment and management of cybersecurity risk. The individual currently serving as our CISO has over twenty-five years of experience in cybersecurity, information security, and risk management within the financial services industry. The CISO reports to our Chief Executive Officer (“CEO”) and provides updates to him on a regular basis of any cybersecurity matters.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44"/>
        <w:spacing w:after="0" w:line="256" w:lineRule="auto"/>
        <w:rPr>
          <w:sz w:val="20"/>
          <w:szCs w:val="20"/>
          <w:color w:val="auto"/>
        </w:rPr>
      </w:pPr>
      <w:r>
        <w:rPr>
          <w:rFonts w:ascii="Times New Roman" w:cs="Times New Roman" w:eastAsia="Times New Roman" w:hAnsi="Times New Roman"/>
          <w:sz w:val="18"/>
          <w:szCs w:val="18"/>
          <w:color w:val="auto"/>
        </w:rPr>
        <w:t>Our board of directors oversees the management of our risks from cybersecurity threats. The board of directors has delegated the responsibility for the oversight of our cybersecurity risks program to the Audit Committee. The CISO provides cybersecurity updates to our Audit Committee as needed but at least on a quarterly basis covering cybersecurity matters, including a security scorecard, updates on policies, significant incidents or new developments in our cybersecurity risk profile. Our incident response process contemplates that management will notify the audit committee of a material cybersecurity incident.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11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Cybersecurity is critical to our ongoing business as a provider of online marketplaces where consumers shop for financial services. Securing our business information, intellectual property, consumer, customer and employee data and technology systems is essential for the continuity of our business, meeting applicable regulatory requirements and maintaining the trust of our stakeholders.</w:t>
      </w:r>
    </w:p>
    <w:p>
      <w:pPr>
        <w:spacing w:after="0" w:line="69"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17"/>
          <w:szCs w:val="17"/>
          <w:color w:val="auto"/>
        </w:rPr>
        <w:t>To help protect the Company from a major cybersecurity incident that could have a material impact on operations or our financial results, we have implemented policies, procedures, programs and controls, including technology investments that focus on cybersecurity incident prevention, identification and mitigation. The steps we take to reduce our vulnerability to cyberattacks and to mitigate impacts from cybersecurity incidents include but are not limited to: establishing information security policies and standards, implementing information protection processes and technologies, monitoring our information technology systems for cybersecurity threats, assessing cybersecurity risk profiles of key third-parties, engaging third party experts and implementing cybersecurity training for our employees. Our cybersecurity risk management program leverages the National Institute of Standards and Technology (“NIST”) framework, which organizes cybersecurity risks into five categories: identify, protect, detect, respond and recover. We regularly assess the threat landscape and take a holistic view of cybersecurity risks, with a layered cybersecurity strategy based on prevention, detection and mitigation.</w:t>
      </w:r>
    </w:p>
    <w:p>
      <w:pPr>
        <w:spacing w:after="0" w:line="6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We regularly test defenses by performing simulations and drills at both a technical level (including through penetration tests) and by reviewing our operational policies and procedures. At the management level, our IT security team regularly monitors alerts and meets to discuss threat levels, trends and remediation. The team also prepares a monthly cyber scorecard, regularly collects data on cybersecurity threats and risk areas and conducts an annual cybersecurity risk assessment. Further, we conduct periodic external penetration tests to assess our processes and procedures and the threat landscape. These tests and assessments are useful tools for maintaining a cybersecurity program to protect our investors, consumers, customers, employees, vendors, and intellectual property.</w:t>
      </w:r>
    </w:p>
    <w:p>
      <w:pPr>
        <w:spacing w:after="0" w:line="78"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Additionally, we follow a cybersecurity incident response process that provides a framework for responding to cybersecurity incidents. The process identifies applicable requirements for incident disclosure and reporting and also provides protocols for incident evaluation, including the use of third-party service providers and partners, processes for notification and internal escalation of information to our senior management, the Board and the audit committee. It also addresses requirements for our external reporting obligations. The cybersecurity incident response process is reviewed and updated, as necessary, under the leadership of the Company’s Chief Information Security Officer and General Counsel.</w:t>
      </w:r>
    </w:p>
    <w:p>
      <w:pPr>
        <w:spacing w:after="0" w:line="7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We face a number of cybersecurity risks in connection with our business. Although we did not experience a material cybersecurity incident during the year ended December 31, 2024, the scope and impact of any future incident cannot be predicted. Notwithstanding the approach we take to cybersecurity, we may not be successful in preventing or mitigating a cybersecurity incident that could have a material adverse effect on our business, results of operations, or financial condition. See “Item 1A. Risk Factors” for more information on our cybersecurity-related risks.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Our principal executive offices are located on approximately 161,000 square feet of office space in Charlotte, North Carolina under a lease that expires in 2036.</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operate offices in: Denver, Colorado; Seattle, Washington; Ahmedabad, India; and Hyderabad, India.</w:t>
      </w:r>
    </w:p>
    <w:p>
      <w:pPr>
        <w:spacing w:after="0" w:line="11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Our Charlotte operations support all three of our segments: Home, Consumer and Insurance. The Consumer segment has personnel in the Ahmedabad and Hyderabad offices. The Insurance segment has personnel in the Denver and Seattle offices.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recovered in such matters may be subject to insurance coverage. On or about October 29, 2019, Joseph Mantha filed a class action lawsuit against QuoteWizard.com, LLC alleging claims in violation of the Telephone Consumer Protection Act. On August 16, 2024, the U.S. District Court of Massachusetts granted the plaintiff’s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motion to certify a class. Mediation in November 2024 was not successful.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Contingencies in the notes to the consolidated financial statements included elsewhere in this report for a discussion of our current and recently settled litigation.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Information, Holders and Dividends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ticker symbol “TREE” since August 2008.</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As of February 28, 2025, there were approximately 438 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have no current intention to declare or pay cash dividends on our common stock in the foreseeable future. The declaration, payment and amount of future cash dividends, if any, will be at the discretion of our board of directors.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7"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i w:val="1"/>
          <w:iCs w:val="1"/>
          <w:color w:val="auto"/>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spacing w:after="0" w:line="5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Set forth below is a line graph, for the period from December 31, 2019 through December 31, 2024,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58420</wp:posOffset>
            </wp:positionV>
            <wp:extent cx="5426710" cy="4505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26710" cy="45053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19" w:lineRule="exact"/>
        <w:rPr>
          <w:sz w:val="20"/>
          <w:szCs w:val="20"/>
          <w:color w:val="auto"/>
        </w:rPr>
      </w:pPr>
    </w:p>
    <w:p>
      <w:pPr>
        <w:jc w:val="both"/>
        <w:ind w:firstLine="323"/>
        <w:spacing w:after="0" w:line="279" w:lineRule="auto"/>
        <w:rPr>
          <w:sz w:val="20"/>
          <w:szCs w:val="20"/>
          <w:color w:val="auto"/>
        </w:rPr>
      </w:pPr>
      <w:r>
        <w:rPr>
          <w:rFonts w:ascii="Times New Roman" w:cs="Times New Roman" w:eastAsia="Times New Roman" w:hAnsi="Times New Roman"/>
          <w:sz w:val="17"/>
          <w:szCs w:val="17"/>
          <w:color w:val="auto"/>
        </w:rPr>
        <w:t>Pursuant to Mr. Lebda’s employment agreement, in lieu of receiving cash payment in respect of Mr. Lebda’s base salary, Mr. Lebda elected to receive a portion of his 2024 base salary in Company stock. During the year ended December 31, 2024, the Company agreed to issue and Mr. Lebda agreed to accept 7,193 shares of the Company’s common stock. This amount represents the net (after tax withholding) amount of Mr. Lebda’s salary during a portion of the year ended December 31, 2024. The issuance of these securities was exempt from registration pursuant to Section 4(a)(2) of the Securities Act of 1933.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Our 2024 Term Loan limits stock repurchases. During the quarter ended December 31, 2024, no shares of common stock were repurchased under the stock repurchase program. As of December 31, 2024 and February 28, 2025, approximately $96.7 million is authorized for future share repurchases.</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approved by our stockholders on June 21, 2023,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2024, 2,601 shares were purchased related to these obligations under the LendingTree 2023 Stock Plan. The withholding of those shares does not affect the dollar amount or number of shares that may be purchased under the stock repurchase program described above.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21"/>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4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tcPr>
          <w:p>
            <w:pPr>
              <w:jc w:val="center"/>
              <w:ind w:left="28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jc w:val="center"/>
              <w:ind w:right="221"/>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26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4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2"/>
        </w:trPr>
        <w:tc>
          <w:tcPr>
            <w:tcW w:w="2680" w:type="dxa"/>
            <w:vAlign w:val="bottom"/>
            <w:gridSpan w:val="2"/>
            <w:vMerge w:val="continue"/>
          </w:tcPr>
          <w:p>
            <w:pPr>
              <w:spacing w:after="0"/>
              <w:rPr>
                <w:sz w:val="17"/>
                <w:szCs w:val="17"/>
                <w:color w:val="auto"/>
              </w:rPr>
            </w:pPr>
          </w:p>
        </w:tc>
        <w:tc>
          <w:tcPr>
            <w:tcW w:w="208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b w:val="1"/>
                <w:bCs w:val="1"/>
                <w:color w:val="auto"/>
                <w:w w:val="99"/>
              </w:rPr>
              <w:t xml:space="preserve">Shares Purchased </w:t>
            </w:r>
            <w:r>
              <w:rPr>
                <w:rFonts w:ascii="Times New Roman" w:cs="Times New Roman" w:eastAsia="Times New Roman" w:hAnsi="Times New Roman"/>
                <w:sz w:val="18"/>
                <w:szCs w:val="18"/>
                <w:b w:val="1"/>
                <w:bCs w:val="1"/>
                <w:color w:val="auto"/>
                <w:w w:val="99"/>
                <w:vertAlign w:val="superscript"/>
              </w:rPr>
              <w:t>(1)</w:t>
            </w:r>
          </w:p>
        </w:tc>
        <w:tc>
          <w:tcPr>
            <w:tcW w:w="24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tcPr>
          <w:p>
            <w:pPr>
              <w:jc w:val="center"/>
              <w:ind w:left="288"/>
              <w:spacing w:after="0" w:line="201"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9"/>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10/1/24 - 10/31/24</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11/1/24 - 11/30/24</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8"/>
        </w:trPr>
        <w:tc>
          <w:tcPr>
            <w:tcW w:w="2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12/1/24 - 12/31/24</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9"/>
        </w:trPr>
        <w:tc>
          <w:tcPr>
            <w:tcW w:w="2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64"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October 2024, November 2024, and December 2024, 741 shares, 1,610 shares, and 250 shares, respectively (totaling 2,601 shares), were purchased to satisfy federal and state withholding obligations of our employees upon the settlement of restricted stock units and restricted stock awards, all in accordance with our 2023 Stock Plan and 2023 Inducement Grant Plan, as described above.</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5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Spring platform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see recommended credit score improvement actions, and loans or other products offered by LendingTree.</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inflationary pressures and interest rates, and any resulting impacts on our financial position and results of operations.</w:t>
      </w:r>
    </w:p>
    <w:p>
      <w:pPr>
        <w:spacing w:after="0" w:line="55"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2023, the challenging interest rate environment and inflationary pressures continued to present challenges for many of our mortgage, consumer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Our Consumer segment was also negatively impacted by economic conditions, with successive Federal Reserve rate increases having their intended effect of tightening financial conditions. The availability of credit contracted and lenders were less inclined to make loans in an environment with high inflation and significantly increased cost of capital. In our Insurance segment, demand from our carrier partners remained volatile for much of the year as they continued to deal with persistent industry headwinds. In the last months of 2023, we began to see advertising budgets from our carrier partners increase.</w:t>
      </w:r>
    </w:p>
    <w:p>
      <w:pPr>
        <w:spacing w:after="0" w:line="8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During 2024, the challenging interest rate environment and inflationary pressures have continued to present challenges for many of our mortgage lending partners. In our Home segment, mortgage rates remained relatively consistent in 2024, with the annual average mortgage rate in 2024 of 6.7% compared to 6.8% in 2023. However, these rates are more than doubled compared to the low annual average mortgage rates seen in 2021. The increased mortgage rates continue to cause reduced refinance volumes and continue to put pressure on purchase activity. Additionally, the restrictive lending conditions continue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pressure our Consumer segment. In our Insurance segment, demand from our carrier partners increased significantly in 2024 and we are optimistic about maintaining the strong performance in the Insurance segment as we head into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7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refinancings,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 and, accordingly, lenders receive more organic mortgage lead volume. Due to lower lender demand, our revenue earned per consumer typically decreases, but with correspondingly lower selling and marketing costs.</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1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According to Freddie Mac, 30-year mortgage interest rates increased significantly during 2022, from a monthly average of 3.45% in January 2022, ending at a monthly average of 6.36% in December 2022. During 2023, 30-year mortgage interest rates steadily increased from a monthly average of 6.27% in January 2023 to a high of 7.62% in October 2023 prior to decreasing at the end of the year, ending at a monthly average of 6.82% in December 2023. During 2024, 30-year mortgage interest rates remained relatively consistent, starting the year at a monthly average of 6.64% in January 2024 and ending at a monthly average of 6.72% in December 2024, with monthly high of 7.06% in May and a monthly low of 6.18% in September 2024.</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On a full-year basis, 30-year mortgage interest rates decreased to an average of 6.72% in 2024 compared to 6.80% in 2023, and increased from 5.33% in 2022.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400685</wp:posOffset>
            </wp:positionV>
            <wp:extent cx="5631180" cy="4044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1180" cy="404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of total mortgage origination dollars decreased to 15% in 2023 from 30% of total 2022 mortgage origination dollars from refinance due to the increase in average mortgage rates. Total refinance original dollars increased to 28% of total mortgage origination dollars in 2024 due to the decrease in average mortgage interest rates. Total refinance origination dollars decreased by 68% in 2023 over 2022 and increased 124% in 2024 over 2023. Industry-wide mortgage origination dollars decreased by 37% in 2023 over 2022 and increased 22% in 2024 over 2023.</w:t>
      </w:r>
    </w:p>
    <w:p>
      <w:pPr>
        <w:spacing w:after="0" w:line="13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Looking forward, the MBA is projecting 30-year mortgage interest rates to decrease slightly in 2025 to an average of 6.5%. According to MBA projections, the mix of mortgage origination dollars is expected to remain primarily with purchase mortgages with the refinance share representing just 31% for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According to Fannie Mae data, in 2022, existing home sales decreased by 17% compared to 2021 due to increased interest rates and limited inventory of homes. This trend continued into 2023 with existing home sales decreasing 19% compared to 2022 and decreased a further 1% in 2024 from 2023. Fannie Mae expects a 3% increase in existing home sales in 2025 compared to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LendingTree Spring</w:t>
      </w:r>
    </w:p>
    <w:p>
      <w:pPr>
        <w:spacing w:after="0" w:line="173"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consider certain metrics related to Spring set forth below to help us evaluate our business and growth trends and assess operational efficiencies. We believe our Spring platform drives repeat user engagement resulting in lower acquisition costs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increases consumer lifetime value. The calculation of the metrics discussed below may differ from other similarly titled metrics used by other companies, securities analysts or investors.</w:t>
      </w:r>
    </w:p>
    <w:p>
      <w:pPr>
        <w:spacing w:after="0" w:line="108"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continued to grow our user base and added 3.1 million new users in 2024, bringing cumulative active users to 31.3 million as of December 31, 2024. We calculate the number of Spring users at a period end as the number of users that had an active account at any point during the quarter that includes the period end date. Users that deactivated their accounts prior to the most recent quarter are no longer considered in the user base at the end of the most recent quarter. We attribute approximately $23.1 million of revenue, or 3% of total revenue, for the year ended December 31, 2024 to registered Spring users who initiated their transaction from the Spring platform. During 2024, approximately 0.9 million Spring users initiated a transaction from the Spring platform that contributed to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 and Hedge and Warrant Transactions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On July 24, 2020, we issued $575.0 million aggregate principal amount of our 0.50% Convertible Senior Notes due July 15, 2025 (the "2025 Notes") and, in connection therewith, entered into Convertible Note Hedge and Warrant transactions with respect to our common stock.</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On May 31, 2017, we issued $300.0 million aggregate principal amount of our 0.625% Convertible Senior Notes due June 1, 2022 and, in connection therewith, entered into Convertible Note Hedge and Warrant transactions with respect to our common stock. On July 24, 2020, a portion of the net proceeds from the issuance of the 2025 Notes was used to repurchase approximately $130.3 million principal amount of the 2022 Notes. A portion of the call spread transactions associated with the 2022 Notes was also terminated on July 24, 2020 in notional amounts corresponding to the principal amount of the 2022 Notes repurchased.</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On May 31, 2022, we drew $250.0 million on the Term Loan Facility. A portion of this was used to pay the outstanding balance of $169.7 million and interest on our 0.625% Convertible Senior Notes that matured on June 1, 2022. The remaining call spread transactions associated with the 2022 Notes terminated in 2022.</w:t>
      </w:r>
    </w:p>
    <w:p>
      <w:pPr>
        <w:spacing w:after="0" w:line="6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the second quarter of 2024, we repurchased approximately $161.3 million in principal amount of the 2025 Notes for $151.7 million plus accrued and unpaid interest of approximately $0.3 million. In the third quarter of 2024, we repurchased approximately $7.6 million in principal amount of the 2025 Notes for $7.2 million. In 2024, we recognized a gain on the extinguishment of debt of $10.1 million and a loss on the write-off of unamortized debt issuance costs of $1.1 million, both of which are included in interest (expense) income, net in the consolidated statements of operations and comprehensive income.</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In the first quarter of 2023, we repurchased approximately $190.6 million in principal amount of our 2025 Notes, through separate transactions with certain holders of the 2025 Notes, for $156.3 million plus accrued and unpaid interest of approximately $0.1 million. In the fourth quarter of 2023, we repurchased approximately $100.2 million in principal amount of our 2025 Notes, through separate transactions with certain holders of the 2025 Notes, for $81.2 million plus accrued and unpaid interest of approximately $0.2 million. In 2023, we recognized a gain on the extinguishment of debt of $53.3 million, a loss on the write-off of unamortized debt issuance costs of $3.2 million and incurred debt repayment costs of $1.6 million, all of which are included in interest income/expense, net in the consolidated statement of operations and comprehensive income.</w:t>
      </w:r>
    </w:p>
    <w:p>
      <w:pPr>
        <w:spacing w:after="0" w:line="76" w:lineRule="exact"/>
        <w:rPr>
          <w:sz w:val="20"/>
          <w:szCs w:val="20"/>
          <w:color w:val="auto"/>
        </w:rPr>
      </w:pPr>
    </w:p>
    <w:p>
      <w:pPr>
        <w:ind w:right="1680" w:firstLine="323"/>
        <w:spacing w:after="0" w:line="375" w:lineRule="auto"/>
        <w:rPr>
          <w:sz w:val="20"/>
          <w:szCs w:val="20"/>
          <w:color w:val="auto"/>
        </w:rPr>
      </w:pPr>
      <w:r>
        <w:rPr>
          <w:rFonts w:ascii="Times New Roman" w:cs="Times New Roman" w:eastAsia="Times New Roman" w:hAnsi="Times New Roman"/>
          <w:sz w:val="18"/>
          <w:szCs w:val="18"/>
          <w:color w:val="auto"/>
        </w:rPr>
        <w:t xml:space="preserve">For more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14—Debt, in the notes to the consolidated financial statements included elsewhere in this report. </w:t>
      </w:r>
      <w:r>
        <w:rPr>
          <w:rFonts w:ascii="Times New Roman" w:cs="Times New Roman" w:eastAsia="Times New Roman" w:hAnsi="Times New Roman"/>
          <w:sz w:val="18"/>
          <w:szCs w:val="18"/>
          <w:b w:val="1"/>
          <w:bCs w:val="1"/>
          <w:color w:val="auto"/>
        </w:rPr>
        <w:t>Cost Reductions and Simplification of Business</w:t>
      </w: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On March 24, 2023, we committed to a workforce reduction plan (the “Reduction Plan”), to reduce operating costs, which included the elimination of approximately 13% of the Company’s workforce. As a result of the Reduction Plan, we incurred approximately $5.3 million in severance charges in connection with the workforce reduction. Part of this Reduction Plan included the shut down of our LendingTree customer call center as well as our Medicare insurance agency operations within QuoteWizard. We estimate the Reduction Plan reduced annual compensation expense by approximately $14 million, comprised of $2 million in cost of revenue, $4 million in selling and marketing expense, $3 million in general and administrative expense, and $5 million in product development.</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During September 2023, we completed workforce reductions of 14 employees. We incurred $0.9 million in severance charges in connection with the workforce reductions, consisting of cash expenditures for employee separation costs of approximately $0.7 million and non-cash charges for the accelerated vesting of certain equity awards of approximately $0.2 million.</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Separately, we made the decision to close our Ovation credit services business, an asset group within our Consumer segment, by mid- 2023. As a result, the Company recorded an asset impairment charge of $4.2 million in 2023 related to the write-off of certain long-term assets. Additionally, we incurred $2.1 million in severance charges in 2023 in connection with cash expenditures for employee separation costs. We acquired Ovation in 2018 to better serve those customers who come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LendingTree and receive suboptimal offers of credit. The business grew for a number of years before running into challenges in the wake of COVID-19, and more recently the industry has faced increased regulatory pressure. The business was capital-intensive, required elevated overhead, and future prospects were becoming uncertain.</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Our revenue and earnings may fluctuate from time to time as a result of changes to federal, state, and industry-based laws and regulations, or changes to standards concerning the enforcement thereof. On January 26, 2024, the U.S. Federal Communications Commission (the “FCC”) published regulations which, among other things, amended the consent requirements of the Telephone Consumer Protection Act of 1991 to close what the FCC refers to as the “lead generator loophole” by requiring “one-to-one consent” for outbound telemarketing calls or texts made using an automatic telephone dialing system or pre-recorded or artificial voice messages to wireless or residential numbers. The new “one-to-one consent” rule was scheduled to take effect on January 27, 2025.</w:t>
      </w:r>
    </w:p>
    <w:p>
      <w:pPr>
        <w:spacing w:after="0" w:line="78"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However, on January 24, 2025, in Insurance Marketing Coalition Limited. v. Federal Communications Commission, the United States Court of Appeals for the Eleventh Circuit ruled that the “one-to-one consent” requirement was improper, preventing its implementation.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 xml:space="preserve">For information on fiscal 2022 results and similar comparisons,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 Management's Discussion and Analysis of Financial Condition and Results of Operations—Results of Operations for the Years ended December 31, 2023 and 2022 of our Form 10-K for the fiscal year ended December 31, 2023.</w:t>
      </w: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18"/>
                <w:szCs w:val="18"/>
                <w:color w:val="auto"/>
              </w:rPr>
            </w:pPr>
          </w:p>
        </w:tc>
        <w:tc>
          <w:tcPr>
            <w:tcW w:w="2500" w:type="dxa"/>
            <w:vAlign w:val="bottom"/>
            <w:gridSpan w:val="2"/>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58"/>
        </w:trPr>
        <w:tc>
          <w:tcPr>
            <w:tcW w:w="5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732"/>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tcBorders>
          </w:tcPr>
          <w:p>
            <w:pPr>
              <w:jc w:val="right"/>
              <w:ind w:right="551"/>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8"/>
        </w:trPr>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812"/>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128,854</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(14,899)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222,462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(56,483)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548,704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299,099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227,717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separately below)</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36,072</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(2,686)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635,963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202,375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108,705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(8,995)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46,358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18,300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(770)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(38,600)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8"/>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(9,610)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3,797</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3,409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222"/>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855,592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713,113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142,479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44,627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85,238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210 %</w:t>
            </w:r>
          </w:p>
        </w:tc>
        <w:tc>
          <w:tcPr>
            <w:tcW w:w="0" w:type="dxa"/>
            <w:vAlign w:val="bottom"/>
          </w:tcPr>
          <w:p>
            <w:pPr>
              <w:spacing w:after="0"/>
              <w:rPr>
                <w:sz w:val="1"/>
                <w:szCs w:val="1"/>
                <w:color w:val="auto"/>
              </w:rPr>
            </w:pPr>
          </w:p>
        </w:tc>
      </w:tr>
      <w:tr>
        <w:trPr>
          <w:trHeight w:val="22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(49,534)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51,831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87,535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70 %</w:t>
            </w:r>
          </w:p>
        </w:tc>
        <w:tc>
          <w:tcPr>
            <w:tcW w:w="0" w:type="dxa"/>
            <w:vAlign w:val="bottom"/>
          </w:tcPr>
          <w:p>
            <w:pPr>
              <w:spacing w:after="0"/>
              <w:rPr>
                <w:sz w:val="1"/>
                <w:szCs w:val="1"/>
                <w:color w:val="auto"/>
              </w:rPr>
            </w:pPr>
          </w:p>
        </w:tc>
      </w:tr>
      <w:tr>
        <w:trPr>
          <w:trHeight w:val="22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(6,835)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(122,404)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80,700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Revenue increased in 2024 compared to 2023 due to an increase in our Insurance segment, partially offset by decreases in our Home and Consumer segments.</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Revenue from our Insurance segment increased $299.1 million, or 120%, to $548.7 million in 2024 from $249.6 million in 2023. The increase in revenue was due to a 63% increase in revenue earned per consumer, representing $156.8 million of the increase and a 35% increase in volume representing $142.3 million of the increase. We measure volume for our insurance product as the number of consumer request forms and in certain cases of re-engagement with a consumer, the number of subsequent consumer engagements through our platform.</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$56.5 million in 2024 from 2023, or 20%, primarily due to decreases in our credit cards, other credit products and deposits, partially offset by an increase in small business loans. We are in the process of exiting the student loans business and plan to be substantially completed by the end of the first quarter of 2025.</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Revenue from our personal loans product increased $1.3 million, or 1%, to $101.4 million in 2024 from $100.1 million in 2023. The increase in revenue was due to a 22% increase in volume, representing $18.2 million an increase, partially offset by a 17% decrease in revenue earned per consumer, representing $16.9 million of a decrease. We measure volume for our personal loans product as the number of unique consumers completing request forms.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3"/>
        <w:spacing w:after="0" w:line="236" w:lineRule="auto"/>
        <w:rPr>
          <w:sz w:val="20"/>
          <w:szCs w:val="20"/>
          <w:color w:val="auto"/>
        </w:rPr>
      </w:pPr>
      <w:r>
        <w:rPr>
          <w:rFonts w:ascii="Times New Roman" w:cs="Times New Roman" w:eastAsia="Times New Roman" w:hAnsi="Times New Roman"/>
          <w:sz w:val="18"/>
          <w:szCs w:val="18"/>
          <w:color w:val="auto"/>
        </w:rPr>
        <w:t>For the periods presented, no other products in our Consumer segment represented more than 10% of revenue; however, certain other Consumer products experienced notable changes. Revenue from our credit cards product decreased $38.2 million, or 62% in 2024 compared to 2023 primarily due to a decrease in revenue earned per click and volume. We measure volume for our credit cards product as the number of consumers clicking through to a card issuer. Revenue from our credit products decreased $12.4 million, or 40%, in 2024 compared to 2023 primarily due to the closure of our Ovation credit services business at the end of the second quarter of 2023. Revenue from our deposits product decreased $6.5 million in 2024 compared to 2023, primarily due to a decrease in volume and revenue earned per consumer. Partially offsetting these declines, revenue from our small business loans product increased $4.0 million, or 8%, in 2024 compared to 2023, due to an increase in revenue earned per consumer partially offset by a decline in the number of consumers completing request forms.</w:t>
      </w:r>
    </w:p>
    <w:p>
      <w:pPr>
        <w:spacing w:after="0" w:line="9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decreased $14.9 million, or 10%, in 2024 from 2023 primarily due to a decrease in revenue from our mortgage products partially offset by an increase in revenue from our home equity loans product.</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Revenue from our mortgage products decreased $17.3 million, or 29%, to $41.4 million in 2024 from $58.7 million in 2023. The decrease in revenue was due to a 25% decline in volume, representing $13.6 million of the decrease, and a 6% decrease in revenue earned per consumer, representing $3.7 million of the decrease. We measure volume for our mortgage products as the number of consumers completing request forms.</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Revenue from our purchase mortgage product decreased $11.0 million in 2024 compared to 2023 primarily due to decreases in the number of consumers completing request forms and a decrease in revenue earned per consumer. Revenue from our refinance mortgage product decreased $6.3 million in 2024 compared to 2023, primarily due to a decrease in the number of consumers completing request forms and a decrease in revenue earned per consumer, as interest rates were generally flat compared to 2023.</w:t>
      </w:r>
    </w:p>
    <w:p>
      <w:pPr>
        <w:spacing w:after="0" w:line="7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Revenue from our home equity loans and lines of credit product increased $2.4 million, or 3%, to $87.5 million in 2024 from $85.1 million in 2023. The increase in revenue was due to a 23% increase in volume, representing an increase of $16.6 million, partially offset by a 17% decrease in revenue earned per consumer, representing a $14.2 million decrease. We measure volume for our home equity loans and lines of credit as the number of consumers completing request forms.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Cost of revenue decreased in 2024 compared to 2023 primarily due to a decrease in compensation and benefits of $2.7 million. The decrease is primarily due to the Reduction Plan at the end of the first quarter of 2023, including shutting down the LendingTree customer call center, and the closure of our Ovation credit services business at the end of the second quarter of 2023.</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revenue as a percentage of revenue decreased to 4% in 2024 compared to 6% in 2023.</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advertisement is first run.</w:t>
      </w:r>
    </w:p>
    <w:p>
      <w:pPr>
        <w:spacing w:after="0" w:line="74"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Selling and marketing expense increased in 2024 compared to 2023 primarily due to the $204.4 million increase in advertising and promotional expense discussed below. Additionally, compensation and benefits decreased $2.0 million in 2024 compared to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Pr>
          <w:p>
            <w:pPr>
              <w:spacing w:after="0"/>
              <w:rPr>
                <w:sz w:val="18"/>
                <w:szCs w:val="18"/>
                <w:color w:val="auto"/>
              </w:rPr>
            </w:pPr>
          </w:p>
        </w:tc>
        <w:tc>
          <w:tcPr>
            <w:tcW w:w="2380" w:type="dxa"/>
            <w:vAlign w:val="bottom"/>
            <w:gridSpan w:val="2"/>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34"/>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tcBorders>
          </w:tcPr>
          <w:p>
            <w:pPr>
              <w:jc w:val="right"/>
              <w:ind w:right="553"/>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592,019</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383,996</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208,023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8"/>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360" w:type="dxa"/>
            <w:vAlign w:val="bottom"/>
          </w:tcPr>
          <w:p>
            <w:pPr>
              <w:spacing w:after="0"/>
              <w:rPr>
                <w:sz w:val="19"/>
                <w:szCs w:val="19"/>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8"/>
        </w:trPr>
        <w:tc>
          <w:tcPr>
            <w:tcW w:w="5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3,850</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(3,433)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and promotional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595,908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391,557</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204,351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4"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We adjusted our advertising expenditures in 2024 compared to 2023 in response to changes in Network Partner demand on our marketplace. We will continue to adjust selling and marketing expenditures dynamically in response to anticipated revenue opportunities.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General and administrative expense decreased in 2024 compared to 2023, primarily due to a decrease in compensation and benefits of $3.7 million, a decrease in loss on assets of $2.9 million, a decrease in facilities expense of $2.5 million and a decrease in bad debt expense of $1.6 million.</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Non-cash compensation expense, included in total compensation and benefits noted above, within general and administrative expense decreased in 2024 compared to 2023.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Note—12-Stock-Based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decreased to 12% in 2024 from 18% in 2023.</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5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Product development expense decreased in 2024 compared to 2023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decrease in amortization of intangibles in 2024 compared to 2023 was due to certain intangible assets associated with our recent business acquisitions becoming fully amortized.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117"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color w:val="auto"/>
        </w:rPr>
        <w:t xml:space="preserve">We incurred a goodwill impairment charge of $38.6 million in 2023 in our Insurance reporting unit.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 Goodwill and Intangible Assets for additional information</w:t>
      </w:r>
      <w:r>
        <w:rPr>
          <w:rFonts w:ascii="Times New Roman" w:cs="Times New Roman" w:eastAsia="Times New Roman" w:hAnsi="Times New Roman"/>
          <w:sz w:val="18"/>
          <w:szCs w:val="18"/>
          <w:color w:val="EE2724"/>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and severance</w:t>
      </w:r>
    </w:p>
    <w:p>
      <w:pPr>
        <w:spacing w:after="0" w:line="173"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During September 2023, we completed workforce reductions of 14 employees. We incurred $0.9 million in severance charges in 2023 in connection with the workforce reductions, consisting of cash expenditures for employee separation costs of approximately $0.7 million and non-cash charges for the accelerated vesting of certain equity awards of approximately $0.2 million. The cash payments were completed by the third quarter of 2024.</w:t>
      </w:r>
    </w:p>
    <w:p>
      <w:pPr>
        <w:spacing w:after="0" w:line="12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April 2023, we made the decision to close the Ovation credit services business ( the "Ovation Closure"). The Ovation Closure included the elimination of approximately 197 employees, or 18%, of the Company's workforce. As a result of the Ovation Closure, we incurred $2.1 million in restructuring expense in connection with cash expenditures for employee separation costs. The cash payments for the Ovation Closure were completed in the first quarter of 2024.</w:t>
      </w:r>
    </w:p>
    <w:p>
      <w:pPr>
        <w:spacing w:after="0" w:line="12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On March 24, 2023, we committed to the Reduction Plan to reduce operating costs. The Reduction Plan included the elimination of approximately 162 employees, or 13%, of the Company’s workforce. As a result of the Reduction Plan, we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Reduction Plan, including cash payments, was completed by the end of the third quarter of 2024.</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we drew $125.0 million on a first lien term loan facility and incurred $11.5 million of interest expense.</w:t>
      </w:r>
    </w:p>
    <w:p>
      <w:pPr>
        <w:spacing w:after="0" w:line="11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the third quarter of 2024, we repurchased approximately $7.6 million in principal amount of our 2025 Notes for $7.2 million. In the second quarter of 2024, we repurchased approximately $161.3 million in principal amount of our 2025 Notes for $151.7 million plus accrued and unpaid interest of approximately $0.3 million. As a result of these repurchases, we recognized a gain on the extinguishment of $10.1 million and a loss on the write-off of unamortized debt issuance costs of $1.1 million.</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the first quarter of 2023, we repurchased approximately $190.6 million in principal amount of our 2025 Notes for $156.3 million plus accrued and unpaid interest of approximately $0.1 million. In the fourth quarter of 2023, we repurchased approximately $100.2 million in principal amount of our 2025 Notes, for $81.2 million in cash plus accrued and unpaid interest of approximately $0.2 million. As a result of the repurchases, we recognized a gain on the extinguishment of $53.3 million, a loss on the write-off of unamortized debt issuance costs of $3.2 million, and incurred debt repayment costs of $1.6 million.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14—Debt for additional information.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incurred impairment charges of $58.4 million and $114.5 million in 2024 and 2023, respectively, related to our investments in equity securities.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8—Equity Investments for additional information.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3"/>
          </w:tcPr>
          <w:p>
            <w:pPr>
              <w:jc w:val="right"/>
              <w:ind w:right="493"/>
              <w:spacing w:after="0"/>
              <w:rPr>
                <w:sz w:val="20"/>
                <w:szCs w:val="20"/>
                <w:color w:val="auto"/>
              </w:rPr>
            </w:pPr>
            <w:r>
              <w:rPr>
                <w:rFonts w:ascii="Times New Roman" w:cs="Times New Roman" w:eastAsia="Times New Roman" w:hAnsi="Times New Roman"/>
                <w:sz w:val="16"/>
                <w:szCs w:val="16"/>
                <w:i w:val="1"/>
                <w:iCs w:val="1"/>
                <w:color w:val="auto"/>
              </w:rPr>
              <w:t>(in thousands, except percentages)</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(4,320)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2,515</w:t>
            </w:r>
          </w:p>
        </w:tc>
      </w:tr>
      <w:tr>
        <w:trPr>
          <w:trHeight w:val="228"/>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(11.6)%</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r>
    </w:tbl>
    <w:p>
      <w:pPr>
        <w:spacing w:after="0" w:line="183"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For 2024 and 2023, the effective tax rate varied from the federal statutory rate of 21% primarily due to the change in the valuation allowance, net of the current period change in tax effected net indefinite-lived intangibles.</w:t>
      </w:r>
    </w:p>
    <w:p>
      <w:pPr>
        <w:spacing w:after="0" w:line="53" w:lineRule="exact"/>
        <w:rPr>
          <w:sz w:val="20"/>
          <w:szCs w:val="20"/>
          <w:color w:val="auto"/>
        </w:rPr>
      </w:pPr>
    </w:p>
    <w:p>
      <w:pPr>
        <w:ind w:firstLine="32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Note—13 Income Taxes in the notes to the consolidated financial statements included elsewhere in this report for additional information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2100" w:type="dxa"/>
            <w:vAlign w:val="bottom"/>
            <w:gridSpan w:val="2"/>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652"/>
              <w:spacing w:after="0" w:line="171"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4"/>
          </w:tcPr>
          <w:p>
            <w:pPr>
              <w:jc w:val="right"/>
              <w:ind w:right="952"/>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(6,913)</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2"/>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39,896</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31%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222,462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(56,483)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111,925</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(28,143)</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(28,340)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tcPr>
          <w:p>
            <w:pPr>
              <w:spacing w:after="0"/>
              <w:rPr>
                <w:sz w:val="19"/>
                <w:szCs w:val="19"/>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50%</w:t>
            </w:r>
          </w:p>
        </w:tc>
        <w:tc>
          <w:tcPr>
            <w:tcW w:w="360" w:type="dxa"/>
            <w:vAlign w:val="bottom"/>
          </w:tcPr>
          <w:p>
            <w:pPr>
              <w:spacing w:after="0"/>
              <w:rPr>
                <w:sz w:val="19"/>
                <w:szCs w:val="19"/>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299,099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243,373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159,230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55,726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29%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(414)</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2"/>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900,219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227,717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40" w:type="dxa"/>
            <w:vAlign w:val="bottom"/>
            <w:tcBorders>
              <w:bottom w:val="single" w:sz="8" w:color="auto"/>
            </w:tcBorders>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590,651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382,748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207,903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309,568</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289,754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19,814</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2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340" w:type="dxa"/>
            <w:vAlign w:val="bottom"/>
          </w:tcPr>
          <w:p>
            <w:pPr>
              <w:spacing w:after="0"/>
              <w:rPr>
                <w:sz w:val="19"/>
                <w:szCs w:val="19"/>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8"/>
                <w:szCs w:val="18"/>
                <w:i w:val="1"/>
                <w:iCs w:val="1"/>
                <w:color w:val="auto"/>
              </w:rPr>
              <w:t>34%</w:t>
            </w:r>
          </w:p>
        </w:tc>
        <w:tc>
          <w:tcPr>
            <w:tcW w:w="360" w:type="dxa"/>
            <w:vAlign w:val="bottom"/>
          </w:tcPr>
          <w:p>
            <w:pPr>
              <w:spacing w:after="0"/>
              <w:rPr>
                <w:sz w:val="19"/>
                <w:szCs w:val="19"/>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8"/>
                <w:szCs w:val="18"/>
                <w:i w:val="1"/>
                <w:iCs w:val="1"/>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32955" cy="2647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left="140" w:right="200"/>
        <w:spacing w:after="0" w:line="213"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Segment marketing expense represents the potion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198"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20— Segment Information in the notes to the consolidated financial statements included elsewhere in this report for additional information on segments and a reconciliation of segment profit to pre-tax income from continuing operations.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Home segment revenue decreased 10% to $128.9 million in 2024 compared to 2023 and segment profit decreased to $39.9 million in 2024, a decrease of 17% compared to 2023. Our Home segment margin, which is segment profit divided by segment revenue, decreased slightly to 31% in 2024 compared to 33% in 2023 primarily due to a decline in revenue earned per consumer, due to a decline in close rates at our lender partners.</w:t>
      </w:r>
    </w:p>
    <w:p>
      <w:pPr>
        <w:spacing w:after="0" w:line="6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Revenue from our home equity loan product of $87.5 million in 2024 increased 3% compared to 2023. Volume of home equity consumers completing request forms increased 23% in 2024 compared to 2023, however, a 17% decline in revenue earned per consumer partially offset this volume growth. As longer-term rates have remained stable and higher than most existing first mortgages, second lien products offer an attractively priced source of capital for homeowners. According to CoreLogic, homeowners with a mortgage in the U.S. have $17.5 trillion of equity as of September 30, 2024, a 2.5% increase from a year ago. We expect further growth in our home equity business in 2025 as home values remain at near record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Within Home, our core mortgage business generated revenue of $41.4 million in 2024, down 29% compared to 2023. 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 which we participate. Our mortgage business continues to see headwinds from a lack of in-the-money refinance borrowers given the current higher level of mortgage rates, and subdued home sales have pressured the volume of consumers searching for purchase loans. According to Freddie Mac, the 30-year mortgage interest rates have remained elevated with a yearly average of 6.72% in 2024 compared to 6.80% in 2023.</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Mortgage Bankers Association expects overall mortgage originations to increase 16% in 2025, although the first quarter of 2025 is expected to remain weak and below fourth quarter of 2024 levels. The forecast calls for total loan originations of $2.1 trillion and purchase loans are expected to account for 69% of origination volume.</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1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Revenue in our Consumer segment decreased 20% to $222.5 million in 2024 from 2023, with segment profit of $110.5 million in 2024, a decrease of 20% from 2023. Our Consumer segment margin remained consistent at 50% in 2024 and 2023.</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Revenue from our personal loan product of $101.4 million increased 1% in 2024 compared to 2023 as lending standards remained restrictive at our lender partners during the year. The leading reason for consumers to seek personal loans is to re-finance higher-cost credit card debt. Total revolving consumer debt remains near record levels and interest rates on that debt have increased as short-term rates have increased. We believe the outlook is positive for our personal loan product in 2025.</w:t>
      </w:r>
    </w:p>
    <w:p>
      <w:pPr>
        <w:spacing w:after="0" w:line="61" w:lineRule="exact"/>
        <w:rPr>
          <w:sz w:val="20"/>
          <w:szCs w:val="20"/>
          <w:color w:val="auto"/>
        </w:rPr>
      </w:pPr>
    </w:p>
    <w:p>
      <w:pPr>
        <w:jc w:val="both"/>
        <w:ind w:firstLine="323"/>
        <w:spacing w:after="0" w:line="241" w:lineRule="auto"/>
        <w:rPr>
          <w:sz w:val="20"/>
          <w:szCs w:val="20"/>
          <w:color w:val="auto"/>
        </w:rPr>
      </w:pPr>
      <w:r>
        <w:rPr>
          <w:rFonts w:ascii="Times New Roman" w:cs="Times New Roman" w:eastAsia="Times New Roman" w:hAnsi="Times New Roman"/>
          <w:sz w:val="18"/>
          <w:szCs w:val="18"/>
          <w:color w:val="auto"/>
        </w:rPr>
        <w:t>Small business revenue increased 8% in 2024 compared to 2023. Lenders in our network have increased new loan originations as their credit performance has improved, particularly in the second half of 2024. In response, we have invested in our concierge sales team and targeted marketing campaigns. Our concierge sales members provide single-point-of-contact for small business owners, assisting in selecting the best loan offer, collecting required documentation and troubleshooting issues during the application process. Our investment in this team has helped drive a material increase in approval rates for our customers, and allows us to capture lender volume bonuses and renewal revenue streams.</w:t>
      </w:r>
    </w:p>
    <w:p>
      <w:pPr>
        <w:spacing w:after="0" w:line="74" w:lineRule="exact"/>
        <w:rPr>
          <w:sz w:val="20"/>
          <w:szCs w:val="20"/>
          <w:color w:val="auto"/>
        </w:rPr>
      </w:pPr>
    </w:p>
    <w:p>
      <w:pPr>
        <w:ind w:left="340" w:right="1800"/>
        <w:spacing w:after="0" w:line="359"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declines in product revenues within the Consumer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INSURANCE</w:t>
      </w:r>
    </w:p>
    <w:p>
      <w:pPr>
        <w:spacing w:after="0" w:line="1"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Insurance revenue of $548.7 million in 2024 increased 120% from 2023, while segment profit of $159.2 million in 2024 increased 54% from 2023. Carriers increased their marketing spend with us steadily throughout the year as two years of compounded premium rate increases combined with declines in the price of used vehicles and replacement parts has created a favorable underwriting environment resulting in higher demand for new auto insurance customers. Additionally, the volume of consumers completing request forms on our platform increased 35% in 2024 compared to 2023.</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Insurance segment margin decreased to 29% in 2024 compared to 41% in 2023. In 2023, we were able to exit from our highest cost marketing channels and continue to meet the decreased level of demand. In 2024, we re-entered those marketing channels to fill the increase in carrier demand, which has resulted in lower segment profit margin.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1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8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8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6"/>
                <w:szCs w:val="16"/>
                <w:color w:val="auto"/>
              </w:rPr>
            </w:pPr>
          </w:p>
        </w:tc>
      </w:tr>
      <w:tr>
        <w:trPr>
          <w:trHeight w:val="234"/>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900,219</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672,502</w:t>
            </w:r>
          </w:p>
        </w:tc>
      </w:tr>
      <w:tr>
        <w:trPr>
          <w:trHeight w:val="228"/>
        </w:trPr>
        <w:tc>
          <w:tcPr>
            <w:tcW w:w="8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595,908</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391,557</w:t>
            </w:r>
          </w:p>
        </w:tc>
      </w:tr>
      <w:tr>
        <w:trPr>
          <w:trHeight w:val="229"/>
        </w:trPr>
        <w:tc>
          <w:tcPr>
            <w:tcW w:w="8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304,311</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280,945</w:t>
            </w:r>
          </w:p>
        </w:tc>
      </w:tr>
    </w:tbl>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20" w:type="dxa"/>
            <w:vAlign w:val="bottom"/>
            <w:gridSpan w:val="3"/>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5"/>
                <w:szCs w:val="15"/>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8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r>
      <w:tr>
        <w:trPr>
          <w:trHeight w:val="234"/>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635,963</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433,588</w:t>
            </w:r>
          </w:p>
        </w:tc>
      </w:tr>
      <w:tr>
        <w:trPr>
          <w:trHeight w:val="228"/>
        </w:trPr>
        <w:tc>
          <w:tcPr>
            <w:tcW w:w="8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(42,031)</w:t>
            </w:r>
          </w:p>
        </w:tc>
      </w:tr>
      <w:tr>
        <w:trPr>
          <w:trHeight w:val="229"/>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595,908</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391,557</w:t>
            </w:r>
          </w:p>
        </w:tc>
      </w:tr>
      <w:tr>
        <w:trPr>
          <w:trHeight w:val="457"/>
        </w:trPr>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The following is a reconciliation of net loss, the most directly comparable GAAP measure, to variable marketing margin:</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8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20" w:type="dxa"/>
            <w:vAlign w:val="bottom"/>
            <w:gridSpan w:val="3"/>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5"/>
                <w:szCs w:val="15"/>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8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r>
      <w:tr>
        <w:trPr>
          <w:trHeight w:val="23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(122,404)</w:t>
            </w:r>
          </w:p>
        </w:tc>
      </w:tr>
      <w:tr>
        <w:trPr>
          <w:trHeight w:val="215"/>
        </w:trPr>
        <w:tc>
          <w:tcPr>
            <w:tcW w:w="8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36,072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38,758</w:t>
            </w:r>
          </w:p>
        </w:tc>
      </w:tr>
      <w:tr>
        <w:trPr>
          <w:trHeight w:val="228"/>
        </w:trPr>
        <w:tc>
          <w:tcPr>
            <w:tcW w:w="8520" w:type="dxa"/>
            <w:vAlign w:val="bottom"/>
            <w:shd w:val="clear" w:color="auto" w:fill="CCEEFF"/>
          </w:tcPr>
          <w:p>
            <w:pPr>
              <w:ind w:left="220"/>
              <w:spacing w:after="0" w:line="229"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40,055</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42,031</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108,705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46,358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47,197</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18,300</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5,889</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3,797</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27,849</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r>
      <w:tr>
        <w:trPr>
          <w:trHeight w:val="228"/>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(income)</w:t>
            </w:r>
          </w:p>
        </w:tc>
        <w:tc>
          <w:tcPr>
            <w:tcW w:w="500" w:type="dxa"/>
            <w:vAlign w:val="bottom"/>
          </w:tcPr>
          <w:p>
            <w:pPr>
              <w:spacing w:after="0"/>
              <w:rPr>
                <w:sz w:val="19"/>
                <w:szCs w:val="19"/>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54,162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105,993</w:t>
            </w:r>
          </w:p>
        </w:tc>
      </w:tr>
      <w:tr>
        <w:trPr>
          <w:trHeight w:val="228"/>
        </w:trPr>
        <w:tc>
          <w:tcPr>
            <w:tcW w:w="85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4,320</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2"/>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304,311</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280,945</w:t>
            </w:r>
          </w:p>
        </w:tc>
      </w:tr>
    </w:tbl>
    <w:p>
      <w:pPr>
        <w:spacing w:after="0" w:line="277" w:lineRule="exact"/>
        <w:rPr>
          <w:sz w:val="20"/>
          <w:szCs w:val="20"/>
          <w:color w:val="auto"/>
        </w:rPr>
      </w:pPr>
    </w:p>
    <w:p>
      <w:pPr>
        <w:ind w:left="400" w:right="100" w:hanging="252"/>
        <w:spacing w:after="0" w:line="236" w:lineRule="auto"/>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Taxes, Depreciation and Amortization</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17"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17"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17"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reconciliation of net loss, the most directly comparable GAAP measure,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0"/>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1"/>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6"/>
                <w:szCs w:val="16"/>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(122,404)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5,889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18,300</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2,584</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58,376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114,504</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28,579</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expense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3,797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27,849</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(21,685)</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4,320</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104,113</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78,490</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fiscal 2022 results and similar comparisons,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 Management's Discussion and Analysis of Financial Condition and Results of Operations—Financial Position, Liquidity and Capital Resources of our Form 10-K for the fiscal year ended December 31, 2023.</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we had $106.6 million of cash and cash equivalents, compared to $112.1 million of cash and cash equivalents as of December 31, 2023.</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the third quarter of 2024, we repurchased approximately $7.6 million in principal amount of our 2025 Notes for $7.2 million. In the second quarter of 2024, we repurchased approximately $161.3 million in principal amount of our 2025 Notes for $151.7 million plus accrued and unpaid interest of approximately $0.3 million. As a result of these repurchases, we recognized a gain on the extinguishment of $10.1 million and a loss on the write-off of unamortized debt issuance costs of $1.1 million, both of which are included in interest (expense) income, net in the consolidated statements of operations and comprehensive income.</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On March 8, 2023, we repurchased approximately $190.6 million in principal amount of our 2025 Notes, through separate transactions with certain holders of the 2025 Notes, for $156.3 million plus accrued and unpaid interest of approximately $0.1 million. On December 7, 2023, we repurchased approximately $100.2 million in principal amount of our 2025 Notes, through separate transactions with certain holders of the 2025 Notes, for $81.2 million plus accrued and unpaid interest of approximately $0.2 million. In 2023, we recognized a gain on the extinguishment of debt of $53.3 million, a loss on the write-off of unamortized debt issuance costs of $3.2 million and incurred debt repayment costs of $1.6 million, both of which are included in interest income/expense, net in the consolidated statement of operations and comprehensive income.</w:t>
      </w:r>
    </w:p>
    <w:p>
      <w:pPr>
        <w:spacing w:after="0" w:line="18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and available borrowings under our credit facilities to be sufficient to fund our operating needs for the next twelve months and beyond. We will continue to monitor the impact of current economic conditions, including interest rates and inflation on our liquidity and capital resources.</w:t>
      </w:r>
    </w:p>
    <w:p>
      <w:pPr>
        <w:spacing w:after="0" w:line="177"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we have $115.3 million outstanding on the 2025 Notes. We intend to use cash on hand, available borrowings of $50.0 million from the 2024 Term Loan (as defined below), and future cash flows from operations for the repayment of the 2025 Notes.</w:t>
      </w:r>
    </w:p>
    <w:p>
      <w:pPr>
        <w:spacing w:after="0" w:line="53" w:lineRule="exact"/>
        <w:rPr>
          <w:sz w:val="20"/>
          <w:szCs w:val="20"/>
          <w:color w:val="auto"/>
        </w:rPr>
      </w:pPr>
    </w:p>
    <w:p>
      <w:pPr>
        <w:ind w:left="340" w:right="1680"/>
        <w:spacing w:after="0" w:line="406" w:lineRule="auto"/>
        <w:rPr>
          <w:sz w:val="20"/>
          <w:szCs w:val="20"/>
          <w:color w:val="auto"/>
        </w:rPr>
      </w:pPr>
      <w:r>
        <w:rPr>
          <w:rFonts w:ascii="Times New Roman" w:cs="Times New Roman" w:eastAsia="Times New Roman" w:hAnsi="Times New Roman"/>
          <w:sz w:val="18"/>
          <w:szCs w:val="18"/>
          <w:color w:val="auto"/>
        </w:rPr>
        <w:t>For more information</w:t>
      </w:r>
      <w:r>
        <w:rPr>
          <w:rFonts w:ascii="Times New Roman" w:cs="Times New Roman" w:eastAsia="Times New Roman" w:hAnsi="Times New Roman"/>
          <w:sz w:val="18"/>
          <w:szCs w:val="18"/>
          <w:i w:val="1"/>
          <w:iCs w:val="1"/>
          <w:color w:val="auto"/>
        </w:rPr>
        <w:t>, see</w:t>
      </w:r>
      <w:r>
        <w:rPr>
          <w:rFonts w:ascii="Times New Roman" w:cs="Times New Roman" w:eastAsia="Times New Roman" w:hAnsi="Times New Roman"/>
          <w:sz w:val="18"/>
          <w:szCs w:val="18"/>
          <w:color w:val="auto"/>
        </w:rPr>
        <w:t xml:space="preserve"> Note 14—Debt, in the notes to the consolidated financial statements included elsewhere in this report. </w:t>
      </w:r>
      <w:r>
        <w:rPr>
          <w:rFonts w:ascii="Times New Roman" w:cs="Times New Roman" w:eastAsia="Times New Roman" w:hAnsi="Times New Roman"/>
          <w:sz w:val="18"/>
          <w:szCs w:val="18"/>
          <w:b w:val="1"/>
          <w:bCs w:val="1"/>
          <w:color w:val="auto"/>
        </w:rPr>
        <w:t>Equity Distribution Agreement</w:t>
      </w: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July 2024, we entered into an Equity Distribution Agreement in connection with the establishment of an ATM Equity Program (as defined in the 2024 Term Loan (as defined herein) agreement) under which we may sell up to an aggregate of $50.0 million of shares of the our common stock. No sales were made under the Equity Distribution Agreement during 2024.</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73"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On September 15, 2021, we entered into a credit agreement (the “Credit Agreement”), consisting of a $200.0 million Revolving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We drew $250.0 million under the Term Loan Facility on May 31, 2022 and used $170.2 million of the proceeds to settle the Company’s 2022 Notes, including interest. The remaining proceeds of $79.8 million may be used for general corporate purposes and any other purposes not prohibited by the Credit Agreement.</w:t>
      </w:r>
    </w:p>
    <w:p>
      <w:pPr>
        <w:spacing w:after="0" w:line="78"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As of March 6, 2025, we have outstanding $243.8 million under the 2021 Term Loan and the remaining borrowing capacity is $200.0 million. As of December 31, 2024, we have $20.0 million available for borrowing under the Revolving Facility.</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On March 27, 2024, we entered the 2024 Term Loan, a first lien term loan facility consisting of $175.0 million which matures on March 27, 2031. We drew $125.0 million of the 2024 Term Loan upon closing while the remaining $50.0 million will be available as a delayed draw term loan until March 27, 2025. The proceeds of the 2024 Term Loan were used to pay fees and expenses incurred in connection with the closing of the 2024 Term Loan and delayed draw term loan, and will be used for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working capital and general corporate purposes, which may include repayment of our 2025 Notes. The funding had a $3.1 million original issue discount and associated debt issuance costs of $4.3 million.</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filed an ATM Shelf Registration (as defined in the 2024 Term Loan agreement) with the SEC in the third quarter of 2024. In the event of a default in the minimum Consolidated EBITDA (as defined in the 2024 Term Loan agreement) covenant in the 2024 Term Loan, we are required to utilize the ATM Equity Program (as defined in the 2024 Term Loan agreement) to sell common stock and use the proceeds to cure the event of default in the minimum Consolidated EBITDA covenant. Additionally, we may use the ATM Equity Program to maintain the $40.0 million minimum cash balance requirement in the 2024 Term Loan.</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6, 2025, we had $115.6 million borrowings outstanding under the 2024 Term Loan.</w:t>
      </w:r>
    </w:p>
    <w:p>
      <w:pPr>
        <w:spacing w:after="0" w:line="11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For additional information on the Credit Facility, see Note 14—Debt in the notes to the consolidated financial statements included elsewhere in this report.</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7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We have operating lease obligations associated with office space in various cities across the country and office equipment. Our principal executive office is located in Charlotte, North Carolina under an approximate 15-year lease that commenced in the second quarter of 2021. We anticipate cash payments under operating lease obligations of $9.5 million in 2025.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10—Leases in the notes to the consolidated financial statements included elsewhere in this report for more information.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w w:val="96"/>
              </w:rPr>
              <w:t>62,258</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299"/>
              <w:spacing w:after="0"/>
              <w:rPr>
                <w:sz w:val="20"/>
                <w:szCs w:val="20"/>
                <w:color w:val="auto"/>
              </w:rPr>
            </w:pPr>
            <w:r>
              <w:rPr>
                <w:rFonts w:ascii="Times New Roman" w:cs="Times New Roman" w:eastAsia="Times New Roman" w:hAnsi="Times New Roman"/>
                <w:sz w:val="18"/>
                <w:szCs w:val="18"/>
                <w:color w:val="auto"/>
                <w:w w:val="97"/>
              </w:rPr>
              <w:t>(11,218)</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97"/>
              </w:rPr>
              <w:t>(56,502)</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(242,006)</w:t>
            </w: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6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Cash from changes in working capital decreased primarily as a result of unfavorable changes in accounts receivable, partially offset by favorable changes accounts payable, accrued expenses and other current liabilities.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Net cash used in investing activities in 2024 and 2023 consisted of capital expenditures primarily related to internally developed software of $11.2 million and $12.5 million,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Net cash used in financing activities in 2024 of $56.5 million consisted primarily of the repurchase of the 2025 Notes for $158.8 million, term loan repayments of $12.5 million and $2.2 million in withholding taxes paid upon surrender of shares to satisfy obligations on equity awards, net of proceeds from the employee stock purchase plan and the exercise of stock options offset by $117.6 million net proceeds from the 2024 Term Loan.</w:t>
      </w:r>
    </w:p>
    <w:p>
      <w:pPr>
        <w:spacing w:after="0" w:line="20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Net cash used in financing activities in 2023 of $242.0 million consisted primarily of the repurchase of our 2025 Notes for $237.5 million and the related payment of debt issuance costs of $1.6 million, $1.1 million in withholding taxes paid upon surrender of shares to satisfy obligations on equity awards, net of proceeds from the employee stock purchase plan and the exercise of stock options and $1.9 million repayment of the Term Loan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following disclosure is provided to supplement the description of our accounting policies contained in Note 2—Significant Accounting Policies in the notes to the consolidated financial statements included elsewhere in this report regarding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areas of judgment.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Estimates of current and deferred income taxes and the significant items giving rise to the deferred assets and liabilities are shown in Note 13—Income Taxes in the notes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and/or state tax authorities, as well as actual operating results that may vary significantly from anticipated results.</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w:t>
      </w:r>
    </w:p>
    <w:p>
      <w:pPr>
        <w:spacing w:after="0" w:line="76"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w:t>
      </w:r>
    </w:p>
    <w:p>
      <w:pPr>
        <w:spacing w:after="0" w:line="53"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During the third quarter of 2022, we established a full valuation allowance against our net deferred tax assets due to historical cumulative pre-tax losses and continued pre-tax losses in the quarter. We regularly review our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we considered the scheduled reversal of deferred tax liabilities. We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indefinite carryforward period for certain deferred tax assets means that indefinite-lived deferred tax liabilities can be considered as support for realization of such deferred tax assets including post December 31, 2017 net operating loss carryovers, which can affect the need to record or maintain a valuation allowance for deferred tax assets.</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During 2022, we incurred income tax expense of $139.4 million related to the valuation allowance. At December 31, 2024, 2023 and 2022, we maintained a valuation allowance of $167.5 million, $162.5 million and $145.4 million, respectively, against our net deferred tax assets.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 xml:space="preserve">The forms of stock-based awards granted to our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and Employee Stock Purchase Rights are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12—Stock-Based Compensation in the notes to the consolidated financial statements included elsewhere in this report for additional information on assumptions and inputs to the fair value determination of stock-based awards.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Goodwill Impairment</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Performing the quantitative test for goodwill impairment that compares the reporting unit fair value with its carrying value using a discounted cash flow and market analysis requires the exercise of significant judgments, including judgments about appropriate discount rates, revenue growth rates, marketing spend, direct operating expenses, the amount and timing of expected future cash flows, and market multiples. If the carrying amount of a reporting unit exceeds its fair value, an impairment loss is recognized in an amount equal to that excess.</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At June 30, 2022, we assessed the qualitative factors in our impairment testing of goodwill and determined that the effects of the challenging interest rate environment, consumer price inflation, and the decline in our market capitalization required a quantitative impairment test be performed. The quantitative goodwill impairment test found that the fair value of each reporting unit exceeded its carrying amount, indicating no goodwill impairment. The property and casualty auto insurance industry experienced challenges in 2022 caused by inflation, supply chain challenges, and the rising severity and frequency of claims. Additionally, the significant increase in mortgage interest rates in 2022 had a negative impact on our Mortgage reporting unit.</w:t>
      </w:r>
    </w:p>
    <w:p>
      <w:pPr>
        <w:spacing w:after="0" w:line="7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our market capitalization declined significantly compared to the second quarter of 2023. The closing stock price on September 29, 2023 was $15.50 reflecting a market capitalization below our book value. In addition, the effects of the challenging interest rate environment, low for-sale home inventories and the rise in home prices in the Home reporting unit and consumer price inflation negatively impacting carrier underwriting in the Insurance reporting unit continue to provide revenue headwinds. Based on these factors, we concluded that a triggering event had occurred and an interim quantitative impairment test was performed as of September 30, 2023. Upon completing the quantitative goodwill impairment test, we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spacing w:after="0" w:line="8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We will continue to monitor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value of goodwill subject to assessment for impairment at December 31, 2024 is $381.5 million.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Recoverability of Long-Lived Assets</w:t>
      </w:r>
    </w:p>
    <w:p>
      <w:pPr>
        <w:spacing w:after="0" w:line="11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spacing w:after="0" w:line="7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Capitalized implementation costs incurred in a hosting arrangement that is a service contract are also allocated to and included within long-lived asset groups tested for recoverability.</w:t>
      </w:r>
    </w:p>
    <w:p>
      <w:pPr>
        <w:spacing w:after="0" w:line="5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combined value of long-lived assets and capitalized implementation costs incurred in a hosting arrangement that is a service contract subject to assessment for impairment is $134.6 million at December 31, 2024.</w:t>
      </w:r>
    </w:p>
    <w:p>
      <w:pPr>
        <w:spacing w:after="0" w:line="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Our equity investments do not have a readily determinable fair value and, upon acquisition, we elected the measurement alternative to value these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gains or losses are included within other (expense) income in the consolidated statement of operations and comprehensive income.</w:t>
      </w:r>
    </w:p>
    <w:p>
      <w:pPr>
        <w:spacing w:after="0" w:line="100" w:lineRule="exact"/>
        <w:rPr>
          <w:sz w:val="20"/>
          <w:szCs w:val="20"/>
          <w:color w:val="auto"/>
        </w:rPr>
      </w:pPr>
    </w:p>
    <w:p>
      <w:pPr>
        <w:jc w:val="both"/>
        <w:ind w:firstLine="323"/>
        <w:spacing w:after="0" w:line="250" w:lineRule="auto"/>
        <w:rPr>
          <w:sz w:val="20"/>
          <w:szCs w:val="20"/>
          <w:color w:val="auto"/>
        </w:rPr>
      </w:pPr>
      <w:r>
        <w:rPr>
          <w:rFonts w:ascii="Times New Roman" w:cs="Times New Roman" w:eastAsia="Times New Roman" w:hAnsi="Times New Roman"/>
          <w:sz w:val="18"/>
          <w:szCs w:val="18"/>
          <w:color w:val="auto"/>
        </w:rPr>
        <w:t xml:space="preserve">We incurred impairment charges of $58.4 million and $114.5 million on our investments in equity securities during 2024 and 2023, respectively.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8—Equity Investments in the notes to the consolidated financial statements included elsewhere in this report for additional information. The carrying value of our equity investments at December 31, 2024 is $1.7 million.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7"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2—Significant Accounting Policies in the notes to the consolidated financial statements included elsewhere in this report for a description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5940"/>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9" w:lineRule="exact"/>
        <w:rPr>
          <w:sz w:val="20"/>
          <w:szCs w:val="20"/>
          <w:color w:val="auto"/>
        </w:rPr>
      </w:pPr>
    </w:p>
    <w:p>
      <w:pPr>
        <w:jc w:val="right"/>
        <w:ind w:right="5920"/>
        <w:spacing w:after="0"/>
        <w:rPr>
          <w:sz w:val="20"/>
          <w:szCs w:val="20"/>
          <w:color w:val="auto"/>
        </w:rPr>
      </w:pPr>
      <w:r>
        <w:rPr>
          <w:rFonts w:ascii="Times New Roman" w:cs="Times New Roman" w:eastAsia="Times New Roman" w:hAnsi="Times New Roman"/>
          <w:sz w:val="18"/>
          <w:szCs w:val="18"/>
          <w:color w:val="auto"/>
        </w:rPr>
        <w:t>We are exposed to market risks as a result of changes to interest rates.</w:t>
      </w:r>
    </w:p>
    <w:p>
      <w:pPr>
        <w:spacing w:after="0" w:line="11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Other than our Credit Facility and the 2024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$2.4 million annual effect on the interest paid on borrowings under the Credit Facility and a $1.2 million annual effect on the interest paid under the 2024 Term Loan. As of March 6, 2025, we had $243.8 million outstanding on our Term Loan Facility, and there were no outstanding borrowings under our Revolving Facility. As of March 6, 2025, we had $115.6 million outstanding on our 2024 Term Loan, which was entered into on March 27, 2024.</w:t>
      </w:r>
    </w:p>
    <w:p>
      <w:pPr>
        <w:spacing w:after="0" w:line="7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3"/>
        </w:trPr>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6"/>
        </w:trPr>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LENDINGTREE, INC. AND SUBSIDIARIES:</w:t>
            </w:r>
          </w:p>
        </w:tc>
        <w:tc>
          <w:tcPr>
            <w:tcW w:w="1520" w:type="dxa"/>
            <w:vAlign w:val="bottom"/>
          </w:tcPr>
          <w:p>
            <w:pPr>
              <w:spacing w:after="0"/>
              <w:rPr>
                <w:sz w:val="17"/>
                <w:szCs w:val="17"/>
                <w:color w:val="auto"/>
              </w:rPr>
            </w:pPr>
          </w:p>
        </w:tc>
      </w:tr>
      <w:tr>
        <w:trPr>
          <w:trHeight w:val="197"/>
        </w:trPr>
        <w:tc>
          <w:tcPr>
            <w:tcW w:w="9660" w:type="dxa"/>
            <w:vAlign w:val="bottom"/>
            <w:gridSpan w:val="8"/>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rPr>
              <w:t xml:space="preserve">Report of Independent Registered Public Accounting Firm (PCAOB ID </w:t>
            </w:r>
            <w:r>
              <w:rPr>
                <w:rFonts w:ascii="Times New Roman" w:cs="Times New Roman" w:eastAsia="Times New Roman" w:hAnsi="Times New Roman"/>
                <w:sz w:val="18"/>
                <w:szCs w:val="18"/>
                <w:b w:val="1"/>
                <w:bCs w:val="1"/>
                <w:i w:val="1"/>
                <w:iCs w:val="1"/>
                <w:color w:val="000000"/>
              </w:rPr>
              <w:t>238</w:t>
            </w:r>
            <w:r>
              <w:rPr>
                <w:rFonts w:ascii="Times New Roman" w:cs="Times New Roman" w:eastAsia="Times New Roman" w:hAnsi="Times New Roman"/>
                <w:sz w:val="18"/>
                <w:szCs w:val="18"/>
                <w:b w:val="1"/>
                <w:bCs w:val="1"/>
                <w:i w:val="1"/>
                <w:iCs w:val="1"/>
                <w:u w:val="single" w:color="auto"/>
                <w:color w:val="0000FF"/>
              </w:rPr>
              <w:t>)</w:t>
            </w:r>
          </w:p>
        </w:tc>
        <w:tc>
          <w:tcPr>
            <w:tcW w:w="15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0000FF"/>
                <w:w w:val="99"/>
              </w:rPr>
              <w:t>58</w:t>
            </w:r>
          </w:p>
        </w:tc>
      </w:tr>
      <w:tr>
        <w:trPr>
          <w:trHeight w:val="455"/>
        </w:trPr>
        <w:tc>
          <w:tcPr>
            <w:tcW w:w="5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34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r>
      <w:tr>
        <w:trPr>
          <w:trHeight w:val="197"/>
        </w:trPr>
        <w:tc>
          <w:tcPr>
            <w:tcW w:w="400" w:type="dxa"/>
            <w:vAlign w:val="bottom"/>
          </w:tcPr>
          <w:p>
            <w:pPr>
              <w:spacing w:after="0"/>
              <w:rPr>
                <w:sz w:val="17"/>
                <w:szCs w:val="17"/>
                <w:color w:val="auto"/>
              </w:rPr>
            </w:pPr>
          </w:p>
        </w:tc>
        <w:tc>
          <w:tcPr>
            <w:tcW w:w="9260" w:type="dxa"/>
            <w:vAlign w:val="bottom"/>
            <w:gridSpan w:val="7"/>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rPr>
              <w:t>Consolidated Balance Sheets</w:t>
            </w:r>
          </w:p>
        </w:tc>
        <w:tc>
          <w:tcPr>
            <w:tcW w:w="152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8"/>
        </w:trPr>
        <w:tc>
          <w:tcPr>
            <w:tcW w:w="400" w:type="dxa"/>
            <w:vAlign w:val="bottom"/>
          </w:tcPr>
          <w:p>
            <w:pPr>
              <w:spacing w:after="0"/>
              <w:rPr>
                <w:sz w:val="18"/>
                <w:szCs w:val="18"/>
                <w:color w:val="auto"/>
              </w:rPr>
            </w:pPr>
          </w:p>
        </w:tc>
        <w:tc>
          <w:tcPr>
            <w:tcW w:w="5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Operations and Comprehensive Income (Loss)</w:t>
            </w:r>
          </w:p>
        </w:tc>
        <w:tc>
          <w:tcPr>
            <w:tcW w:w="37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8"/>
        </w:trPr>
        <w:tc>
          <w:tcPr>
            <w:tcW w:w="400" w:type="dxa"/>
            <w:vAlign w:val="bottom"/>
          </w:tcPr>
          <w:p>
            <w:pPr>
              <w:spacing w:after="0"/>
              <w:rPr>
                <w:sz w:val="18"/>
                <w:szCs w:val="18"/>
                <w:color w:val="auto"/>
              </w:rPr>
            </w:pPr>
          </w:p>
        </w:tc>
        <w:tc>
          <w:tcPr>
            <w:tcW w:w="3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Shareholders' Equity</w:t>
            </w:r>
          </w:p>
        </w:tc>
        <w:tc>
          <w:tcPr>
            <w:tcW w:w="5620" w:type="dxa"/>
            <w:vAlign w:val="bottom"/>
            <w:gridSpan w:val="3"/>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8"/>
        </w:trPr>
        <w:tc>
          <w:tcPr>
            <w:tcW w:w="400" w:type="dxa"/>
            <w:vAlign w:val="bottom"/>
          </w:tcPr>
          <w:p>
            <w:pPr>
              <w:spacing w:after="0"/>
              <w:rPr>
                <w:sz w:val="18"/>
                <w:szCs w:val="18"/>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0000FF"/>
                <w:w w:val="99"/>
              </w:rPr>
              <w:t>Consolidated Statements of Cash Flows</w:t>
            </w:r>
          </w:p>
        </w:tc>
        <w:tc>
          <w:tcPr>
            <w:tcW w:w="6320" w:type="dxa"/>
            <w:vAlign w:val="bottom"/>
            <w:gridSpan w:val="5"/>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8"/>
        </w:trPr>
        <w:tc>
          <w:tcPr>
            <w:tcW w:w="400" w:type="dxa"/>
            <w:vAlign w:val="bottom"/>
          </w:tcPr>
          <w:p>
            <w:pPr>
              <w:spacing w:after="0"/>
              <w:rPr>
                <w:sz w:val="18"/>
                <w:szCs w:val="18"/>
                <w:color w:val="auto"/>
              </w:rPr>
            </w:pPr>
          </w:p>
        </w:tc>
        <w:tc>
          <w:tcPr>
            <w:tcW w:w="9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0000FF"/>
              </w:rPr>
              <w:t>Notes to Consolidated Financial Statements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LendingTree,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LendingTree, Inc. and its subsidiaries (the "Company") as of December 31, 2024 and 2023, and the related consolidated statements of operations and comprehensive income,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convertible debt in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 Impairment Assessment - Stash Investment</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8 to the consolidated financial statements, the Company’s consolidated equity investments balance was $1.7 million as of December 31, 2024 and relates to an equity interest in Stash Financial, Inc. (Stash). In the third quarter of 2024, management determined there was an impairment indicator related to the Company’s Stash investment and performed a valuation of the investment, which resulted in an impairment charge of $43.4 million. The equity investments do not have a readily determinable fair value and, upon acquisition, the Company elected the measurement alternative to value its investments. The equity investments are carried at cost less impairment, if any, and subsequently measured to fair value upon observable price changes in an orderly transaction for the identical or similar investments. Management determined the fair value by predominantly modeling the Company’s value of the investment based on the new funding terms utilizing an option pricing model. Determining the fair value using the new funding terms requires the exercise of significant judgments, including judgments about the appropriate volatility, risk-free rate of return, time to expiration, and liquidation preferences.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equity investment impairment assessment of the Stash investment is a critical audit matter are (i) the significant judgment by management when developing the fair value estimate of the Stash investment; (ii) a high degree of auditor judgment , subjectivity , and effort in performing procedures and evaluating management’s significant assumptions related to volatility, risk-free rate of return, time to expiration, and liquidation preferences; and (iii) the audit effort involved the use of professionals with specialized skill and knowledge.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equity investment impairment assessment, including controls over the valuation of the Stash investment. These procedures also included, among others (i) testing management’s process for developing the fair value estimate of the Stash investment; (ii) evaluating the appropriateness of the option pricing model used by management; (iii) testing the completeness and accuracy of the underlying data, including the new funding terms, used in the option pricing model; and (iv) evaluating the reasonableness of the significant assumptions used by management related to volatility, risk-free rate of return, time to expiration, and liquidation preferences. Professionals with specialized skill and knowledge were used to assist in evaluating (i) the appropriateness of the option pricing model and (ii) the reasonableness of the assumptions related to volatility, risk-free rate of return, time to expiration, and liquidation preferences.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13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8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3"/>
          </w:tcPr>
          <w:p>
            <w:pPr>
              <w:jc w:val="right"/>
              <w:ind w:right="330"/>
              <w:spacing w:after="0" w:line="128"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w:t>
            </w:r>
          </w:p>
        </w:tc>
      </w:tr>
      <w:tr>
        <w:trPr>
          <w:trHeight w:val="195"/>
        </w:trPr>
        <w:tc>
          <w:tcPr>
            <w:tcW w:w="8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i w:val="1"/>
                <w:iCs w:val="1"/>
                <w:color w:val="auto"/>
              </w:rPr>
              <w:t>and share amounts)</w:t>
            </w:r>
          </w:p>
        </w:tc>
      </w:tr>
      <w:tr>
        <w:trPr>
          <w:trHeight w:val="23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106,594</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112,051</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$1,407 and $2,222, respectively)</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97,790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54,954</w:t>
            </w:r>
          </w:p>
        </w:tc>
      </w:tr>
      <w:tr>
        <w:trPr>
          <w:trHeight w:val="22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34,078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r>
      <w:tr>
        <w:trPr>
          <w:trHeight w:val="22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238,462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196,482</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$33,375 and $36,827, respectively)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42,780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52,557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57,222</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381,539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43,283</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(Note 8)</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r>
      <w:tr>
        <w:trPr>
          <w:trHeight w:val="228"/>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7,353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767,674</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802,759</w:t>
            </w:r>
          </w:p>
        </w:tc>
      </w:tr>
      <w:tr>
        <w:trPr>
          <w:trHeight w:val="255"/>
        </w:trPr>
        <w:tc>
          <w:tcPr>
            <w:tcW w:w="8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124,931</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8,360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8"/>
        </w:trPr>
        <w:tc>
          <w:tcPr>
            <w:tcW w:w="8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107,185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70,544</w:t>
            </w:r>
          </w:p>
        </w:tc>
      </w:tr>
      <w:tr>
        <w:trPr>
          <w:trHeight w:val="22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240,476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75,629</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344,124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525,617</w:t>
            </w:r>
          </w:p>
        </w:tc>
      </w:tr>
      <w:tr>
        <w:trPr>
          <w:trHeight w:val="22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69,238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75,023</w:t>
            </w: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4,884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28"/>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2"/>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658,853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678,627</w:t>
            </w:r>
          </w:p>
        </w:tc>
      </w:tr>
      <w:tr>
        <w:trPr>
          <w:trHeight w:val="222"/>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15 and 16)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w w:val="99"/>
              </w:rPr>
              <w:t>Common stock $.01 par value; 50,000,000 shares authorized; 16,746,556 and 16,396,911 shares issued, respectively,</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2"/>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13,391,090 and 13,041,445 shares outstanding, respectively</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8"/>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1,254,239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1,227,849</w:t>
            </w:r>
          </w:p>
        </w:tc>
      </w:tr>
      <w:tr>
        <w:trPr>
          <w:trHeight w:val="228"/>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(879,407)</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(837,703)</w:t>
            </w:r>
          </w:p>
        </w:tc>
      </w:tr>
      <w:tr>
        <w:trPr>
          <w:trHeight w:val="22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2"/>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108,821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124,132</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767,674</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802,759</w:t>
            </w:r>
          </w:p>
        </w:tc>
      </w:tr>
    </w:tbl>
    <w:p>
      <w:pPr>
        <w:spacing w:after="0" w:line="200" w:lineRule="exact"/>
        <w:rPr>
          <w:sz w:val="20"/>
          <w:szCs w:val="20"/>
          <w:color w:val="auto"/>
        </w:rPr>
      </w:pPr>
    </w:p>
    <w:p>
      <w:pPr>
        <w:spacing w:after="0" w:line="29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4"/>
            <w:shd w:val="clear" w:color="auto" w:fill="CCEEFF"/>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shd w:val="clear" w:color="auto" w:fill="CCEEFF"/>
          </w:tcPr>
          <w:p>
            <w:pPr>
              <w:spacing w:after="0"/>
              <w:rPr>
                <w:sz w:val="19"/>
                <w:szCs w:val="19"/>
                <w:color w:val="auto"/>
              </w:rPr>
            </w:pPr>
          </w:p>
        </w:tc>
      </w:tr>
      <w:tr>
        <w:trPr>
          <w:trHeight w:val="207"/>
        </w:trPr>
        <w:tc>
          <w:tcPr>
            <w:tcW w:w="7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83"/>
        </w:trPr>
        <w:tc>
          <w:tcPr>
            <w:tcW w:w="7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gridSpan w:val="4"/>
            <w:shd w:val="clear" w:color="auto" w:fill="CCEEFF"/>
          </w:tcPr>
          <w:p>
            <w:pPr>
              <w:jc w:val="center"/>
              <w:ind w:left="432"/>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amounts)</w:t>
            </w:r>
          </w:p>
        </w:tc>
        <w:tc>
          <w:tcPr>
            <w:tcW w:w="800" w:type="dxa"/>
            <w:vAlign w:val="bottom"/>
            <w:shd w:val="clear" w:color="auto" w:fill="CCEEFF"/>
          </w:tcPr>
          <w:p>
            <w:pPr>
              <w:spacing w:after="0"/>
              <w:rPr>
                <w:sz w:val="15"/>
                <w:szCs w:val="15"/>
                <w:color w:val="auto"/>
              </w:rPr>
            </w:pPr>
          </w:p>
        </w:tc>
      </w:tr>
      <w:tr>
        <w:trPr>
          <w:trHeight w:val="22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672,502</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984,992</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36,072</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38,758</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57,769</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635,963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433,588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702,238</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108,705</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117,700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152,383</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46,358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47,197</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55,553</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18,300</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19,070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5,889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7,694</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38,600</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10,118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r>
      <w:tr>
        <w:trPr>
          <w:trHeight w:val="228"/>
        </w:trPr>
        <w:tc>
          <w:tcPr>
            <w:tcW w:w="7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3,797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2"/>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855,592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713,113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1,017,754</w:t>
            </w:r>
          </w:p>
        </w:tc>
      </w:tr>
      <w:tr>
        <w:trPr>
          <w:trHeight w:val="222"/>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44,627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(40,611)</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(32,762)</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21,685</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r>
      <w:tr>
        <w:trPr>
          <w:trHeight w:val="228"/>
        </w:trPr>
        <w:tc>
          <w:tcPr>
            <w:tcW w:w="72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(54,162)</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2"/>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(37,384)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(124,919)</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(54,933)</w:t>
            </w:r>
          </w:p>
        </w:tc>
      </w:tr>
      <w:tr>
        <w:trPr>
          <w:trHeight w:val="228"/>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2,515</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(133,019)</w:t>
            </w:r>
          </w:p>
        </w:tc>
      </w:tr>
      <w:tr>
        <w:trPr>
          <w:trHeight w:val="229"/>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(122,404)</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(187,952)</w:t>
            </w:r>
          </w:p>
        </w:tc>
      </w:tr>
      <w:tr>
        <w:trPr>
          <w:trHeight w:val="255"/>
        </w:trPr>
        <w:tc>
          <w:tcPr>
            <w:tcW w:w="7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13,269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12,941</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w:t>
            </w:r>
          </w:p>
        </w:tc>
      </w:tr>
      <w:tr>
        <w:trPr>
          <w:trHeight w:val="22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13,269</w:t>
            </w:r>
          </w:p>
        </w:tc>
        <w:tc>
          <w:tcPr>
            <w:tcW w:w="3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12,941</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r>
      <w:tr>
        <w:trPr>
          <w:trHeight w:val="228"/>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28"/>
        </w:trPr>
        <w:tc>
          <w:tcPr>
            <w:tcW w:w="7260" w:type="dxa"/>
            <w:vAlign w:val="bottom"/>
            <w:tcBorders>
              <w:bottom w:val="single" w:sz="8" w:color="999999"/>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999999"/>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Borders>
              <w:bottom w:val="single" w:sz="8" w:color="999999"/>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500" w:type="dxa"/>
            <w:vAlign w:val="bottom"/>
            <w:tcBorders>
              <w:bottom w:val="single" w:sz="8" w:color="999999"/>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r>
    </w:tbl>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6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447,992</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16,071</w:t>
            </w:r>
          </w:p>
        </w:tc>
        <w:tc>
          <w:tcPr>
            <w:tcW w:w="86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1,242,794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(571,794)</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2,976</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(223,169)</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(187,952)</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(187,952)</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59,624</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59,624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(43,009)</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restricted stock awards and restricted stock</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(3,412)</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8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units, net of withholding taxes</w:t>
            </w: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9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Cumulative effect adjustment due to ASU</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(65,303)</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(109,750)</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44,447</w:t>
            </w:r>
          </w:p>
        </w:tc>
        <w:tc>
          <w:tcPr>
            <w:tcW w:w="11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2020-06</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207,940</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16,167</w:t>
            </w:r>
          </w:p>
        </w:tc>
        <w:tc>
          <w:tcPr>
            <w:tcW w:w="86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1,189,255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(715,299)</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4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(122,404)</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(122,404)</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39,682</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39,682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9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tcPr>
          <w:p>
            <w:pPr>
              <w:ind w:left="140"/>
              <w:spacing w:after="0" w:line="144" w:lineRule="exact"/>
              <w:rPr>
                <w:sz w:val="20"/>
                <w:szCs w:val="20"/>
                <w:color w:val="auto"/>
              </w:rPr>
            </w:pPr>
            <w:r>
              <w:rPr>
                <w:rFonts w:ascii="Times New Roman" w:cs="Times New Roman" w:eastAsia="Times New Roman" w:hAnsi="Times New Roman"/>
                <w:sz w:val="14"/>
                <w:szCs w:val="14"/>
                <w:color w:val="auto"/>
              </w:rPr>
              <w:t>restricted stock awards and restricted stock</w:t>
            </w:r>
          </w:p>
        </w:tc>
        <w:tc>
          <w:tcPr>
            <w:tcW w:w="240" w:type="dxa"/>
            <w:vAlign w:val="bottom"/>
          </w:tcPr>
          <w:p>
            <w:pPr>
              <w:spacing w:after="0"/>
              <w:rPr>
                <w:sz w:val="12"/>
                <w:szCs w:val="12"/>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(1,087)</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230</w:t>
            </w:r>
          </w:p>
        </w:tc>
        <w:tc>
          <w:tcPr>
            <w:tcW w:w="86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22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units, net of withholding taxes</w:t>
            </w: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124,132</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16,397</w:t>
            </w:r>
          </w:p>
        </w:tc>
        <w:tc>
          <w:tcPr>
            <w:tcW w:w="8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1,227,849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(837,703)</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(41,704)</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(41,704)</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28,579</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28,579</w:t>
            </w:r>
          </w:p>
        </w:tc>
        <w:tc>
          <w:tcPr>
            <w:tcW w:w="22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9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for stock options,</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employee stock purchase plan, restricted stock</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awards and restricted stock units, net of</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(2,186)</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w:t>
            </w:r>
          </w:p>
        </w:tc>
        <w:tc>
          <w:tcPr>
            <w:tcW w:w="86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2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taxes</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108,821</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16,747</w:t>
            </w:r>
          </w:p>
        </w:tc>
        <w:tc>
          <w:tcPr>
            <w:tcW w:w="86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167</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1,254,239</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(879,407)</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3,355</w:t>
            </w:r>
          </w:p>
        </w:tc>
        <w:tc>
          <w:tcPr>
            <w:tcW w:w="2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r>
      <w:tr>
        <w:trPr>
          <w:trHeight w:val="25"/>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loss and comprehensive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(41,704)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(122,404)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(187,952)</w:t>
            </w:r>
          </w:p>
        </w:tc>
      </w:tr>
      <w:tr>
        <w:trPr>
          <w:trHeight w:val="20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impairments and disposal of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6,590</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25,306</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20,095</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compensation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59,624</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132,666</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6,432</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Reduction in carrying amount of ROU asset, offset by change in operating lease liabilities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settlement of convertible debt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(gain) on investments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114,504</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impairment of goodwill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(5,541)</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r>
      <w:tr>
        <w:trPr>
          <w:trHeight w:val="194"/>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203"/>
        </w:trPr>
        <w:tc>
          <w:tcPr>
            <w:tcW w:w="7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w:t>
            </w: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62,258</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67,571</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42,967</w:t>
            </w: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(11,443)</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equity investment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(16,440)</w:t>
            </w:r>
          </w:p>
        </w:tc>
      </w:tr>
      <w:tr>
        <w:trPr>
          <w:trHeight w:val="195"/>
        </w:trPr>
        <w:tc>
          <w:tcPr>
            <w:tcW w:w="7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(11,218)</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(12,478)</w:t>
            </w: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(27,876)</w:t>
            </w:r>
          </w:p>
        </w:tc>
      </w:tr>
      <w:tr>
        <w:trPr>
          <w:trHeight w:val="194"/>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related to net-share settlement of stock-based compensation, net of proceeds from exercise of stock options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(43,009)</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term loan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0.50% Convertible Senior Notes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(158,839)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(237,464)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0.625% Convertible 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(169,659)</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original issue discount on term loan</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(56,502)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(242,006)</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32,536</w:t>
            </w:r>
          </w:p>
        </w:tc>
      </w:tr>
      <w:tr>
        <w:trPr>
          <w:trHeight w:val="195"/>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restricted cash and restricted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(5,462)</w:t>
            </w: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(186,913)</w:t>
            </w: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47,627</w:t>
            </w:r>
          </w:p>
        </w:tc>
      </w:tr>
      <w:tr>
        <w:trPr>
          <w:trHeight w:val="195"/>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at beginning of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112,056</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298,969</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251,342</w:t>
            </w:r>
          </w:p>
        </w:tc>
      </w:tr>
      <w:tr>
        <w:trPr>
          <w:trHeight w:val="208"/>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restricted cash, and restricted cash equivalents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106,594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112,056</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298,969</w:t>
            </w:r>
          </w:p>
        </w:tc>
      </w:tr>
      <w:tr>
        <w:trPr>
          <w:trHeight w:val="202"/>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capital expenditures included in accounts payable and accrued expenses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23,685</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19,017</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payments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r>
      <w:tr>
        <w:trPr>
          <w:trHeight w:val="186"/>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refunds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5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Variable consideration is included in revenue if it is probable that a significant future reversal of cumulative revenue under the contract will not occur.</w:t>
      </w:r>
    </w:p>
    <w:p>
      <w:pPr>
        <w:spacing w:after="0" w:line="11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fees and subscription fees.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Under ASC Topic 606, the timing of recognizing revenue for closing fees and approval fees is accelerated to the point when a loan request or a credit card consumer is delivered to the customer, as opposed to when the consumer loan is closed by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and credit card approvals. The time between satisfaction of the Company's performance obligation and when the Company's right to consideration becomes unconditional for small business loans is generally less than 5 years.</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payment terms vary by customer and services offered. The term between invoicing and when payment is due is generally 30 days or less.</w:t>
      </w:r>
    </w:p>
    <w:p>
      <w:pPr>
        <w:spacing w:after="0" w:line="11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include cash and short-term, highly liquid money market investments with original maturities of three months or less.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escrowed or contractually restricted for a specific purpose is designated as restricted cash.</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8"/>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1,752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28"/>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(2,274)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8"/>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2"/>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4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2,222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including internally-developed software and significant improvements, are recorded at cost less accumulated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Due to the rapid advancements in technology and evolution of company products, all internally-developed software is written off at the end of its useful life.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Repairs and maintenance and any gains or losses on dispositions are recognized as incurred in current operations.</w:t>
      </w:r>
    </w:p>
    <w:p>
      <w:pPr>
        <w:spacing w:after="0" w:line="97"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Depreciation is recorded on a straight-line basis to allocate the cost of depreciable assets to operations over their estimated service lives. The following table presents the estimated useful lives for each asset category: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5520" w:type="dxa"/>
            <w:vAlign w:val="bottom"/>
            <w:tcBorders>
              <w:bottom w:val="single" w:sz="8" w:color="auto"/>
            </w:tcBorders>
          </w:tcPr>
          <w:p>
            <w:pPr>
              <w:jc w:val="center"/>
              <w:ind w:left="1572"/>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5520" w:type="dxa"/>
            <w:vAlign w:val="bottom"/>
            <w:shd w:val="clear" w:color="auto" w:fill="CCEEFF"/>
          </w:tcPr>
          <w:p>
            <w:pPr>
              <w:jc w:val="center"/>
              <w:ind w:left="1572"/>
              <w:spacing w:after="0"/>
              <w:rPr>
                <w:sz w:val="20"/>
                <w:szCs w:val="20"/>
                <w:color w:val="auto"/>
              </w:rPr>
            </w:pPr>
            <w:r>
              <w:rPr>
                <w:rFonts w:ascii="Times New Roman" w:cs="Times New Roman" w:eastAsia="Times New Roman" w:hAnsi="Times New Roman"/>
                <w:sz w:val="18"/>
                <w:szCs w:val="18"/>
                <w:color w:val="auto"/>
                <w:w w:val="98"/>
              </w:rPr>
              <w:t>1 to 5 years</w:t>
            </w:r>
          </w:p>
        </w:tc>
      </w:tr>
      <w:tr>
        <w:trPr>
          <w:trHeight w:val="22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20" w:type="dxa"/>
            <w:vAlign w:val="bottom"/>
          </w:tcPr>
          <w:p>
            <w:pPr>
              <w:jc w:val="center"/>
              <w:ind w:left="1572"/>
              <w:spacing w:after="0"/>
              <w:rPr>
                <w:sz w:val="20"/>
                <w:szCs w:val="20"/>
                <w:color w:val="auto"/>
              </w:rPr>
            </w:pPr>
            <w:r>
              <w:rPr>
                <w:rFonts w:ascii="Times New Roman" w:cs="Times New Roman" w:eastAsia="Times New Roman" w:hAnsi="Times New Roman"/>
                <w:sz w:val="18"/>
                <w:szCs w:val="18"/>
                <w:color w:val="auto"/>
                <w:w w:val="99"/>
              </w:rPr>
              <w:t>Lesser of asset life or life of lease</w:t>
            </w:r>
          </w:p>
        </w:tc>
      </w:tr>
      <w:tr>
        <w:trPr>
          <w:trHeight w:val="22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552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rPr>
              <w:t>7 years</w:t>
            </w:r>
          </w:p>
        </w:tc>
      </w:tr>
      <w:tr>
        <w:trPr>
          <w:trHeight w:val="22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552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w w:val="99"/>
              </w:rPr>
              <w:t>10 years</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Hosting Arrangement that is a Service Contract</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Goodwill acquired in business combinations is assigned to the reporting units that are expected to benefit from the combination as of the acquisition date. Goodwill and indefinite-lived intangible assets, consisting of certain trade names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trademarks, are not amortized. Rather, these assets are tested annually for impairment as of October 1, or more frequently upon the occurrence of certain events or substantive changes in circumstances.</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and market analysis requires the exercise of significant judgments, including judgments about appropriate discount rates, revenue growth rates, marketing spend, direct operating expenses, the amount and timing of expected future cash flows, and market multiples. If the fair value of a reporting unit exceeds its carrying amount, goodwill of the reporting unit is not impaired. If the carrying amount of a reporting unit exceeds its fair value, an impairment loss is recognized in an amount equal to that excess.</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spacing w:after="0" w:line="6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Results of the October 1, 2024, 2023 and 2022 qualitative annual impairment tests indicated that it is not more likely than not that the fair value of the goodwill and the indefinite-lived intangible assets were each less than their respective carrying values. Accordingly, no further testing was required.</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At December 31, 2024, the Company performed its quarterly review of impairment triggering events for goodwill and determined that a triggering event had not occurred.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and Intangible Assets with Definite Lives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Long-lived assets include property and equipment, definite-lived intangible assets and operating lease right-of-use assets. Amortization of definite-lived intangible assets is recorded on a straight-line basis over their estimated lives.</w:t>
      </w:r>
    </w:p>
    <w:p>
      <w:pPr>
        <w:spacing w:after="0" w:line="55"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Capitalized implementation costs incurred in a hosting arrangement that is a service contract are also allocated to and included within long-lived asset groups tested for recoverability.</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w:t>
      </w:r>
    </w:p>
    <w:p>
      <w:pPr>
        <w:spacing w:after="0" w:line="74"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At December 31, 2024 and 2023, the Company performed its review of impairment triggering events for long-lived asset groups and determined that a triggering event had not occurred.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assets or disposal groups to be sold as held for sale in the period in which all of the following criteria are met:</w:t>
      </w:r>
    </w:p>
    <w:p>
      <w:pPr>
        <w:spacing w:after="0" w:line="115" w:lineRule="exact"/>
        <w:rPr>
          <w:sz w:val="20"/>
          <w:szCs w:val="20"/>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 or disposal group;</w:t>
      </w:r>
    </w:p>
    <w:p>
      <w:pPr>
        <w:spacing w:after="0" w:line="115" w:lineRule="exact"/>
        <w:rPr>
          <w:rFonts w:ascii="Times New Roman" w:cs="Times New Roman" w:eastAsia="Times New Roman" w:hAnsi="Times New Roman"/>
          <w:sz w:val="18"/>
          <w:szCs w:val="18"/>
          <w:color w:val="auto"/>
        </w:rPr>
      </w:pPr>
    </w:p>
    <w:p>
      <w:pPr>
        <w:ind w:left="660" w:right="240" w:hanging="330"/>
        <w:spacing w:after="0" w:line="28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available for immediate sale in its present condition subject only to terms that are usual and customary for sales of such assets or disposal groups;</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program to locate a buyer and other actions required to complete the plan to sell the asset or disposal group have been initiated;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20" w:hanging="330"/>
        <w:spacing w:after="0" w:line="26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spacing w:after="0" w:line="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or disposal group is being actively marketed for sale at a price that is reasonable in relation to its current fair value; and</w:t>
      </w:r>
    </w:p>
    <w:p>
      <w:pPr>
        <w:spacing w:after="0" w:line="115"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required to complete the plan indicate that it is unlikely that significant changes to the plan will be made or that the plan will be withdrawn.</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long-lived asset or disposal group that is classified as held for sale is initially measured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(expense) income in the consolidated statement of operations and comprehensive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 Company categorizes its assets and liabilities measured at fair value into a fair value hierarchy that prioritizes the assumptions used in pricing the asset or liability into the following three levels:</w:t>
      </w:r>
    </w:p>
    <w:p>
      <w:pPr>
        <w:spacing w:after="0" w:line="51" w:lineRule="exact"/>
        <w:rPr>
          <w:sz w:val="20"/>
          <w:szCs w:val="20"/>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1</w:t>
      </w:r>
      <w:r>
        <w:rPr>
          <w:rFonts w:ascii="Times New Roman" w:cs="Times New Roman" w:eastAsia="Times New Roman" w:hAnsi="Times New Roman"/>
          <w:sz w:val="18"/>
          <w:szCs w:val="18"/>
          <w:color w:val="auto"/>
        </w:rPr>
        <w:t>: Observable inputs, such as quoted prices for identical assets and liabilities in active markets obtained from independent sources.</w:t>
      </w:r>
    </w:p>
    <w:p>
      <w:pPr>
        <w:spacing w:after="0" w:line="115" w:lineRule="exact"/>
        <w:rPr>
          <w:rFonts w:ascii="Times New Roman" w:cs="Times New Roman" w:eastAsia="Times New Roman" w:hAnsi="Times New Roman"/>
          <w:sz w:val="18"/>
          <w:szCs w:val="18"/>
          <w:color w:val="auto"/>
        </w:rPr>
      </w:pPr>
    </w:p>
    <w:p>
      <w:pPr>
        <w:jc w:val="both"/>
        <w:ind w:left="660" w:hanging="330"/>
        <w:spacing w:after="0" w:line="26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2</w:t>
      </w:r>
      <w:r>
        <w:rPr>
          <w:rFonts w:ascii="Times New Roman" w:cs="Times New Roman" w:eastAsia="Times New Roman" w:hAnsi="Times New Roman"/>
          <w:sz w:val="18"/>
          <w:szCs w:val="18"/>
          <w:color w:val="auto"/>
        </w:rPr>
        <w:t>: Other inputs that are observable directly or indirectly, such as quoted prices for similar assets or liabilities in active markets,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and inputs that are derived principally from or corroborated by observable market data.</w:t>
      </w:r>
    </w:p>
    <w:p>
      <w:pPr>
        <w:spacing w:after="0" w:line="61" w:lineRule="exact"/>
        <w:rPr>
          <w:rFonts w:ascii="Times New Roman" w:cs="Times New Roman" w:eastAsia="Times New Roman" w:hAnsi="Times New Roman"/>
          <w:sz w:val="18"/>
          <w:szCs w:val="18"/>
          <w:color w:val="auto"/>
        </w:rPr>
      </w:pPr>
    </w:p>
    <w:p>
      <w:pPr>
        <w:ind w:left="660" w:right="20" w:hanging="330"/>
        <w:spacing w:after="0" w:line="28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Level 3</w:t>
      </w:r>
      <w:r>
        <w:rPr>
          <w:rFonts w:ascii="Times New Roman" w:cs="Times New Roman" w:eastAsia="Times New Roman" w:hAnsi="Times New Roman"/>
          <w:sz w:val="18"/>
          <w:szCs w:val="18"/>
          <w:color w:val="auto"/>
        </w:rPr>
        <w:t>: Unobservable inputs for which there is little or no market data and which require the Company to develop its own assumptions,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best information available under the circumstances, about the assumptions market participants would use in pricing the asset or liability.</w:t>
      </w:r>
    </w:p>
    <w:p>
      <w:pPr>
        <w:spacing w:after="0" w:line="5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w:t>
      </w:r>
    </w:p>
    <w:p>
      <w:pPr>
        <w:spacing w:after="0" w:line="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 At December 31, 2024, the Company had no outstanding contingent consideration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as well as third-party labor costs that are not capitalized, for employees and consultants engaged in the design, development, testing and enhancement of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Promotional Expense</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Advertising and promotional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and promotional expense was $595.9 million, $391.6 million and $647.3 million for the years ended December 31, 2024, 2023 and 2022, respectively, and is included in selling and marketing expense on the consolidated statements of operations and comprehensive income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liability method and deferred tax assets and liabilities are recognized for the future tax consequences attributable to differences between the consolidated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w:t>
      </w:r>
    </w:p>
    <w:p>
      <w:pPr>
        <w:spacing w:after="0" w:line="78"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The forms of stock-based awards granted to LendingTree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LendingTree recognizes as expense non-cash compensation for all stock-based awards for which vesting is considered probable. Forfeitures are recognized when they occur.</w:t>
      </w:r>
    </w:p>
    <w:p>
      <w:pPr>
        <w:spacing w:after="0" w:line="5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For service-based awards, non-cash compensation is measured at fair value on the grant date and expensed ratably over the vesting term. The fair value of stock option awards without a market condition and Employee Stock Purchase Rights are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Excess tax benefits and deficiencies that arise due to the difference in the measure of stock compensation and the amount deductible for tax purposes are recorded in income tax expense within the consolidated statement of operations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and are classified as a component of operating cash flows within the consolidated statements of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115"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December 31, 2024,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5"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For the year ended December 31, 2024, two network partners accounted for 22% and 11%, respectively, of total consolidated revenue, all of which was recorded within the Insurance segment. For the years December 31, 2023, and December 31, 2022 there were no network partners accounting for more than 10% of total revenue.</w:t>
      </w:r>
    </w:p>
    <w:p>
      <w:pPr>
        <w:spacing w:after="0" w:line="6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8"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Early adoption is permitted, including adoption in interim periods. An entity should adopt the guidance as of the beginning of the earliest period presented. The Company adopted this ASU on December 31,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20—Segment Information for further information.</w:t>
      </w:r>
    </w:p>
    <w:p>
      <w:pPr>
        <w:spacing w:after="0" w:line="13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spacing w:after="0" w:line="13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 xml:space="preserve">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14—Debt for further information.</w:t>
      </w:r>
    </w:p>
    <w:p>
      <w:pPr>
        <w:spacing w:after="0" w:line="134" w:lineRule="exact"/>
        <w:rPr>
          <w:sz w:val="20"/>
          <w:szCs w:val="20"/>
          <w:color w:val="auto"/>
        </w:rPr>
      </w:pPr>
    </w:p>
    <w:p>
      <w:pPr>
        <w:jc w:val="both"/>
        <w:ind w:firstLine="323"/>
        <w:spacing w:after="0" w:line="282" w:lineRule="auto"/>
        <w:rPr>
          <w:sz w:val="20"/>
          <w:szCs w:val="20"/>
          <w:color w:val="auto"/>
        </w:rPr>
      </w:pPr>
      <w:r>
        <w:rPr>
          <w:rFonts w:ascii="Times New Roman" w:cs="Times New Roman" w:eastAsia="Times New Roman" w:hAnsi="Times New Roman"/>
          <w:sz w:val="18"/>
          <w:szCs w:val="18"/>
          <w:color w:val="auto"/>
        </w:rPr>
        <w:t xml:space="preserve">The cumulative effect of the changes made to the consolidated January 1, 2022 balance sheet for the adoption of ASU 2020-06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6"/>
                <w:szCs w:val="16"/>
                <w:color w:val="auto"/>
              </w:rPr>
            </w:pPr>
          </w:p>
        </w:tc>
        <w:tc>
          <w:tcPr>
            <w:tcW w:w="16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Adjustments due to</w:t>
            </w:r>
          </w:p>
        </w:tc>
        <w:tc>
          <w:tcPr>
            <w:tcW w:w="240" w:type="dxa"/>
            <w:vAlign w:val="bottom"/>
          </w:tcPr>
          <w:p>
            <w:pPr>
              <w:spacing w:after="0"/>
              <w:rPr>
                <w:sz w:val="16"/>
                <w:szCs w:val="16"/>
                <w:color w:val="auto"/>
              </w:rPr>
            </w:pPr>
          </w:p>
        </w:tc>
        <w:tc>
          <w:tcPr>
            <w:tcW w:w="16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ASU 2020-06</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111,560</w:t>
            </w:r>
          </w:p>
        </w:tc>
        <w:tc>
          <w:tcPr>
            <w:tcW w:w="0" w:type="dxa"/>
            <w:vAlign w:val="bottom"/>
          </w:tcPr>
          <w:p>
            <w:pPr>
              <w:spacing w:after="0"/>
              <w:rPr>
                <w:sz w:val="1"/>
                <w:szCs w:val="1"/>
                <w:color w:val="auto"/>
              </w:rPr>
            </w:pPr>
          </w:p>
        </w:tc>
      </w:tr>
      <w:tr>
        <w:trPr>
          <w:trHeight w:val="255"/>
        </w:trPr>
        <w:tc>
          <w:tcPr>
            <w:tcW w:w="41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169,221</w:t>
            </w: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7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478,151</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86,069</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564,220</w:t>
            </w:r>
          </w:p>
        </w:tc>
        <w:tc>
          <w:tcPr>
            <w:tcW w:w="0" w:type="dxa"/>
            <w:vAlign w:val="bottom"/>
          </w:tcPr>
          <w:p>
            <w:pPr>
              <w:spacing w:after="0"/>
              <w:rPr>
                <w:sz w:val="1"/>
                <w:szCs w:val="1"/>
                <w:color w:val="auto"/>
              </w:rPr>
            </w:pPr>
          </w:p>
        </w:tc>
      </w:tr>
      <w:tr>
        <w:trPr>
          <w:trHeight w:val="255"/>
        </w:trPr>
        <w:tc>
          <w:tcPr>
            <w:tcW w:w="41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1,133,044</w:t>
            </w:r>
          </w:p>
        </w:tc>
        <w:tc>
          <w:tcPr>
            <w:tcW w:w="0" w:type="dxa"/>
            <w:vAlign w:val="bottom"/>
          </w:tcPr>
          <w:p>
            <w:pPr>
              <w:spacing w:after="0"/>
              <w:rPr>
                <w:sz w:val="1"/>
                <w:szCs w:val="1"/>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7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(571,794)</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44,447</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(527,347)</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128,854</w:t>
            </w:r>
          </w:p>
        </w:tc>
        <w:tc>
          <w:tcPr>
            <w:tcW w:w="5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143,753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289,383</w:t>
            </w:r>
          </w:p>
        </w:tc>
      </w:tr>
      <w:tr>
        <w:trPr>
          <w:trHeight w:val="228"/>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Personal loans</w:t>
            </w:r>
          </w:p>
        </w:tc>
        <w:tc>
          <w:tcPr>
            <w:tcW w:w="10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101,412</w:t>
            </w:r>
          </w:p>
        </w:tc>
        <w:tc>
          <w:tcPr>
            <w:tcW w:w="50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100,124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144,148</w:t>
            </w:r>
          </w:p>
        </w:tc>
      </w:tr>
      <w:tr>
        <w:trPr>
          <w:trHeight w:val="22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121,050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178,821</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251,961</w:t>
            </w:r>
          </w:p>
        </w:tc>
      </w:tr>
      <w:tr>
        <w:trPr>
          <w:trHeight w:val="222"/>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222,462</w:t>
            </w:r>
          </w:p>
        </w:tc>
        <w:tc>
          <w:tcPr>
            <w:tcW w:w="500" w:type="dxa"/>
            <w:vAlign w:val="bottom"/>
          </w:tcPr>
          <w:p>
            <w:pPr>
              <w:spacing w:after="0"/>
              <w:rPr>
                <w:sz w:val="19"/>
                <w:szCs w:val="19"/>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278,945</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396,109</w:t>
            </w:r>
          </w:p>
        </w:tc>
      </w:tr>
      <w:tr>
        <w:trPr>
          <w:trHeight w:val="22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548,704</w:t>
            </w: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249,605</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299,073</w:t>
            </w:r>
          </w:p>
        </w:tc>
      </w:tr>
      <w:tr>
        <w:trPr>
          <w:trHeight w:val="228"/>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900,219</w:t>
            </w:r>
          </w:p>
        </w:tc>
        <w:tc>
          <w:tcPr>
            <w:tcW w:w="5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672,502</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984,992</w:t>
            </w:r>
          </w:p>
        </w:tc>
      </w:tr>
    </w:tbl>
    <w:p>
      <w:pPr>
        <w:spacing w:after="0" w:line="183"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$20.5 million and $13.7 million on December 31, 2024 and 2023, respectively.</w:t>
      </w:r>
    </w:p>
    <w:p>
      <w:pPr>
        <w:spacing w:after="0" w:line="5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the contract liability was in the Ovation business that was closed during 2023, there was no contract liability at December 31, 2023. During 2023, the Company recognized revenue of $0.9 million that was included in the contract liability balance at December 31, 2022.</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an increase of $0.4 million to such revenue from prior periods in 2024, an immaterial increase to such revenue from prior periods in 2023, and an increase of $0.5 million to such revenue from prior periods in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4—CASH AND RESTRICTED CASH</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Total cash, cash equivalents, restricted cash and restricted cash equivalents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106,594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112,051</w:t>
            </w:r>
          </w:p>
        </w:tc>
      </w:tr>
      <w:tr>
        <w:trPr>
          <w:trHeight w:val="228"/>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cash equivalents, restricted cash and restricted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106,594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112,056</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5—PROPERTY AND EQUIPMENT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property and equipment,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29,206</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6,864</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2,598</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Projects in progress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5,072</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property and equipment</w:t>
            </w:r>
          </w:p>
        </w:tc>
        <w:tc>
          <w:tcPr>
            <w:tcW w:w="12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76,155</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87,308</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42,780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50,481</w:t>
            </w:r>
          </w:p>
        </w:tc>
      </w:tr>
    </w:tbl>
    <w:p>
      <w:pPr>
        <w:spacing w:after="0" w:line="183" w:lineRule="exact"/>
        <w:rPr>
          <w:sz w:val="20"/>
          <w:szCs w:val="20"/>
          <w:color w:val="auto"/>
        </w:rPr>
      </w:pPr>
    </w:p>
    <w:p>
      <w:pPr>
        <w:jc w:val="both"/>
        <w:ind w:right="20" w:firstLine="323"/>
        <w:spacing w:after="0" w:line="264" w:lineRule="auto"/>
        <w:rPr>
          <w:sz w:val="20"/>
          <w:szCs w:val="20"/>
          <w:color w:val="auto"/>
        </w:rPr>
      </w:pPr>
      <w:r>
        <w:rPr>
          <w:rFonts w:ascii="Times New Roman" w:cs="Times New Roman" w:eastAsia="Times New Roman" w:hAnsi="Times New Roman"/>
          <w:sz w:val="18"/>
          <w:szCs w:val="18"/>
          <w:color w:val="auto"/>
        </w:rPr>
        <w:t>Unamortized capitalized software development costs recorded in property and equipment, whether in service or under development, are $15.1 million and $17.5 million at December 31, 2024 and 2023, respectively. Capitalized software development depreciation expense was $13.5 million, $13.4 million and $14.1 million for the years ended December 31, 2024, 2023 and 2022, respectively.</w:t>
      </w:r>
    </w:p>
    <w:p>
      <w:pPr>
        <w:spacing w:after="0" w:line="6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Long-lived assets located outside the United States, the Company's country of domicile, were immaterial at December 31, 2024 and December 31, 2023.</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6—HOSTING ARRANGEMENTS</w:t>
      </w:r>
    </w:p>
    <w:p>
      <w:pPr>
        <w:spacing w:after="0" w:line="281"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 xml:space="preserve">The balance of capitalized implementation costs incurred in a hosting arrangement that is a service contract, which are recorded within prepaid and other current assets and other non-current assets,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28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Current portion</w:t>
            </w:r>
          </w:p>
        </w:tc>
        <w:tc>
          <w:tcPr>
            <w:tcW w:w="260" w:type="dxa"/>
            <w:vAlign w:val="bottom"/>
          </w:tcPr>
          <w:p>
            <w:pPr>
              <w:spacing w:after="0"/>
              <w:rPr>
                <w:sz w:val="13"/>
                <w:szCs w:val="13"/>
                <w:color w:val="auto"/>
              </w:rPr>
            </w:pPr>
          </w:p>
        </w:tc>
        <w:tc>
          <w:tcPr>
            <w:tcW w:w="1240" w:type="dxa"/>
            <w:vAlign w:val="bottom"/>
          </w:tcPr>
          <w:p>
            <w:pPr>
              <w:jc w:val="center"/>
              <w:ind w:right="133"/>
              <w:spacing w:after="0" w:line="155" w:lineRule="exact"/>
              <w:rPr>
                <w:sz w:val="20"/>
                <w:szCs w:val="20"/>
                <w:color w:val="auto"/>
              </w:rPr>
            </w:pPr>
            <w:r>
              <w:rPr>
                <w:rFonts w:ascii="Times New Roman" w:cs="Times New Roman" w:eastAsia="Times New Roman" w:hAnsi="Times New Roman"/>
                <w:sz w:val="16"/>
                <w:szCs w:val="16"/>
                <w:b w:val="1"/>
                <w:bCs w:val="1"/>
                <w:color w:val="auto"/>
              </w:rPr>
              <w:t>Non-current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Current portion</w:t>
            </w:r>
          </w:p>
        </w:tc>
        <w:tc>
          <w:tcPr>
            <w:tcW w:w="260" w:type="dxa"/>
            <w:vAlign w:val="bottom"/>
          </w:tcPr>
          <w:p>
            <w:pPr>
              <w:spacing w:after="0"/>
              <w:rPr>
                <w:sz w:val="13"/>
                <w:szCs w:val="13"/>
                <w:color w:val="auto"/>
              </w:rPr>
            </w:pPr>
          </w:p>
        </w:tc>
        <w:tc>
          <w:tcPr>
            <w:tcW w:w="1220" w:type="dxa"/>
            <w:vAlign w:val="bottom"/>
          </w:tcPr>
          <w:p>
            <w:pPr>
              <w:jc w:val="center"/>
              <w:ind w:right="113"/>
              <w:spacing w:after="0" w:line="155" w:lineRule="exact"/>
              <w:rPr>
                <w:sz w:val="20"/>
                <w:szCs w:val="20"/>
                <w:color w:val="auto"/>
              </w:rPr>
            </w:pPr>
            <w:r>
              <w:rPr>
                <w:rFonts w:ascii="Times New Roman" w:cs="Times New Roman" w:eastAsia="Times New Roman" w:hAnsi="Times New Roman"/>
                <w:sz w:val="16"/>
                <w:szCs w:val="16"/>
                <w:b w:val="1"/>
                <w:bCs w:val="1"/>
                <w:color w:val="auto"/>
              </w:rPr>
              <w:t>Non-current</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portion</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5,679</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Projects in progress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8"/>
              </w:rPr>
              <w:t>1,869</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3,101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3,580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w w:val="98"/>
              </w:rPr>
              <w:t>7,548</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8"/>
              </w:rPr>
              <w:t>(3,457)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1,910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2,401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w w:val="98"/>
              </w:rPr>
              <w:t>4,091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Amortization expense included within general and administrative expense on the consolidated statement of operations and comprehensive income (loss) associated with these capitalized implementation costs was $3.8 million, $3.5 million and $2.5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balance of goodwill,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tcPr>
          <w:p>
            <w:pPr>
              <w:spacing w:after="0"/>
              <w:rPr>
                <w:sz w:val="13"/>
                <w:szCs w:val="13"/>
                <w:color w:val="auto"/>
              </w:rPr>
            </w:pPr>
          </w:p>
        </w:tc>
        <w:tc>
          <w:tcPr>
            <w:tcW w:w="13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3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 Goodwill</w:t>
            </w:r>
          </w:p>
        </w:tc>
        <w:tc>
          <w:tcPr>
            <w:tcW w:w="0" w:type="dxa"/>
            <w:vAlign w:val="bottom"/>
          </w:tcPr>
          <w:p>
            <w:pPr>
              <w:spacing w:after="0"/>
              <w:rPr>
                <w:sz w:val="1"/>
                <w:szCs w:val="1"/>
                <w:color w:val="auto"/>
              </w:rPr>
            </w:pPr>
          </w:p>
        </w:tc>
      </w:tr>
      <w:tr>
        <w:trPr>
          <w:trHeight w:val="193"/>
        </w:trPr>
        <w:tc>
          <w:tcPr>
            <w:tcW w:w="6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Impairment Loss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Changes in goodwill</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903,227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(521,688)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0" w:type="dxa"/>
            <w:vAlign w:val="bottom"/>
          </w:tcPr>
          <w:p>
            <w:pPr>
              <w:spacing w:after="0"/>
              <w:rPr>
                <w:sz w:val="1"/>
                <w:szCs w:val="1"/>
                <w:color w:val="auto"/>
              </w:rPr>
            </w:pPr>
          </w:p>
        </w:tc>
      </w:tr>
      <w:tr>
        <w:trPr>
          <w:trHeight w:val="47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The balance of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24"/>
                <w:szCs w:val="24"/>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33,141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40,478</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43,283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50,620</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1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 Company's goodwill at December 31, 2024 consists of $59.3 million associated with the Home reporting unit, $166.1 million associated with the Consumer reporting unit, and $156.1 million associated with the Insurance reporting unit.</w:t>
      </w:r>
    </w:p>
    <w:p>
      <w:pPr>
        <w:spacing w:after="0" w:line="55"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the third quarter of 2023, the Company’s market capitalization declined significantly compared to the second quarter of 2023. The closing stock price on September 29, 2023 was $15.50 reflecting a market capitalization below the Company's book value. In addition, the effects of the challenging interest rate environment, low for-sale home inventories and the rise in home prices in the Home reporting unit and consumer price inflation negatively impacting carrier underwriting in the Insurance reporting unit continued to provide revenue headwinds. Based on these factors, it was concluded that a triggering event had occurred and an interim quantitative impairment test was performed as of September 30, 2023. Upon completing the quantitative goodwill impairment test, the Company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spacing w:after="0" w:line="7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Company will continue to monitor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60" w:type="dxa"/>
            <w:vAlign w:val="bottom"/>
          </w:tcPr>
          <w:p>
            <w:pPr>
              <w:spacing w:after="0"/>
              <w:rPr>
                <w:sz w:val="13"/>
                <w:szCs w:val="13"/>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3"/>
                <w:szCs w:val="13"/>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13.6 years</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69,700</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69,700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(36,559)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33,141</w:t>
            </w:r>
          </w:p>
        </w:tc>
        <w:tc>
          <w:tcPr>
            <w:tcW w:w="0" w:type="dxa"/>
            <w:vAlign w:val="bottom"/>
          </w:tcPr>
          <w:p>
            <w:pPr>
              <w:spacing w:after="0"/>
              <w:rPr>
                <w:sz w:val="1"/>
                <w:szCs w:val="1"/>
                <w:color w:val="auto"/>
              </w:rPr>
            </w:pPr>
          </w:p>
        </w:tc>
      </w:tr>
      <w:tr>
        <w:trPr>
          <w:trHeight w:val="363"/>
        </w:trPr>
        <w:tc>
          <w:tcPr>
            <w:tcW w:w="5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60" w:type="dxa"/>
            <w:vAlign w:val="bottom"/>
          </w:tcPr>
          <w:p>
            <w:pPr>
              <w:spacing w:after="0"/>
              <w:rPr>
                <w:sz w:val="24"/>
                <w:szCs w:val="24"/>
                <w:color w:val="auto"/>
              </w:rPr>
            </w:pPr>
          </w:p>
        </w:tc>
        <w:tc>
          <w:tcPr>
            <w:tcW w:w="112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24"/>
                <w:szCs w:val="24"/>
                <w:color w:val="auto"/>
              </w:rPr>
            </w:pPr>
          </w:p>
        </w:tc>
        <w:tc>
          <w:tcPr>
            <w:tcW w:w="12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13.3 years</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76,100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0" w:type="dxa"/>
            <w:vAlign w:val="bottom"/>
          </w:tcPr>
          <w:p>
            <w:pPr>
              <w:spacing w:after="0"/>
              <w:rPr>
                <w:sz w:val="1"/>
                <w:szCs w:val="1"/>
                <w:color w:val="auto"/>
              </w:rPr>
            </w:pPr>
          </w:p>
        </w:tc>
      </w:tr>
      <w:tr>
        <w:trPr>
          <w:trHeight w:val="22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5.0 years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77,400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(36,922)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40,478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2024 a trademark and tradename intangible asset became fully amortized, reducing the cost and accumulated amortization in the table above.</w:t>
      </w:r>
    </w:p>
    <w:p>
      <w:pPr>
        <w:spacing w:after="0" w:line="1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the fourth quarter of 2024, the Company made the decision to cease offering its student loan products and plans to be substantially completed in the first quarter of 2025. An impairment charge of $1.4 million was recorded in the fourth quarter of 2024 associated with student loan customer list intangible assets with an original cost of $6.4 million</w:t>
      </w:r>
    </w:p>
    <w:p>
      <w:pPr>
        <w:spacing w:after="0" w:line="123"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December 31, 2024,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8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5"/>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8"/>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8"/>
        </w:trPr>
        <w:tc>
          <w:tcPr>
            <w:tcW w:w="9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r>
      <w:tr>
        <w:trPr>
          <w:trHeight w:val="229"/>
        </w:trPr>
        <w:tc>
          <w:tcPr>
            <w:tcW w:w="9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33,141</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8—EQUITY INVESTMENTS</w:t>
      </w:r>
    </w:p>
    <w:p>
      <w:pPr>
        <w:spacing w:after="0" w:line="200" w:lineRule="exact"/>
        <w:rPr>
          <w:sz w:val="20"/>
          <w:szCs w:val="20"/>
          <w:color w:val="auto"/>
        </w:rPr>
      </w:pPr>
    </w:p>
    <w:p>
      <w:pPr>
        <w:spacing w:after="0" w:line="26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On February 28, 2020, the Company acquired an equity interest in Stash Financial, Inc. (“Stash”) for $80.0 million. On January 6, 2021, the Company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74"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On October 18, 2021, the Company entered into a stock transfer agreement with third parties to sell a portion of its Stash equity securities for $46.3 million with a cost basis of $18.4 million. The Company recorded a realized gain of $27.9 million based on the sale of Stash equity securities under the stock transfer agreement. In 2021, the Company recorded a net unrealized gain on the investment in Stash of $95.4 million as a result of an adjustment to the fair value of the Stash equity securities based on observable market events.</w:t>
      </w:r>
    </w:p>
    <w:p>
      <w:pPr>
        <w:spacing w:after="0" w:line="74"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In the third quarter of 2023, the Company determined there was an impairment indicator related to its Stash investment and performed a valuation of the investment. Based on the valuation, the Company determined the estimated fair value was below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carrying value of the investment and recorded an impairment charge of $113.1 million. The Company determined the fair value by using a market approach and a DCF analysis. Determining the fair value using a DCF analysis and a market analysis requires the exercise of significant judgments, including judgments about the appropriate discount rate, perpetual growth rates, including short-term revenue and EBITDA, the amount and timing of expected future cash flows, and the revenue exit multiple.</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In the third quarter of 2024, the Company was informed that Stash executed a term sheet for additional funding. As a result, the Company determined there was an impairment indicator related to its Stash investment and performed a valuation of the investment. The Company determined the fair value by predominately modeling its value of the investment based on the new funding terms utilizing an option pricing model. Based on the valuation of the Stash investment, the Company determined the estimated fair value was below the carrying value of the investment and recorded an impairment charge of $43.4 million. Determining the fair value using the new funding terms requires the exercise of significant judgments, including judgments about the appropriate volatility, risk-free rate of return, time to expiration and liquidation preferences.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carrying value of the Company’s investment in Stash was $1.7 million.</w:t>
      </w:r>
    </w:p>
    <w:p>
      <w:pPr>
        <w:spacing w:after="0" w:line="11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In January 2022, the Company acquired an equity interest in EarnUp Inc. (“EarnUp”) for $15.0 million. EarnUp is a consumer-first mortgage payment platform that intelligently automates loan payment scheduling and helps consumers better manage their money and improve their financial well-being.</w:t>
      </w:r>
    </w:p>
    <w:p>
      <w:pPr>
        <w:spacing w:after="0" w:line="5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In the third quarter of 2024, the Company determined there was an impairment indicator related to its EarnUp investment and recorded an impairment charge of $15.0 million.</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2023, the Company recorded an impairment charge of $1.4 million on one of its investment in equity securities.</w:t>
      </w:r>
    </w:p>
    <w:p>
      <w:pPr>
        <w:spacing w:after="0" w:line="115"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These impairments are included within other income on the consolidated statement of operations and comprehensive income. As of December 31, 2022, there had been no impairments to the acquisition cost of the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9—ACCRUED EXPENSES AND OTHER CURRENT LIABILITIES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8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59,381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23,504</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7,673</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5,799</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28"/>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9,517</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107,185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70,544</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10—LEASES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As of December 31, 2024, right-of-use assets totaled $52.6 million and lease liabilities, the current portion of which is included in accrued expenses and other current liabilities in the accompanying balance sheet, totaled $75.0 million. At December 31, 2023, right-of-use assets totaled $57.2 million and lease liabilities totaled $82.4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firstLine="323"/>
        <w:spacing w:after="0" w:line="280" w:lineRule="auto"/>
        <w:rPr>
          <w:sz w:val="20"/>
          <w:szCs w:val="20"/>
          <w:color w:val="auto"/>
        </w:rPr>
      </w:pPr>
      <w:r>
        <w:rPr>
          <w:rFonts w:ascii="Times New Roman" w:cs="Times New Roman" w:eastAsia="Times New Roman" w:hAnsi="Times New Roman"/>
          <w:sz w:val="18"/>
          <w:szCs w:val="18"/>
          <w:color w:val="auto"/>
        </w:rPr>
        <w:t xml:space="preserve">Lease expense, which is included in general and administrative expense on the accompanying consolidated statements of operations and comprehensive income (loss), consists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7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5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9,506</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r>
      <w:tr>
        <w:trPr>
          <w:trHeight w:val="228"/>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2"/>
        </w:trPr>
        <w:tc>
          <w:tcPr>
            <w:tcW w:w="5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8,556</w:t>
            </w:r>
          </w:p>
        </w:tc>
        <w:tc>
          <w:tcPr>
            <w:tcW w:w="5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9,532</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11,907</w:t>
            </w:r>
          </w:p>
        </w:tc>
      </w:tr>
    </w:tbl>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operating leases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years</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11.6 years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 years</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r>
      <w:tr>
        <w:trPr>
          <w:trHeight w:val="640"/>
        </w:trPr>
        <w:tc>
          <w:tcPr>
            <w:tcW w:w="6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Supplemental cash flow information related to leases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4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r>
      <w:tr>
        <w:trPr>
          <w:trHeight w:val="21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8"/>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11,355</w:t>
            </w:r>
          </w:p>
        </w:tc>
        <w:tc>
          <w:tcPr>
            <w:tcW w:w="5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13,705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0" w:type="dxa"/>
            <w:vAlign w:val="bottom"/>
            <w:shd w:val="clear" w:color="auto" w:fill="CCEEFF"/>
          </w:tcPr>
          <w:p>
            <w:pPr>
              <w:spacing w:after="0"/>
              <w:rPr>
                <w:sz w:val="19"/>
                <w:szCs w:val="19"/>
                <w:color w:val="auto"/>
              </w:rPr>
            </w:pPr>
          </w:p>
        </w:tc>
      </w:tr>
      <w:tr>
        <w:trPr>
          <w:trHeight w:val="659"/>
        </w:trPr>
        <w:tc>
          <w:tcPr>
            <w:tcW w:w="6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Maturities of lease liabilities as of December 31, 2024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4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5"/>
        </w:trPr>
        <w:tc>
          <w:tcPr>
            <w:tcW w:w="578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40" w:type="dxa"/>
            <w:vAlign w:val="bottom"/>
          </w:tcPr>
          <w:p>
            <w:pPr>
              <w:spacing w:after="0"/>
              <w:rPr>
                <w:sz w:val="19"/>
                <w:szCs w:val="19"/>
                <w:color w:val="auto"/>
              </w:rPr>
            </w:pP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40" w:type="dxa"/>
            <w:vAlign w:val="bottom"/>
          </w:tcPr>
          <w:p>
            <w:pPr>
              <w:spacing w:after="0"/>
              <w:rPr>
                <w:sz w:val="19"/>
                <w:szCs w:val="19"/>
                <w:color w:val="auto"/>
              </w:rPr>
            </w:pPr>
          </w:p>
        </w:tc>
      </w:tr>
      <w:tr>
        <w:trPr>
          <w:trHeight w:val="22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40" w:type="dxa"/>
            <w:vAlign w:val="bottom"/>
          </w:tcPr>
          <w:p>
            <w:pPr>
              <w:spacing w:after="0"/>
              <w:rPr>
                <w:sz w:val="19"/>
                <w:szCs w:val="19"/>
                <w:color w:val="auto"/>
              </w:rPr>
            </w:pPr>
          </w:p>
        </w:tc>
      </w:tr>
      <w:tr>
        <w:trPr>
          <w:trHeight w:val="22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40" w:type="dxa"/>
            <w:vAlign w:val="bottom"/>
          </w:tcPr>
          <w:p>
            <w:pPr>
              <w:spacing w:after="0"/>
              <w:rPr>
                <w:sz w:val="19"/>
                <w:szCs w:val="19"/>
                <w:color w:val="auto"/>
              </w:rPr>
            </w:pPr>
          </w:p>
        </w:tc>
      </w:tr>
      <w:tr>
        <w:trPr>
          <w:trHeight w:val="222"/>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99,778</w:t>
            </w:r>
          </w:p>
        </w:tc>
        <w:tc>
          <w:tcPr>
            <w:tcW w:w="40" w:type="dxa"/>
            <w:vAlign w:val="bottom"/>
          </w:tcPr>
          <w:p>
            <w:pPr>
              <w:spacing w:after="0"/>
              <w:rPr>
                <w:sz w:val="19"/>
                <w:szCs w:val="19"/>
                <w:color w:val="auto"/>
              </w:rPr>
            </w:pPr>
          </w:p>
        </w:tc>
      </w:tr>
      <w:tr>
        <w:trPr>
          <w:trHeight w:val="228"/>
        </w:trPr>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40" w:type="dxa"/>
            <w:vAlign w:val="bottom"/>
          </w:tcPr>
          <w:p>
            <w:pPr>
              <w:spacing w:after="0"/>
              <w:rPr>
                <w:sz w:val="19"/>
                <w:szCs w:val="19"/>
                <w:color w:val="auto"/>
              </w:rPr>
            </w:pPr>
          </w:p>
        </w:tc>
      </w:tr>
      <w:tr>
        <w:trPr>
          <w:trHeight w:val="229"/>
        </w:trPr>
        <w:tc>
          <w:tcPr>
            <w:tcW w:w="5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75,037</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11—SHAREHOLDERS'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Basic and diluted (loss)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9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12,941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w:t>
            </w:r>
          </w:p>
        </w:tc>
      </w:tr>
      <w:tr>
        <w:trPr>
          <w:trHeight w:val="228"/>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12,941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r>
    </w:tbl>
    <w:p>
      <w:pPr>
        <w:spacing w:after="0" w:line="183"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Company had a net loss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year ended December 31, 2024 because their inclusion would have been anti-dilutive. For the year ended December 31, 2024 the weighted average shares that were anti-dilutive included options to purchase 0.9 million shares of common stock and immaterial amount of restricted stock units.</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Company had a net loss and, as a result, no potentially dilutive securities were included in the denominator for computing diluted loss per share, because the impact would have been anti-dilutive. Accordingly, the weighted average basic shares outstanding was used to compute loss per share. An immaterial amount of shares related to potentially dilutive securities were excluded from the calculation of diluted loss per share for the year ended December 31, 2023 because their inclusion would have been anti-dilutive. For the year ended December 31, 2023 the weighted average shares that were anti-dilutive included options to purchase 1.2 million shares of common stock and 0.5 million restricted stock units.</w:t>
      </w:r>
    </w:p>
    <w:p>
      <w:pPr>
        <w:spacing w:after="0" w:line="7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had a net loss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year ended December 31, 2022 because their inclusion would have been anti-dilutive. For the year ended December 31, 2022, the weighted average shares that were anti-dilutive, and therefore excluded from the calculation of diluted income per share, included options to purchase 1.0 million shares of common stock and 0.4 million restricted stock units.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convertible notes and the warrants issued by the Company could be converted into the Company’s common stock, subject to certain contingencies.</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14—Debt for additional information. The if-converted method is used for diluted net income per share calculation of our convertible notes.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2—Significant Accounting Policies for additional information.</w:t>
      </w:r>
    </w:p>
    <w:p>
      <w:pPr>
        <w:spacing w:after="0" w:line="97"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Approximately 0.6 million shares related to the potentially dilutive shares of the Company's common stock associated with the 0.50% Convertible Senior Notes due July 15, 2025 were excluded from the calculation of diluted loss per share for the year ended December 31, 2024 because their inclusion would have been anti-dilutive. Approximately 1.2 million shares related to the potentially dilutive shares of the Company's common stock associated with the 0.50% Convertible Senior Notes due July 15, 2025 were excluded from the calculation of diluted loss per share for the year ended December 31, 2023 because their inclusion would have been anti-dilutive. 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year ended December 31, 2022 because their inclusion would have been anti-dilutive. Shares of the Company's stock associated with warrants issued by the Company in 2017 and 2020 were excluded from the calculation of diluted (loss) income per share for the years ended December 31, 2024, 2023, and 2022 because their inclusion would have been anti-dilutive.</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Company implemented an employee stock purchase plan, which did not have a material impact to the calculation of diluted shares.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12—Stock-Based Compensation for a full description of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July 2024, the Company entered into an Equity Distribution Agreement in connection with the establishment of an ATM Equity Program (as defined in the 2024 Term Loan (as defined herein) agreement) under which the Company may sell up to an aggregate of $50.0 million of shares of the Company's common stock. No sales were made under the Equity Distribution Agreement during the year ended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The Company did not purchase shares of its common stock during the years ended December 31, 2024 and 2023. During the year ended December 31, 2022 the Company purchased 379,895 shares of its common stock for aggregate consideration of $43.0 million, respectively. At December 31, 2024, $96.7 million remains authorized for share repurchase.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12—STOCK-BASED COMPENSATION</w:t>
      </w:r>
    </w:p>
    <w:p>
      <w:pPr>
        <w:spacing w:after="0" w:line="119"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Company currently has two active plans; the LendingTree 2023 Stock Plan (the “Equity Award Plan”) and the LendingTree 2023 Inducement Grant Plan (the "Inducement Plan"), under which future awards may be granted. The Equity Award Plan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1.6 million and 0.1 million, respectively, of LendingTree shares of common stock to employees, and, under the Equity Plan only, to non-employee consultants and directors.</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Equity Award Plan and Inducement Plan each have a stated term of ten years and provides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(loss)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3,303</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5,267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20,478</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25,180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40,233</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4,501</w:t>
            </w:r>
          </w:p>
        </w:tc>
        <w:tc>
          <w:tcPr>
            <w:tcW w:w="34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6,333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r>
      <w:tr>
        <w:trPr>
          <w:trHeight w:val="228"/>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28,579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39,682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59,624</w:t>
            </w:r>
          </w:p>
        </w:tc>
      </w:tr>
    </w:tbl>
    <w:p>
      <w:pPr>
        <w:spacing w:after="0" w:line="18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 xml:space="preserve">For the years ended December 31, 2024, 2023, and 2022, the Company recognized $4.7 million, $7.4 million, and $12.0 million, respectively, of income tax benefit, including state taxes, related to non-cash compensation. Additionally, for the year ended December 31, 2024, 2023, and 2022 the Company recognized excess tax expense of $4.4 million, $7.8 million, and $5.1 million, respectively.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2—Significant Accounting Policies, for additional information regarding excess tax benefits and deficiencies.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vMerge w:val="restart"/>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4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tcPr>
          <w:p>
            <w:pPr>
              <w:jc w:val="center"/>
              <w:ind w:right="35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ind w:right="4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00" w:type="dxa"/>
            <w:vAlign w:val="bottom"/>
          </w:tcPr>
          <w:p>
            <w:pPr>
              <w:spacing w:after="0"/>
              <w:rPr>
                <w:sz w:val="12"/>
                <w:szCs w:val="12"/>
                <w:color w:val="auto"/>
              </w:rPr>
            </w:pPr>
          </w:p>
        </w:tc>
        <w:tc>
          <w:tcPr>
            <w:tcW w:w="1380" w:type="dxa"/>
            <w:vAlign w:val="bottom"/>
          </w:tcPr>
          <w:p>
            <w:pPr>
              <w:jc w:val="center"/>
              <w:ind w:right="338"/>
              <w:spacing w:after="0" w:line="148"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6"/>
              </w:rPr>
              <w:t>Value</w:t>
            </w:r>
            <w:r>
              <w:rPr>
                <w:rFonts w:ascii="Times New Roman" w:cs="Times New Roman" w:eastAsia="Times New Roman" w:hAnsi="Times New Roman"/>
                <w:sz w:val="9"/>
                <w:szCs w:val="9"/>
                <w:b w:val="1"/>
                <w:bCs w:val="1"/>
                <w:color w:val="auto"/>
                <w:w w:val="96"/>
              </w:rPr>
              <w:t>(a)</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734,775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150.74</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(257,155)</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26.00</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300" w:type="dxa"/>
            <w:vAlign w:val="bottom"/>
          </w:tcPr>
          <w:p>
            <w:pPr>
              <w:spacing w:after="0"/>
              <w:rPr>
                <w:sz w:val="19"/>
                <w:szCs w:val="19"/>
                <w:color w:val="auto"/>
              </w:rPr>
            </w:pPr>
          </w:p>
        </w:tc>
        <w:tc>
          <w:tcPr>
            <w:tcW w:w="13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113.27</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(103,436)</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191.03</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371,386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306,041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224.68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59"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$38.75 on the last trading day of 2024 and the exercise price, multiplied by the number of shares covered by in-the-money options) that would have been received by the option holder had the option holder exercised these options on December 31, 2024. The intrinsic value changes based on the market value of the Company's common stock.</w:t>
      </w:r>
    </w:p>
    <w:p>
      <w:pPr>
        <w:spacing w:after="0" w:line="74"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there was approximately $4.5 million of unrecognized compensation cost related to stock options. These costs are expected to be recognized over a weighted-average period of approximately 1.3 years.</w:t>
      </w:r>
    </w:p>
    <w:p>
      <w:pPr>
        <w:spacing w:after="0" w:line="55"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Upon exercise, the intrinsic value represents the pre-tax difference between the Company's closing stock price on the exercise date and the exercise price, multiplied by the number of stock options exercised. During the years ended December 31, 2023 and 2022, there were no stock options exercised. During the year ended December 31, 2024, the total intrinsic value of stock options that were exercised was $4.2 million. Cash received from stock option exercises was $1.4 million and there was no related actual tax benefit realized due to the full valuation allowance against net deferred tax assets for the year ended December 31, 2024.</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2024 and 2023, there were no stock options granted. During the year ended December 31, 2022, the Company granted stock options with a weighted average grant date fair value per share of $53.21, of which the vesting periods include (a) immediately upon grant, (b) earlier of one year from grant date and the Company's annual meeting of stockholders for 2023, and (c) 33% over a period of three years from the grant date.</w:t>
      </w:r>
    </w:p>
    <w:p>
      <w:pPr>
        <w:spacing w:after="0" w:line="74" w:lineRule="exact"/>
        <w:rPr>
          <w:sz w:val="20"/>
          <w:szCs w:val="20"/>
          <w:color w:val="auto"/>
        </w:rPr>
      </w:pPr>
    </w:p>
    <w:p>
      <w:pPr>
        <w:jc w:val="both"/>
        <w:ind w:firstLine="323"/>
        <w:spacing w:after="0" w:line="310" w:lineRule="auto"/>
        <w:rPr>
          <w:sz w:val="20"/>
          <w:szCs w:val="20"/>
          <w:color w:val="auto"/>
        </w:rPr>
      </w:pPr>
      <w:r>
        <w:rPr>
          <w:rFonts w:ascii="Times New Roman" w:cs="Times New Roman" w:eastAsia="Times New Roman" w:hAnsi="Times New Roman"/>
          <w:sz w:val="17"/>
          <w:szCs w:val="17"/>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7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4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9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3"/>
        </w:trPr>
        <w:tc>
          <w:tcPr>
            <w:tcW w:w="5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500" w:type="dxa"/>
            <w:vAlign w:val="bottom"/>
            <w:shd w:val="clear" w:color="auto" w:fill="CCEEFF"/>
          </w:tcPr>
          <w:p>
            <w:pPr>
              <w:spacing w:after="0"/>
              <w:rPr>
                <w:sz w:val="19"/>
                <w:szCs w:val="19"/>
                <w:color w:val="auto"/>
              </w:rPr>
            </w:pPr>
          </w:p>
        </w:tc>
        <w:tc>
          <w:tcPr>
            <w:tcW w:w="2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5.00 - 6.00 years</w:t>
            </w:r>
          </w:p>
        </w:tc>
      </w:tr>
      <w:tr>
        <w:trPr>
          <w:trHeight w:val="228"/>
        </w:trPr>
        <w:tc>
          <w:tcPr>
            <w:tcW w:w="658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5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2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- 56%</w:t>
            </w:r>
          </w:p>
        </w:tc>
      </w:tr>
      <w:tr>
        <w:trPr>
          <w:trHeight w:val="228"/>
        </w:trPr>
        <w:tc>
          <w:tcPr>
            <w:tcW w:w="6580" w:type="dxa"/>
            <w:vAlign w:val="bottom"/>
            <w:tcBorders>
              <w:bottom w:val="single" w:sz="8" w:color="999999"/>
            </w:tcBorders>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2040" w:type="dxa"/>
            <w:vAlign w:val="bottom"/>
            <w:tcBorders>
              <w:bottom w:val="single" w:sz="8" w:color="999999"/>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999999"/>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1.62% - 3.23%</w:t>
            </w:r>
          </w:p>
        </w:tc>
      </w:tr>
    </w:tbl>
    <w:p>
      <w:pPr>
        <w:spacing w:after="0" w:line="170" w:lineRule="exact"/>
        <w:rPr>
          <w:sz w:val="20"/>
          <w:szCs w:val="20"/>
          <w:color w:val="auto"/>
        </w:rPr>
      </w:pPr>
    </w:p>
    <w:p>
      <w:pPr>
        <w:jc w:val="both"/>
        <w:ind w:left="660" w:hanging="330"/>
        <w:spacing w:after="0" w:line="264"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69"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during the year ended December 31, 2022, no dividends are expected to be paid over the contractual term of the stock options, resulting in a zero expected dividend rate.</w:t>
      </w:r>
    </w:p>
    <w:p>
      <w:pPr>
        <w:spacing w:after="0" w:line="5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20" w:hanging="330"/>
        <w:spacing w:after="0" w:line="280"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55"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During the years ended December 31, 2024, 2023 and 2022, the total grant date fair value of options vested was $6.0 million, $11.9 million and $9.2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vMerge w:val="restart"/>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24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33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280" w:type="dxa"/>
            <w:vAlign w:val="bottom"/>
          </w:tcPr>
          <w:p>
            <w:pPr>
              <w:spacing w:after="0"/>
              <w:rPr>
                <w:sz w:val="12"/>
                <w:szCs w:val="12"/>
                <w:color w:val="auto"/>
              </w:rPr>
            </w:pPr>
          </w:p>
        </w:tc>
        <w:tc>
          <w:tcPr>
            <w:tcW w:w="1360" w:type="dxa"/>
            <w:vAlign w:val="bottom"/>
          </w:tcPr>
          <w:p>
            <w:pPr>
              <w:jc w:val="center"/>
              <w:ind w:right="338"/>
              <w:spacing w:after="0" w:line="148"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0" w:type="dxa"/>
            <w:vAlign w:val="bottom"/>
          </w:tcPr>
          <w:p>
            <w:pPr>
              <w:jc w:val="center"/>
              <w:ind w:right="64"/>
              <w:spacing w:after="0" w:line="148"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40" w:type="dxa"/>
            <w:vAlign w:val="bottom"/>
          </w:tcPr>
          <w:p>
            <w:pPr>
              <w:jc w:val="center"/>
              <w:ind w:right="122"/>
              <w:spacing w:after="0" w:line="14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33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60" w:type="dxa"/>
            <w:vAlign w:val="bottom"/>
          </w:tcPr>
          <w:p>
            <w:pPr>
              <w:spacing w:after="0"/>
              <w:rPr>
                <w:sz w:val="16"/>
                <w:szCs w:val="16"/>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718,438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229.02</w:t>
            </w:r>
          </w:p>
        </w:tc>
        <w:tc>
          <w:tcPr>
            <w:tcW w:w="1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275.82</w:t>
            </w:r>
          </w:p>
        </w:tc>
        <w:tc>
          <w:tcPr>
            <w:tcW w:w="1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699,312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227.74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30"/>
        <w:spacing w:after="0" w:line="259" w:lineRule="auto"/>
        <w:tabs>
          <w:tab w:leader="none" w:pos="6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$38.75 on the last trading day of 2024 and the exercise price, multiplied by the number of shares covered by in-the-money options) that would have been received by the option holder had the option holder exercised these options on December 31, 2024. The intrinsic value changes based on the market value of the Company's common stock.</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As of December 31, 2024, there was approximately $5.3 million of unrecognized compensation cost related to stock options with market conditions. These costs are expected to be recognized over a weighted-average period of approximately 1.5 years. For single cliff-vesting stock options with market conditions, the fair value will be recognized on a straight-line basis through each grant’s vest date, whether or not any of the total shareholder return targets are met. For graded-vesting stock options with market conditions, the fair value will be recognized using graded vesting expense attribution, whether or not any of the total shareholder return targets are met.</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No stock options with market conditions were granted in 2022, 2023 or 2024. During the year ended December 31, 2020, the Company granted stock options with a weighted-average grant date fair value per share of $142.54. The single cliff-vesting stock options granted during the year ended December 31, 2020 had a vest date of March 31, 2024. The graded-vesting stock options granted during the year ended December 31, 2020 have a vesting schedule with vesting dates of December 31, 2024, December 31, 2025 and December 31, 2026.</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In December 2020, the Company granted graded-vesting stock options with a market condition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w:t>
      </w:r>
    </w:p>
    <w:p>
      <w:pPr>
        <w:spacing w:after="0" w:line="6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The single cliff-vesting stock options with a market condition granted in 2020 had a target number of shares that vest upon achieving a targeted total shareholder return performance of 81% stock price appreciation and a maximum of 31,940 shares for achieving superior performance. No shares would vest unless 41% of the targeted performance is achieved. At March 31, 2024, the target number of shares expired due to the actual total shareholder return performance not meeting the 41% of the targeted performance measure, as reflected in the table above. The graded-vesting stock options with a market condition granted in 2020 have a target number of shares that vest upon achieving a targeted total shareholder return performance of 135% stock price appreciation and a maximum of 363,464 shares for achieving superior performance. No shares will vest unless 81% of the targeted performance is achieved. The performance measurement period ends on March 31, 2025.</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For all stock options with market conditions, time-based service vesting conditions would also have to be satisfied in order for shares to become fully vested and no longer subject to forfeiture.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a maximum of 363,464 may be earned for achieving superior performance up to 167% of the remaining unvested target number of shares. As of December 31, 2024, no additional performance-based nonqualified stock options with a market condition had been earned.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RSUs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5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jc w:val="center"/>
              <w:ind w:right="18"/>
              <w:spacing w:after="0" w:line="130"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7580" w:type="dxa"/>
            <w:vAlign w:val="bottom"/>
          </w:tcPr>
          <w:p>
            <w:pPr>
              <w:spacing w:after="0"/>
              <w:rPr>
                <w:sz w:val="12"/>
                <w:szCs w:val="12"/>
                <w:color w:val="auto"/>
              </w:rPr>
            </w:pPr>
          </w:p>
        </w:tc>
        <w:tc>
          <w:tcPr>
            <w:tcW w:w="18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tcPr>
          <w:p>
            <w:pPr>
              <w:spacing w:after="0"/>
              <w:rPr>
                <w:sz w:val="12"/>
                <w:szCs w:val="12"/>
                <w:color w:val="auto"/>
              </w:rPr>
            </w:pPr>
          </w:p>
        </w:tc>
        <w:tc>
          <w:tcPr>
            <w:tcW w:w="166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471,593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66.42</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(a)</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445,165</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(262,932)</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(84,366)</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569,460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grant date fair value per share of the RSUs is calculated as the closing market price of LendingTree's common stock at the time of grant.</w:t>
      </w:r>
    </w:p>
    <w:p>
      <w:pPr>
        <w:spacing w:after="0" w:line="11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there was approximately $14.8 million of unrecognized compensation cost related to RSUs. These costs are expected to be recognized over a weighted-average period of approximately 1.6 years.</w:t>
      </w:r>
    </w:p>
    <w:p>
      <w:pPr>
        <w:spacing w:after="0" w:line="55"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total fair value of RSUs that vested during the years ended December 31, 2024, 2023, and 2022 was $10.8 million, $6.9 million and $11.5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market conditions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3660" w:type="dxa"/>
            <w:vAlign w:val="bottom"/>
            <w:gridSpan w:val="3"/>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RSUs with Market Conditions (a)</w:t>
            </w:r>
          </w:p>
        </w:tc>
        <w:tc>
          <w:tcPr>
            <w:tcW w:w="0" w:type="dxa"/>
            <w:vAlign w:val="bottom"/>
          </w:tcPr>
          <w:p>
            <w:pPr>
              <w:spacing w:after="0"/>
              <w:rPr>
                <w:sz w:val="1"/>
                <w:szCs w:val="1"/>
                <w:color w:val="auto"/>
              </w:rPr>
            </w:pPr>
          </w:p>
        </w:tc>
      </w:tr>
      <w:tr>
        <w:trPr>
          <w:trHeight w:val="25"/>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8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69,000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28"/>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2024</w:t>
            </w: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46,000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660" w:hanging="330"/>
        <w:spacing w:after="0" w:line="259" w:lineRule="auto"/>
        <w:tabs>
          <w:tab w:leader="none" w:pos="6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2024, the Company granted RSUs with market conditions that will vest if the Company's 45 trading day average closing stock prices equals or exceeds certain price hurdles ($41.17, $52.94 and $64.70) during the performance period of March 1, 2024 to March 1, 2028. Upon achievement of each price hurdle, one-half of the awards will vest immediately, and the other half of the awards will vest on the first anniversary of the achievement date.</w:t>
      </w:r>
    </w:p>
    <w:p>
      <w:pPr>
        <w:spacing w:after="0" w:line="73" w:lineRule="exact"/>
        <w:rPr>
          <w:rFonts w:ascii="Times New Roman" w:cs="Times New Roman" w:eastAsia="Times New Roman" w:hAnsi="Times New Roman"/>
          <w:sz w:val="18"/>
          <w:szCs w:val="18"/>
          <w:color w:val="auto"/>
        </w:rPr>
      </w:pPr>
    </w:p>
    <w:p>
      <w:pPr>
        <w:ind w:left="660" w:right="20"/>
        <w:spacing w:after="0" w:line="2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r>
      <w:tr>
        <w:trPr>
          <w:trHeight w:val="228"/>
        </w:trPr>
        <w:tc>
          <w:tcPr>
            <w:tcW w:w="540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68.06 %</w:t>
            </w:r>
          </w:p>
        </w:tc>
      </w:tr>
      <w:tr>
        <w:trPr>
          <w:trHeight w:val="228"/>
        </w:trPr>
        <w:tc>
          <w:tcPr>
            <w:tcW w:w="54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4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r>
      <w:tr>
        <w:trPr>
          <w:trHeight w:val="3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4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hanging="328"/>
        <w:spacing w:after="0" w:line="280" w:lineRule="auto"/>
        <w:tabs>
          <w:tab w:leader="none" w:pos="9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a four-year performance period plus one year to account for the time-based vesting requirement.</w:t>
      </w:r>
    </w:p>
    <w:p>
      <w:pPr>
        <w:spacing w:after="0" w:line="54" w:lineRule="exact"/>
        <w:rPr>
          <w:rFonts w:ascii="Times New Roman" w:cs="Times New Roman" w:eastAsia="Times New Roman" w:hAnsi="Times New Roman"/>
          <w:sz w:val="18"/>
          <w:szCs w:val="18"/>
          <w:color w:val="auto"/>
        </w:rPr>
      </w:pPr>
    </w:p>
    <w:p>
      <w:pPr>
        <w:ind w:left="960" w:hanging="30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69" w:lineRule="exact"/>
        <w:rPr>
          <w:rFonts w:ascii="Times New Roman" w:cs="Times New Roman" w:eastAsia="Times New Roman" w:hAnsi="Times New Roman"/>
          <w:sz w:val="18"/>
          <w:szCs w:val="18"/>
          <w:color w:val="auto"/>
        </w:rPr>
      </w:pPr>
    </w:p>
    <w:p>
      <w:pPr>
        <w:ind w:left="980" w:right="20" w:hanging="328"/>
        <w:spacing w:after="0" w:line="280" w:lineRule="auto"/>
        <w:tabs>
          <w:tab w:leader="none" w:pos="9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08" w:lineRule="exact"/>
        <w:rPr>
          <w:rFonts w:ascii="Times New Roman" w:cs="Times New Roman" w:eastAsia="Times New Roman" w:hAnsi="Times New Roman"/>
          <w:sz w:val="18"/>
          <w:szCs w:val="18"/>
          <w:color w:val="auto"/>
        </w:rPr>
      </w:pPr>
    </w:p>
    <w:p>
      <w:pPr>
        <w:ind w:left="980" w:hanging="328"/>
        <w:spacing w:after="0" w:line="280" w:lineRule="auto"/>
        <w:tabs>
          <w:tab w:leader="none" w:pos="9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stock options, resulting in a zero expected dividend rate.</w:t>
      </w:r>
    </w:p>
    <w:p>
      <w:pPr>
        <w:spacing w:after="0" w:line="108"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there was approximately $0.9 million of unrecognized compensation cost related to RSUs with market conditions. These costs are expected to be recognized over a weighted-average period of approximately 1.9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RSUs with market conditions that vested during the year ended December 31, 2024 was $1.2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with Market Conditions</w:t>
      </w:r>
    </w:p>
    <w:p>
      <w:pPr>
        <w:spacing w:after="0" w:line="11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No RSAs with market conditions were granted in 2024, 2023 or 2022. During 2018, the Company granted RSAs with market conditions to its Chairman and Chief Executive Officer with a total grant date fair value of $1.9 million. The performance measurement period ended on September 30, 2022, and 29,601 shares were earned.</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total fair value of RSAs with market conditions that vested during the year ended December 31, 2022 was $0.7 million. As of December 31, 2024, there was no unrecognized compensation cost related to RSAs with market conditions.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 has an employee stock purchase plan (“ESPP”), under which a total of 262,731 shares of the Company's common stock were reserved for issuance.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6-month periods ending on June 30 and December 31 of each year.</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45,690 shares were purchased under the ESPP at a weighted average purchase price of $28.10 per share, resulting in cash proceeds of $1.3 million. During the year ended December 31, 2023, 64,549 shares were purchased under the ESPP at a weighted average purchase price of $19.03 per share, resulting in cash proceeds of $1.2 million. During the year ended December 31, 2022, 30,375 shares were purchased under the ESPP at a weighted average price of $27.19 per share, resulting in cash proceeds of $0.8 million. As of December 31, 2024 and 2023, 116,574 and 162,264 shares, respectively, were available for issuance under the ESPP.</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granted Employee Stock Purchase Rights to certain employees with a weighted average grant date fair value per share of $12.68, $8.51 and $20.96,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200" w:lineRule="exact"/>
        <w:rPr>
          <w:sz w:val="20"/>
          <w:szCs w:val="20"/>
          <w:color w:val="auto"/>
        </w:rPr>
      </w:pPr>
    </w:p>
    <w:p>
      <w:pPr>
        <w:spacing w:after="0" w:line="26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2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72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2"/>
        </w:trPr>
        <w:tc>
          <w:tcPr>
            <w:tcW w:w="61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2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0.50 years</w:t>
            </w: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0.50 years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8"/>
        </w:trPr>
        <w:tc>
          <w:tcPr>
            <w:tcW w:w="61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20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1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20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78% - 82%</w:t>
            </w:r>
          </w:p>
        </w:tc>
        <w:tc>
          <w:tcPr>
            <w:tcW w:w="17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- 73%</w:t>
            </w:r>
          </w:p>
        </w:tc>
      </w:tr>
      <w:tr>
        <w:trPr>
          <w:trHeight w:val="228"/>
        </w:trPr>
        <w:tc>
          <w:tcPr>
            <w:tcW w:w="6120" w:type="dxa"/>
            <w:vAlign w:val="bottom"/>
            <w:tcBorders>
              <w:bottom w:val="single" w:sz="8" w:color="999999"/>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2000" w:type="dxa"/>
            <w:vAlign w:val="bottom"/>
            <w:tcBorders>
              <w:bottom w:val="single" w:sz="8" w:color="999999"/>
            </w:tcBorders>
          </w:tcPr>
          <w:p>
            <w:pPr>
              <w:jc w:val="right"/>
              <w:ind w:right="232"/>
              <w:spacing w:after="0"/>
              <w:rPr>
                <w:sz w:val="20"/>
                <w:szCs w:val="20"/>
                <w:color w:val="auto"/>
              </w:rPr>
            </w:pPr>
            <w:r>
              <w:rPr>
                <w:rFonts w:ascii="Times New Roman" w:cs="Times New Roman" w:eastAsia="Times New Roman" w:hAnsi="Times New Roman"/>
                <w:sz w:val="18"/>
                <w:szCs w:val="18"/>
                <w:color w:val="auto"/>
              </w:rPr>
              <w:t>5.28% - 5.33%</w:t>
            </w:r>
          </w:p>
        </w:tc>
        <w:tc>
          <w:tcPr>
            <w:tcW w:w="1720" w:type="dxa"/>
            <w:vAlign w:val="bottom"/>
            <w:tcBorders>
              <w:bottom w:val="single" w:sz="8" w:color="999999"/>
            </w:tcBorders>
          </w:tcPr>
          <w:p>
            <w:pPr>
              <w:jc w:val="right"/>
              <w:ind w:right="232"/>
              <w:spacing w:after="0"/>
              <w:rPr>
                <w:sz w:val="20"/>
                <w:szCs w:val="20"/>
                <w:color w:val="auto"/>
              </w:rPr>
            </w:pPr>
            <w:r>
              <w:rPr>
                <w:rFonts w:ascii="Times New Roman" w:cs="Times New Roman" w:eastAsia="Times New Roman" w:hAnsi="Times New Roman"/>
                <w:sz w:val="18"/>
                <w:szCs w:val="18"/>
                <w:color w:val="auto"/>
              </w:rPr>
              <w:t>4.76% - 5.50%</w:t>
            </w:r>
          </w:p>
        </w:tc>
        <w:tc>
          <w:tcPr>
            <w:tcW w:w="140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0.19% - 2.51%</w:t>
            </w:r>
          </w:p>
        </w:tc>
      </w:tr>
    </w:tbl>
    <w:p>
      <w:pPr>
        <w:spacing w:after="0" w:line="237" w:lineRule="exact"/>
        <w:rPr>
          <w:sz w:val="20"/>
          <w:szCs w:val="20"/>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6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right="20" w:hanging="330"/>
        <w:spacing w:after="0" w:line="280"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the income tax expense (benefit)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1,155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2"/>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1,527</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rPr>
              <w:t>2,177</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r>
      <w:tr>
        <w:trPr>
          <w:trHeight w:val="22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19"/>
                <w:szCs w:val="19"/>
                <w:color w:val="auto"/>
              </w:rPr>
            </w:pPr>
          </w:p>
        </w:tc>
        <w:tc>
          <w:tcPr>
            <w:tcW w:w="98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8"/>
              </w:rPr>
              <w:t>(3,383)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98,772</w:t>
            </w:r>
          </w:p>
        </w:tc>
      </w:tr>
      <w:tr>
        <w:trPr>
          <w:trHeight w:val="228"/>
        </w:trPr>
        <w:tc>
          <w:tcPr>
            <w:tcW w:w="7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1,846</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8"/>
              </w:rPr>
              <w:t>(1,309)</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33,894</w:t>
            </w:r>
          </w:p>
        </w:tc>
      </w:tr>
      <w:tr>
        <w:trPr>
          <w:trHeight w:val="222"/>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expense (benefit)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2,793</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w w:val="98"/>
              </w:rPr>
              <w:t>(4,692)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132,666</w:t>
            </w:r>
          </w:p>
        </w:tc>
      </w:tr>
      <w:tr>
        <w:trPr>
          <w:trHeight w:val="229"/>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4,320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w w:val="98"/>
              </w:rPr>
              <w:t>(2,515)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133,019</w:t>
            </w:r>
          </w:p>
        </w:tc>
      </w:tr>
    </w:tbl>
    <w:p>
      <w:pPr>
        <w:spacing w:after="0" w:line="183"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 xml:space="preserve">A reconciliation of the income tax expense (benefit) to the amounts computed by applying the statutory federal income tax rate to income (loss) from continuing operations before income taxes is shown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5"/>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r>
      <w:tr>
        <w:trPr>
          <w:trHeight w:val="22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deductions on non-cash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6,373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tax credit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3,245</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5,045</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17,087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139,374</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state deferred tax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state net operating loss carryforwards</w:t>
            </w:r>
          </w:p>
        </w:tc>
        <w:tc>
          <w:tcPr>
            <w:tcW w:w="2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inclusion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7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1,391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9"/>
        </w:trPr>
        <w:tc>
          <w:tcPr>
            <w:tcW w:w="7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4,320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19"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 xml:space="preserve">The tax effects of cumulative temporary differences that give rise to significant portions of the deferred tax assets and deferred tax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1,541</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19,053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21,263</w:t>
            </w:r>
          </w:p>
        </w:tc>
      </w:tr>
      <w:tr>
        <w:trPr>
          <w:trHeight w:val="228"/>
        </w:trPr>
        <w:tc>
          <w:tcPr>
            <w:tcW w:w="8260" w:type="dxa"/>
            <w:vAlign w:val="bottom"/>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38,746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47,463</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35,861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23,953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28,126</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22,422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19,659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15,522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w:t>
            </w:r>
          </w:p>
        </w:tc>
      </w:tr>
      <w:tr>
        <w:trPr>
          <w:trHeight w:val="228"/>
        </w:trPr>
        <w:tc>
          <w:tcPr>
            <w:tcW w:w="8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179,543</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181,131</w:t>
            </w:r>
          </w:p>
        </w:tc>
      </w:tr>
      <w:tr>
        <w:trPr>
          <w:trHeight w:val="228"/>
        </w:trPr>
        <w:tc>
          <w:tcPr>
            <w:tcW w:w="8260" w:type="dxa"/>
            <w:vAlign w:val="bottom"/>
            <w:tcBorders>
              <w:bottom w:val="single" w:sz="8" w:color="auto"/>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Less: valuation allowance </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(167,549)</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(162,504)</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 net of the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11,994</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18,627</w:t>
            </w:r>
          </w:p>
        </w:tc>
      </w:tr>
      <w:tr>
        <w:trPr>
          <w:trHeight w:val="222"/>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r>
      <w:tr>
        <w:trPr>
          <w:trHeight w:val="228"/>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8"/>
        </w:trPr>
        <w:tc>
          <w:tcPr>
            <w:tcW w:w="8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2"/>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deferred tax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(16,878)</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(20,718)</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r>
    </w:tbl>
    <w:p>
      <w:pPr>
        <w:spacing w:after="0" w:line="183" w:lineRule="exact"/>
        <w:rPr>
          <w:sz w:val="20"/>
          <w:szCs w:val="20"/>
          <w:color w:val="auto"/>
        </w:rPr>
      </w:pPr>
    </w:p>
    <w:p>
      <w:pPr>
        <w:jc w:val="both"/>
        <w:ind w:left="660" w:hanging="330"/>
        <w:spacing w:after="0" w:line="259" w:lineRule="auto"/>
        <w:tabs>
          <w:tab w:leader="none" w:pos="657"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At December 31, 2024, the Company had pre-tax consolidated federal net operating losses (“NOLs”) of $103.0 million. The federal NOLs no longer expire under the Tax Cuts and Jobs Act. The Company's NOLs will be available to offset taxable income, subject to the Internal Revenue Code Section 382 annual limitation. In addition, the Company has state NOLs of approximately $428.6 million at December 31, 2024, a portion of which will expire at various times between 2025 and 2044.</w:t>
      </w:r>
    </w:p>
    <w:p>
      <w:pPr>
        <w:spacing w:after="0" w:line="71" w:lineRule="exact"/>
        <w:rPr>
          <w:rFonts w:ascii="Times New Roman" w:cs="Times New Roman" w:eastAsia="Times New Roman" w:hAnsi="Times New Roman"/>
          <w:sz w:val="17"/>
          <w:szCs w:val="17"/>
          <w:b w:val="1"/>
          <w:bCs w:val="1"/>
          <w:color w:val="auto"/>
        </w:rPr>
      </w:pPr>
    </w:p>
    <w:p>
      <w:pPr>
        <w:ind w:left="640" w:hanging="310"/>
        <w:spacing w:after="0"/>
        <w:tabs>
          <w:tab w:leader="none" w:pos="6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valuation allowance is related to items for which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tax benefit will not be realized.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Deferred income taxes are presented in the accompanying consolidated balance sheets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(4,884)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22"/>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(4,884)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(2,091)</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17" w:lineRule="exact"/>
        <w:rPr>
          <w:sz w:val="20"/>
          <w:szCs w:val="20"/>
          <w:color w:val="auto"/>
        </w:rPr>
      </w:pPr>
    </w:p>
    <w:p>
      <w:pPr>
        <w:jc w:val="both"/>
        <w:ind w:firstLine="323"/>
        <w:spacing w:after="0" w:line="265" w:lineRule="auto"/>
        <w:rPr>
          <w:sz w:val="20"/>
          <w:szCs w:val="20"/>
          <w:color w:val="auto"/>
        </w:rPr>
      </w:pPr>
      <w:r>
        <w:rPr>
          <w:rFonts w:ascii="Times New Roman" w:cs="Times New Roman" w:eastAsia="Times New Roman" w:hAnsi="Times New Roman"/>
          <w:sz w:val="18"/>
          <w:szCs w:val="18"/>
          <w:color w:val="auto"/>
        </w:rPr>
        <w:t xml:space="preserve">A valuation allowance is provided on deferred tax assets if it is determined that it is </w:t>
      </w:r>
      <w:r>
        <w:rPr>
          <w:rFonts w:ascii="Times New Roman" w:cs="Times New Roman" w:eastAsia="Times New Roman" w:hAnsi="Times New Roman"/>
          <w:sz w:val="18"/>
          <w:szCs w:val="18"/>
          <w:i w:val="1"/>
          <w:iCs w:val="1"/>
          <w:color w:val="auto"/>
        </w:rPr>
        <w:t>“more likely than not”</w:t>
      </w:r>
      <w:r>
        <w:rPr>
          <w:rFonts w:ascii="Times New Roman" w:cs="Times New Roman" w:eastAsia="Times New Roman" w:hAnsi="Times New Roman"/>
          <w:sz w:val="18"/>
          <w:szCs w:val="18"/>
          <w:color w:val="auto"/>
        </w:rPr>
        <w:t xml:space="preserve"> that the deferred tax asset will not be realized. As of each reporting date, management considers both positive and negative evidence regarding the likelihood of future realization of the deferred tax assets.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2024, the Company continued to maintain a full valuation allowance against its net deferred tax assets due to historical cumulative pre-tax losses and continued pre-tax losses. Management regularly reviews the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the Company considered the scheduled reversal of deferred tax liabilities. The Company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 At December 31, 2024 and 2023, the Company recorded a full valuation allowance of $167.5 million and $162.5 million, respectively.</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deferred tax valuation allowance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5"/>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162,504</w:t>
            </w:r>
          </w:p>
        </w:tc>
        <w:tc>
          <w:tcPr>
            <w:tcW w:w="4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145,401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28"/>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Charges to earnings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17,103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139,362</w:t>
            </w:r>
          </w:p>
        </w:tc>
      </w:tr>
      <w:tr>
        <w:trPr>
          <w:trHeight w:val="222"/>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167,549</w:t>
            </w:r>
          </w:p>
        </w:tc>
        <w:tc>
          <w:tcPr>
            <w:tcW w:w="4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162,504</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145,401</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amounts of unrecognized tax benefits, excluding interest and penalties,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4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3,424</w:t>
            </w:r>
          </w:p>
        </w:tc>
        <w:tc>
          <w:tcPr>
            <w:tcW w:w="10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of the current period</w:t>
            </w:r>
          </w:p>
        </w:tc>
        <w:tc>
          <w:tcPr>
            <w:tcW w:w="92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8"/>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(subtractions) based on tax positions of the prior period</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3,721</w:t>
            </w:r>
          </w:p>
        </w:tc>
        <w:tc>
          <w:tcPr>
            <w:tcW w:w="10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3,424</w:t>
            </w:r>
          </w:p>
        </w:tc>
      </w:tr>
    </w:tbl>
    <w:p>
      <w:pPr>
        <w:spacing w:after="0" w:line="170"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Interest and, if applicable, penalties are recognized related to unrecognized tax benefits in income tax expense. Interest and penalties on unrecognized tax benefits included in income tax expense of an immaterial amount has been recognized for the tax years ended December 31, 2023 and 2022. For the year ended December 31, 2024 interest is not currently required to be recorded, as there have been no tax attributes included in income tax returns filed for those tax periods to require consideration of interest expense.</w:t>
      </w:r>
    </w:p>
    <w:p>
      <w:pPr>
        <w:spacing w:after="0" w:line="74"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As of December 31, 2024 and 2023, the accrual for unrecognized tax benefits, including interest, was $3.7 million and $3.4 million, respectively, which would benefit the effective tax rate if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Audits</w:t>
      </w:r>
    </w:p>
    <w:p>
      <w:pPr>
        <w:spacing w:after="0" w:line="119" w:lineRule="exact"/>
        <w:rPr>
          <w:sz w:val="20"/>
          <w:szCs w:val="20"/>
          <w:color w:val="auto"/>
        </w:rPr>
      </w:pPr>
    </w:p>
    <w:p>
      <w:pPr>
        <w:jc w:val="both"/>
        <w:ind w:firstLine="444"/>
        <w:spacing w:after="0" w:line="255" w:lineRule="auto"/>
        <w:rPr>
          <w:sz w:val="20"/>
          <w:szCs w:val="20"/>
          <w:color w:val="auto"/>
        </w:rPr>
      </w:pPr>
      <w:r>
        <w:rPr>
          <w:rFonts w:ascii="Times New Roman" w:cs="Times New Roman" w:eastAsia="Times New Roman" w:hAnsi="Times New Roman"/>
          <w:sz w:val="18"/>
          <w:szCs w:val="18"/>
          <w:color w:val="auto"/>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2024, the Company is subject to a federal income tax examination for the tax years 2016 through 2023. In addition, the Company is subject to state and local tax examinations for the tax years 2019 through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Notes</w:t>
      </w:r>
    </w:p>
    <w:p>
      <w:pPr>
        <w:spacing w:after="0" w:line="117"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the second quarter of 2024, the Company repurchased approximately $161.3 million in principal amount of the 2025 Notes for $151.7 million plus accrued and unpaid interest of approximately $0.3 million. In the third quarter of 2024, the Company repurchased approximately $7.6 million in principal amount of the 2025 Notes for $7.2 million. During the year ended December 31, 2024, the Company recognized a gain on the extinguishment of debt of $10.1 million and a loss on the write-off of unamortized debt issuance costs of $1.1 million, both of which are included in interest (expense) income, net in the consolidated statements of operations and comprehensive income.</w:t>
      </w:r>
    </w:p>
    <w:p>
      <w:pPr>
        <w:spacing w:after="0" w:line="7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In the first quarter of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fourth quarter of 2023, the Company repurchased approximately $100.2 million in principal amount of its 2025 Notes, through individual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 write-off of unamortized debt issuance costs of $3.2 million and incurred debt repayment costs of $1.6 million, all of which are included in interest (expense) income, net in the consolidated statements of operations and comprehensive income.</w:t>
      </w:r>
    </w:p>
    <w:p>
      <w:pPr>
        <w:spacing w:after="0" w:line="7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The initial conversion rate of the 2025 Notes is 2.1683 shares of the Company's common stock per $1,000 principal amount of 2025 Notes (which is equivalent to an initial conversion price of approximately $461.19 per share). The conversion rate is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8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2025 Notes are the Company’s senior unsecured obligations and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and term loan, described below, to the extent of the value of the assets securing such indebtedness; and structurally junior to all indebtedness and other liabilities (including trade payables) of the Company’s subsidiaries.</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55" w:lineRule="exact"/>
        <w:rPr>
          <w:sz w:val="20"/>
          <w:szCs w:val="20"/>
          <w:color w:val="auto"/>
        </w:rPr>
      </w:pPr>
    </w:p>
    <w:p>
      <w:pPr>
        <w:jc w:val="both"/>
        <w:ind w:left="660" w:hanging="330"/>
        <w:spacing w:after="0" w:line="25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7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660" w:hanging="330"/>
        <w:spacing w:after="0" w:line="28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including but not limited to a fundamental change.</w:t>
      </w:r>
    </w:p>
    <w:p>
      <w:pPr>
        <w:spacing w:after="0" w:line="115"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Holders of the 2025 Notes were not entitled to convert the 2025 Notes during the calendar quarter ended December 31, 2024 as the last reported sale price of the Company's common stock, for at least 20 trading days (whether or not consecutive) during the period of 30 consecutive trading days ending on September 30, 2024, was not greater than or equal to 130% of the conversion price of the 2025 Notes on each applicable trading day. Holders of the 2025 Notes are not entitled to convert the 2025 Notes during the calendar quarter ended March 31, 2025 as the last reported sale price of the Company's common stock, for at least 20 trading days (whether or not consecutive) during the period of 30 consecutive trading days ending on December 31, 2024, was not greater than or equal to 130% of the conversion price of the 2025 Notes on each applicable trading day.</w:t>
      </w:r>
    </w:p>
    <w:p>
      <w:pPr>
        <w:spacing w:after="0" w:line="78"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55"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Company could not redeem the remaining 2025 Notes prior to July 20, 2023. On or after July 20, 2023 and before the 41st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78"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23"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ASU 2020-06 on January 1, 2022 as further described in Note 2—Significant Accounting Policies in the notes to the consolidated financial statements included elsewhere in this report.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2—Significant Accounting Policies in the notes to the consolidated financial statements included elsewhere in this report for additional information.</w:t>
      </w:r>
    </w:p>
    <w:p>
      <w:pPr>
        <w:spacing w:after="0" w:line="133"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During 2024, the Company recorded interest expense on the 2025 Notes of $1.9 million which consisted of $0.9 million associated with the 0.50% coupon rate and $1.0 million associated with the amortization of the debt issuance costs. During 2023, the Company recorded interest expense on the 2025 Notes of $4.3 million which consisted of $2.1 million associated with the 0.50% coupon rate and $2.2 million associated with the amortization of the debt issuance costs. During 2022, the Company recorded interest expense on the 2025 Notes of $5.9 million which consisted of $2.9 million associated with the 0.50% coupon rate and $3.0 million associated with the amortization of the debt issuance costs.</w:t>
      </w:r>
    </w:p>
    <w:p>
      <w:pPr>
        <w:spacing w:after="0" w:line="132"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of December 31, 2024, the fair value of the 2025 Notes is estimated to be approximately $109.8 million using the Level 1 observable input of the last quoted market price on December 31, 2024.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firstLine="323"/>
        <w:spacing w:after="0" w:line="268" w:lineRule="auto"/>
        <w:rPr>
          <w:sz w:val="20"/>
          <w:szCs w:val="20"/>
          <w:color w:val="auto"/>
        </w:rPr>
      </w:pPr>
      <w:r>
        <w:rPr>
          <w:rFonts w:ascii="Times New Roman" w:cs="Times New Roman" w:eastAsia="Times New Roman" w:hAnsi="Times New Roman"/>
          <w:sz w:val="18"/>
          <w:szCs w:val="18"/>
          <w:color w:val="auto"/>
        </w:rPr>
        <w:t xml:space="preserve">A summary of the gross carrying amount, debt issuance costs, and net carrying value of the liability component of the 2025 Notes, all of which is recorded as a current liability in the December 31, 2024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40" w:type="dxa"/>
            <w:vAlign w:val="bottom"/>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284,188</w:t>
            </w:r>
          </w:p>
        </w:tc>
      </w:tr>
      <w:tr>
        <w:trPr>
          <w:trHeight w:val="228"/>
        </w:trPr>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9"/>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281,867</w:t>
            </w:r>
          </w:p>
        </w:tc>
      </w:tr>
    </w:tbl>
    <w:p>
      <w:pPr>
        <w:spacing w:after="0" w:line="183"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 Company intends to use cash on hand, available borrowings of $50.0 million from the 2024 Term Loan (as defined below), and future cash flows from operations for the repayment of the $115.3 million outstanding principal amount of its 2025 Notes.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Notes</w:t>
      </w:r>
    </w:p>
    <w:p>
      <w:pPr>
        <w:spacing w:after="0" w:line="117"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On May 31, 2017, the Company issued $300.0 million aggregate principal amount of its 0.625% Convertible Senior Notes due June 1, 2022 (the “2022 Notes”) in a private placement. The Company settled the outstanding balance of the 2022 Notes of $169.7 million in cash on June 1, 2022. The initial conversion rate of the 2022 Notes was 4.8163 shares of the Company's common stock per $1,000 principal amount of 2022 Notes (which is equivalent to an initial conversion price of approximately $207.63 per share).</w:t>
      </w:r>
    </w:p>
    <w:p>
      <w:pPr>
        <w:spacing w:after="0" w:line="74"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ASU 2020-06 on January 1, 2022 as further described in Note 2—Significant Accounting Policies in the notes to the consolidated financial statements included elsewhere in this report.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2—Significant Accounting Policies in the notes to the consolidated financial statements included elsewhere in this report for additional information.</w:t>
      </w:r>
    </w:p>
    <w:p>
      <w:pPr>
        <w:spacing w:after="0" w:line="79"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During 2022, the Company recorded interest expense on the 2022 Notes of $0.8 million which consisted of $0.4 million associated with the 0.625% coupon rate and $0.4 million associated with the amortization of the debt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Hedge and Warrants</w:t>
      </w:r>
    </w:p>
    <w:p>
      <w:pPr>
        <w:spacing w:after="0" w:line="117"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69"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7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In connection with the repurchases of the 2025 Notes noted above, the Company entered into agreements with the counterparties for the 2020 Hedge and 2020 Warrants transactions to terminate the respective portions of these call spread transactions effective as of each settlement date in notional amounts corresponding to the principal amount of the 2025 Notes repurchased. Subsequent to such terminations, the outstanding portion of the 2020 Hedge covers 0.3 million shares of the Company's common stock and the 2020 Warrants to acquire 0.3 million shares of the Company's common stock remain outstanding.</w:t>
      </w:r>
    </w:p>
    <w:p>
      <w:pPr>
        <w:spacing w:after="0" w:line="7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19"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“2021 Term Loan” and together with the Revolving Facility, the “Credit Facility”), which matures on September 15, 2028. The proceeds of the Revolving Facility can be used to finance working capital, for general corporate purposes and any other purpose not prohibited by the Credit Agreement. On May 31, 2022 the Company received proceeds of $250.0 million from the 2021 Term Loan and, on June 1, 2022, used $170.2 million of the proceeds to settle the Company's 2022 Notes, including interest. The remaining proceeds of $79.8 million may be used for general corporate purposes not prohibited by the Credit Agreement. The Credit Facility replaces the Company's $500.0 million five-year senior secured revolving credit facility (the “Amended Revolving Credit Facility”) which was entered into on December 10, 2019. As of December 31, 2024, the Company had $243.8 million borrowings outstanding under the 2021 Term Loan bearing interest at the SOFR option rate of 8.47% and had no borrowings under the Revolving Facility. As of December 31, 2023, the Company had $246.9 million borrowings outstanding under the 2021 Term Loan and had no borrowings under the Revolving Facility. As of December 31, 2024, borrowings of $2.5 million under the Term Loan Facility are recorded as current portion of long-term debt on the consolidated balance sheet.</w:t>
      </w:r>
    </w:p>
    <w:p>
      <w:pPr>
        <w:spacing w:after="0" w:line="135"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full amount of the Revolving Facility will be available on a same-day basis, with respect to base rate loans and upon advance notice with respect to SOFR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December 31, 2023, the Company had outstanding one letter of credit issued in the amount of $0.2 million.</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borrowings under the Credit Facility bear interest at annual rates that, at the Company’s option, will be either:</w:t>
      </w:r>
    </w:p>
    <w:p>
      <w:pPr>
        <w:spacing w:after="0" w:line="115" w:lineRule="exact"/>
        <w:rPr>
          <w:sz w:val="20"/>
          <w:szCs w:val="20"/>
          <w:color w:val="auto"/>
        </w:rPr>
      </w:pPr>
    </w:p>
    <w:p>
      <w:pPr>
        <w:jc w:val="both"/>
        <w:ind w:left="660" w:hanging="330"/>
        <w:spacing w:after="0" w:line="259"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Truist Bank, (b) the federal funds effective rate plus 0.5% and (c) the Benchmark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73" w:lineRule="exact"/>
        <w:rPr>
          <w:rFonts w:ascii="Times New Roman" w:cs="Times New Roman" w:eastAsia="Times New Roman" w:hAnsi="Times New Roman"/>
          <w:sz w:val="18"/>
          <w:szCs w:val="18"/>
          <w:color w:val="auto"/>
        </w:rPr>
      </w:pPr>
    </w:p>
    <w:p>
      <w:pPr>
        <w:jc w:val="both"/>
        <w:ind w:left="660" w:hanging="330"/>
        <w:spacing w:after="0" w:line="264"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Benchmark rate generally defined as the sum of (i) (a) Term SOFR and (b) the related Benchmark replacement adjustment and (ii) an applicable percentage of 2.25% to 2.75% for loans under the Revolving Facility and 3.75% and 4.00% for loans under the Term Loan Facility, in each case, based on a first lien net leverage ratio.</w:t>
      </w:r>
    </w:p>
    <w:p>
      <w:pPr>
        <w:spacing w:after="0" w:line="6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Interest on the Company’s borrowings is payable quarterly in arrears for base rate loans and on the last day of each interest rate period (but not less often than three months) for SOFR rate loans.</w:t>
      </w:r>
    </w:p>
    <w:p>
      <w:pPr>
        <w:spacing w:after="0" w:line="55"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covenants at December 31, 2024.</w:t>
      </w:r>
    </w:p>
    <w:p>
      <w:pPr>
        <w:spacing w:after="0" w:line="115"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74"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13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With respect to the 2021 Term Loan, the Company is required to pay an unused commitment fee quarterly in arrears on the difference between committed amounts and amounts actually borrowed under the 2021 Term Loan equal to an applicable SOFR rate plus an applicable percentage of 3.75% to 4.00% per annum based on a first lien net leverage ratio.</w:t>
      </w:r>
    </w:p>
    <w:p>
      <w:pPr>
        <w:spacing w:after="0" w:line="69"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During 2024, the Company recorded interest expense related to its Revolving Facility of $1.8 million which consisted of $0.9 million in unused commitment fees and $0.9 million associated with the amortization of the debt issuance costs. During 2024, the Company recorded interest expense related to the 2021 Term Loan of $22.8 million associated with borrowings bearing interest at the SOFR option rate.</w:t>
      </w:r>
    </w:p>
    <w:p>
      <w:pPr>
        <w:spacing w:after="0" w:line="6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During 2023, the Company recorded interest expense related to its Revolving Facility of $1.5 million which consisted of $0.6 million in unused commitment fees and $0.9 million associated with the amortization of the debt issuance costs. During 2023, the Company recorded interest expense related to the 2021 Term Loan of $22.2 million which consisted of $22.2 million associated with borrowings bearing interest at the LIBO rate during the first six months of 2023 and the SOFR option rate during the last six months of 2023. During 2022, the Company recorded interest expense related to its revolving facilities of $1.5 million which consisted of $0.6 million in unused commitment fees and $0.9 million associated with the amortization of the debt issuance costs. During 2022, the Company recorded interest expense related to the 2021 Term Loan of $18.2 million which consisted of $9.6 million associated with borrowings bearing interest at the LIBO rate, $5.1 million in unused commitment fees, $2.0 million associated with the amortization of the debt issuance costs, and $1.5 million associated with the amortization of the original issue discount.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Loan</w:t>
      </w:r>
    </w:p>
    <w:p>
      <w:pPr>
        <w:spacing w:after="0" w:line="173"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On March 27, 2024, the Company entered into a $175.0 million first lien term loan facility (the “2024 Term Loan”), which matures on March 27, 2031. The Company drew $125.0 million of the 2024 Term Loan upon closing while the remaining $50.0 million will be available as a delayed draw term loan until March 27, 2025. The proceeds of the 2024 Term Loan made on March 27, 2024 were used to pay fees and expenses incurred in connection with the closing of the 2024 Term Loan and delayed draw term loan, and will be used for working capital and general corporate purposes, which may include repayment of the 2025 Notes. As of December 31, 2024, the Company had $115.6 million borrowings outstanding under the 2024 Term Loan bearing interest based on the SOFR rate of 10.1%. As of December 31, 2024, borrowings of $7.8 million under the 2024 Term Loan are recorded as current portion of long-term debt on the consolidated balance sheet.</w:t>
      </w:r>
    </w:p>
    <w:p>
      <w:pPr>
        <w:spacing w:after="0" w:line="13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2024 Term Loan is pre-payable at par, after 12 months of call protection (during which time prepayment would be at 101% of par), or with respect to prepayments made with respect to a change of control, at 101% of par, and carries a seven-year term. The Company's borrowings under the 2024 Term Loan bear interest at annual rates at (i) a SOFR rate on a daily basis applicable for an interest period of one month and (ii) 5.75%, with the opportunity for a one-time 25.00 basis point step-down at a gross first lien leverage ratio less than or equal to 3.75x after six fiscal quarters from the date of closing.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The 2024 Term Loan has certain financial covenants which are tested on a quarterly basis. The covenants include a requirement for the Company to maintain a minimum cash balance of $40.0 million as of the last day of any fiscal quarter (or subject to certain conditions an average cash balance of $40.0 million based on the average cash balance as of the last day of each week during a fiscal quarter) and a minimum Consolidated EBITDA (as such term is defined in the 2024 Term Loan agreement dated as of March 27, 2024) based on the applicable quarter. The Company was in compliance with all covenants at December 31, 2024.</w:t>
      </w:r>
    </w:p>
    <w:p>
      <w:pPr>
        <w:spacing w:after="0" w:line="132"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In addition, the 2024 Term Loan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agreements of this type, all subject to certain exceptions. In addition, the Company filed an ATM Shelf Registration (as defined in the 2024 Term Loan agreement) with the SEC in the third quarter of 2024. In the event of a default in the minimum Consolidated EBITDA (as defined in the 2024 Term Loan agreement) covenant, the Company is required to utilize the ATM Equity Program (as defined in the 2024 Term Loan agreement) to sell common stock and use the proceeds to cure the event of default in the minimum Consolidated EBITDA covenant. Additionally, the Company may use the ATM Equity Program to maintain the $40.0 million minimum cash balance requirement in the 2024 Term Loan.</w:t>
      </w:r>
    </w:p>
    <w:p>
      <w:pPr>
        <w:spacing w:after="0" w:line="136"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The Company is required to make mandatory prepayments of the outstanding principal amount of loans under the 2024 Term Loan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w:t>
      </w:r>
    </w:p>
    <w:p>
      <w:pPr>
        <w:spacing w:after="0" w:line="12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2024 Term Loan includes customary events of default, that include among other things, non-payment of principal, interest or fees, inaccuracy of representations and warranties, violation of certain covenants, cross default to certain other indebtedness, bankruptcy and insolvency events, material judgments, change of control, and certain material ERISA events. The occurrence of a default could result in the acceleration of the obligations under the facility.</w:t>
      </w:r>
    </w:p>
    <w:p>
      <w:pPr>
        <w:spacing w:after="0" w:line="128"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As security for its obligations under the facility, the Company granted a security interest to substantially all of the Company’s assets and the assets of its material subsidiaries, subject to certain exceptions.</w:t>
      </w:r>
    </w:p>
    <w:p>
      <w:pPr>
        <w:spacing w:after="0" w:line="10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With respect to the 2024 Term Loan, the Company incurred financing costs of $7.4 million upon closing consisting of $2.8 million of debt issuance costs and $3.1 million of original issue discount associated with the initial $125.0 million borrowing which are being amortized to interest expense over the life of the 2024 Term Loan and $1.5 million of debt issuance costs associated with the $50.0 million delayed draw term loan which are being deferred until the funds are drawn. Additionally, the Company is required to pay an unused commitment fee quarterly in arrears in an amount equal to 1.50% per annum on the amount of the undrawn portion of the delayed draw term loan commitments under the 2024 Term Loan.</w:t>
      </w:r>
    </w:p>
    <w:p>
      <w:pPr>
        <w:spacing w:after="0" w:line="132"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During 2024, the Company recorded interest expense related to the 2024 Term Loan of $11.5 million which consisted of $10.3 million associated with borrowings bearing interest based on the SOFR rate, $0.6 million associated with unused commitment fees, $0.3 million associated with the amortization of debt issuance costs, and $0.3 million associated with the accretion of the original issue discount.</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gross carrying amount, debt issuance costs, original issue discount, and net carrying value of the 2024 Term Loan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consolidated balance sheet, are as follows (in thousands):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3"/>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8"/>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carrying 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7,813</w:t>
            </w:r>
          </w:p>
        </w:tc>
      </w:tr>
      <w:tr>
        <w:trPr>
          <w:trHeight w:val="228"/>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169</w:t>
            </w:r>
          </w:p>
        </w:tc>
      </w:tr>
      <w:tr>
        <w:trPr>
          <w:trHeight w:val="228"/>
        </w:trPr>
        <w:tc>
          <w:tcPr>
            <w:tcW w:w="9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7,455</w:t>
            </w:r>
          </w:p>
        </w:tc>
      </w:tr>
      <w:tr>
        <w:trPr>
          <w:trHeight w:val="22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8"/>
        </w:trPr>
        <w:tc>
          <w:tcPr>
            <w:tcW w:w="9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carrying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107,812</w:t>
            </w:r>
          </w:p>
        </w:tc>
      </w:tr>
      <w:tr>
        <w:trPr>
          <w:trHeight w:val="228"/>
        </w:trPr>
        <w:tc>
          <w:tcPr>
            <w:tcW w:w="9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2,333</w:t>
            </w:r>
          </w:p>
        </w:tc>
      </w:tr>
      <w:tr>
        <w:trPr>
          <w:trHeight w:val="228"/>
        </w:trPr>
        <w:tc>
          <w:tcPr>
            <w:tcW w:w="9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2,605</w:t>
            </w:r>
          </w:p>
        </w:tc>
      </w:tr>
      <w:tr>
        <w:trPr>
          <w:trHeight w:val="229"/>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102,874</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119" w:lineRule="exact"/>
        <w:rPr>
          <w:sz w:val="20"/>
          <w:szCs w:val="20"/>
          <w:color w:val="auto"/>
        </w:rPr>
      </w:pPr>
    </w:p>
    <w:p>
      <w:pPr>
        <w:ind w:right="300" w:firstLine="323"/>
        <w:spacing w:after="0" w:line="274" w:lineRule="auto"/>
        <w:rPr>
          <w:sz w:val="20"/>
          <w:szCs w:val="20"/>
          <w:color w:val="auto"/>
        </w:rPr>
      </w:pPr>
      <w:r>
        <w:rPr>
          <w:rFonts w:ascii="Times New Roman" w:cs="Times New Roman" w:eastAsia="Times New Roman" w:hAnsi="Times New Roman"/>
          <w:sz w:val="18"/>
          <w:szCs w:val="18"/>
          <w:color w:val="auto"/>
        </w:rPr>
        <w:t xml:space="preserve">The Company has funding commitments that could potentially require performance in the event of demands by third parties or contingent events,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left="797"/>
              <w:spacing w:after="0"/>
              <w:rPr>
                <w:sz w:val="20"/>
                <w:szCs w:val="20"/>
                <w:color w:val="auto"/>
              </w:rPr>
            </w:pPr>
            <w:r>
              <w:rPr>
                <w:rFonts w:ascii="Times New Roman" w:cs="Times New Roman" w:eastAsia="Times New Roman" w:hAnsi="Times New Roman"/>
                <w:sz w:val="16"/>
                <w:szCs w:val="16"/>
                <w:b w:val="1"/>
                <w:bCs w:val="1"/>
                <w:color w:val="auto"/>
              </w:rPr>
              <w:t>Commitments Due By Period</w:t>
            </w:r>
          </w:p>
        </w:tc>
        <w:tc>
          <w:tcPr>
            <w:tcW w:w="1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3"/>
                <w:szCs w:val="13"/>
                <w:color w:val="auto"/>
              </w:rPr>
            </w:pPr>
          </w:p>
        </w:tc>
        <w:tc>
          <w:tcPr>
            <w:tcW w:w="1220" w:type="dxa"/>
            <w:vAlign w:val="bottom"/>
          </w:tcPr>
          <w:p>
            <w:pPr>
              <w:jc w:val="center"/>
              <w:ind w:right="177"/>
              <w:spacing w:after="0" w:line="15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340" w:type="dxa"/>
            <w:vAlign w:val="bottom"/>
          </w:tcPr>
          <w:p>
            <w:pPr>
              <w:spacing w:after="0"/>
              <w:rPr>
                <w:sz w:val="13"/>
                <w:szCs w:val="13"/>
                <w:color w:val="auto"/>
              </w:rPr>
            </w:pPr>
          </w:p>
        </w:tc>
        <w:tc>
          <w:tcPr>
            <w:tcW w:w="12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80" w:type="dxa"/>
            <w:vAlign w:val="bottom"/>
          </w:tcPr>
          <w:p>
            <w:pPr>
              <w:spacing w:after="0"/>
              <w:rPr>
                <w:sz w:val="13"/>
                <w:szCs w:val="13"/>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220" w:type="dxa"/>
            <w:vAlign w:val="bottom"/>
          </w:tcPr>
          <w:p>
            <w:pPr>
              <w:jc w:val="center"/>
              <w:ind w:right="116"/>
              <w:spacing w:after="0" w:line="158"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1 year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0" w:type="dxa"/>
            <w:vAlign w:val="bottom"/>
          </w:tcPr>
          <w:p>
            <w:pPr>
              <w:spacing w:after="0"/>
              <w:rPr>
                <w:sz w:val="1"/>
                <w:szCs w:val="1"/>
                <w:color w:val="auto"/>
              </w:rPr>
            </w:pPr>
          </w:p>
        </w:tc>
      </w:tr>
      <w:tr>
        <w:trPr>
          <w:trHeight w:val="224"/>
        </w:trPr>
        <w:tc>
          <w:tcPr>
            <w:tcW w:w="3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Surety bonds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3,753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3,653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331"/>
        <w:spacing w:after="0" w:line="259" w:lineRule="auto"/>
        <w:tabs>
          <w:tab w:leader="none" w:pos="4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The Company maintains surety bonds in all states requiring them in the event of a claim.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9"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16, unless otherwise indicated, the Company is unable to estimate the possible loss or range of losses that could potentially result from the application of such non-monetary remedies.</w:t>
      </w:r>
    </w:p>
    <w:p>
      <w:pPr>
        <w:spacing w:after="0" w:line="7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recovered in such matters may be subject to insurance coverage. On or about October 29, 2019, Joseph Mantha filed a class action lawsuit against QuoteWizard.com, LLC alleging claims in violation of the Telephone Consumer Protection Act. On August 16, 2024, the U.S. District Court of Massachusetts granted the plaintiff’s motion to certify a class. Mediation in November 2024 was not successful.</w:t>
      </w:r>
    </w:p>
    <w:p>
      <w:pPr>
        <w:spacing w:after="0" w:line="74" w:lineRule="exact"/>
        <w:rPr>
          <w:sz w:val="20"/>
          <w:szCs w:val="20"/>
          <w:color w:val="auto"/>
        </w:rPr>
      </w:pPr>
    </w:p>
    <w:p>
      <w:pPr>
        <w:jc w:val="both"/>
        <w:ind w:firstLine="323"/>
        <w:spacing w:after="0" w:line="264" w:lineRule="auto"/>
        <w:rPr>
          <w:sz w:val="20"/>
          <w:szCs w:val="20"/>
          <w:color w:val="auto"/>
        </w:rPr>
      </w:pPr>
      <w:r>
        <w:rPr>
          <w:rFonts w:ascii="Times New Roman" w:cs="Times New Roman" w:eastAsia="Times New Roman" w:hAnsi="Times New Roman"/>
          <w:sz w:val="18"/>
          <w:szCs w:val="18"/>
          <w:color w:val="auto"/>
        </w:rPr>
        <w:t>As of December 31, 2024 and 2023, the Company had litigation settlement accruals of $3.9 million and $0.6 million, respectively. The litigation settlement accruals relate to litigation matters that were either settled or a firm offer for settlement was extended or an estimated settlement range has been determined, thereby establishing an accrual amount that is both probable and reasonably estimable.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17—FAIR VALUE MEASUREMENTS</w:t>
      </w:r>
    </w:p>
    <w:p>
      <w:pPr>
        <w:spacing w:after="0" w:line="119"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 xml:space="preserve">Other than the convertible notes and warrants, and the equity investments, the carrying amounts of the Company's financial instruments are equal to fair value at December 31,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14—Debt for additional information on the convertible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notes and warrants, and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8—Equity Investments in the notes to the consolidated financial statements included elsewhere in this report for additional information on the equity investments.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18—RELATED PARTY TRANSACTIONS</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In 2017, the Company's Board of Directors approved a $10.0 million contribution to fund the newly formed LendingTree Foundation. In each of 2020 and 2019, the Company paid $3.3 million of the $10.0 million contribution, and paid the final installment in 2022. In the fourth quarter of 2022, the Company's Board of Directors approved an additional $0.5 million contribution to the LendingTree Foundation that the Company paid in 2023. Officers of the Company serve as officers of the LendingTree Foundation.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19—BENEFIT PLANS</w:t>
      </w:r>
    </w:p>
    <w:p>
      <w:pPr>
        <w:spacing w:after="0" w:line="119" w:lineRule="exact"/>
        <w:rPr>
          <w:sz w:val="20"/>
          <w:szCs w:val="20"/>
          <w:color w:val="auto"/>
        </w:rPr>
      </w:pPr>
    </w:p>
    <w:p>
      <w:pPr>
        <w:jc w:val="both"/>
        <w:ind w:firstLine="323"/>
        <w:spacing w:after="0" w:line="253" w:lineRule="auto"/>
        <w:rPr>
          <w:sz w:val="20"/>
          <w:szCs w:val="20"/>
          <w:color w:val="auto"/>
        </w:rPr>
      </w:pPr>
      <w:r>
        <w:rPr>
          <w:rFonts w:ascii="Times New Roman" w:cs="Times New Roman" w:eastAsia="Times New Roman" w:hAnsi="Times New Roman"/>
          <w:sz w:val="18"/>
          <w:szCs w:val="18"/>
          <w:color w:val="auto"/>
        </w:rPr>
        <w:t>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($23,000 for 2024, $22,500 for 2023, and $20,500 for 2022).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$2.3 million, $2.2 million and $2.8 million for the years ended December 31, 2024,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20—SEGMENT INFORMATION</w:t>
      </w:r>
    </w:p>
    <w:p>
      <w:pPr>
        <w:spacing w:after="0" w:line="119"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the Company’s Chief Executive Officer, for the purpose of assessing performance and allocating resources.</w:t>
      </w:r>
    </w:p>
    <w:p>
      <w:pPr>
        <w:spacing w:after="0" w:line="74"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We ceased offering reverse mortgage loans in the fourth quarter of 2022. The Consumer segment includes the following products: credit cards, personal loans, small business loans, auto loans, deposit accounts, and other credit products such as credit repair and debt settlement. The credit repair business was closed at the end of the second quarter of 2023. In the fourth quarter of 2024, the Company made the decision to cease offering its student loan products and plans to be substantially completed in the first quarter of 2025. The Insurance segment consists of insurance quote products and sales of insurance policies in our agency businesses.</w:t>
      </w:r>
    </w:p>
    <w:p>
      <w:pPr>
        <w:spacing w:after="0" w:line="78"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548,704</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900,219</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88,958</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111,925</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389,474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590,651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39,896</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110,537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159,230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309,568</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36,072</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45,312</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108,705</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46,358</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44,627</w:t>
            </w:r>
          </w:p>
        </w:tc>
      </w:tr>
      <w:tr>
        <w:trPr>
          <w:trHeight w:val="21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(27,849)</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(54,162)</w:t>
            </w:r>
          </w:p>
        </w:tc>
      </w:tr>
      <w:tr>
        <w:trPr>
          <w:trHeight w:val="23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(37,384)</w:t>
            </w:r>
          </w:p>
        </w:tc>
      </w:tr>
      <w:tr>
        <w:trPr>
          <w:trHeight w:val="392"/>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249,605</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672,502</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95,871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140,068</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146,101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382,748</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47,882</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138,877</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103,504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289,754</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50,840</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47,197</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7,694</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38,600</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10,118</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(40,611)</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21,685</w:t>
            </w:r>
          </w:p>
        </w:tc>
      </w:tr>
      <w:tr>
        <w:trPr>
          <w:trHeight w:val="215"/>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(105,993)</w:t>
            </w:r>
          </w:p>
        </w:tc>
      </w:tr>
      <w:tr>
        <w:trPr>
          <w:trHeight w:val="218"/>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(124,919)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Home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299,073</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center"/>
              <w:ind w:left="402"/>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984,992</w:t>
            </w:r>
          </w:p>
        </w:tc>
      </w:tr>
      <w:tr>
        <w:trPr>
          <w:trHeight w:val="212"/>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cost of revenue and marketing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186,299</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221,531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207,239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402"/>
              <w:spacing w:after="0"/>
              <w:rPr>
                <w:sz w:val="20"/>
                <w:szCs w:val="20"/>
                <w:color w:val="auto"/>
              </w:rPr>
            </w:pPr>
            <w:r>
              <w:rPr>
                <w:rFonts w:ascii="Times New Roman" w:cs="Times New Roman" w:eastAsia="Times New Roman" w:hAnsi="Times New Roman"/>
                <w:sz w:val="16"/>
                <w:szCs w:val="16"/>
                <w:color w:val="auto"/>
              </w:rPr>
              <w:t>982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616,051</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103,084</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174,578</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91,834</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382"/>
              <w:spacing w:after="0"/>
              <w:rPr>
                <w:sz w:val="20"/>
                <w:szCs w:val="20"/>
                <w:color w:val="auto"/>
              </w:rPr>
            </w:pPr>
            <w:r>
              <w:rPr>
                <w:rFonts w:ascii="Times New Roman" w:cs="Times New Roman" w:eastAsia="Times New Roman" w:hAnsi="Times New Roman"/>
                <w:sz w:val="16"/>
                <w:szCs w:val="16"/>
                <w:b w:val="1"/>
                <w:bCs w:val="1"/>
                <w:color w:val="auto"/>
              </w:rPr>
              <w:t>(555)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368,941</w:t>
            </w:r>
          </w:p>
        </w:tc>
      </w:tr>
      <w:tr>
        <w:trPr>
          <w:trHeight w:val="20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57,769</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86,187</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152,383</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55,553</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25,306</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(32,762)</w:t>
            </w:r>
          </w:p>
        </w:tc>
      </w:tr>
      <w:tr>
        <w:trPr>
          <w:trHeight w:val="217"/>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(26,014)</w:t>
            </w:r>
          </w:p>
        </w:tc>
      </w:tr>
      <w:tr>
        <w:trPr>
          <w:trHeight w:val="212"/>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3,843</w:t>
            </w:r>
          </w:p>
        </w:tc>
      </w:tr>
      <w:tr>
        <w:trPr>
          <w:trHeight w:val="21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(54,933)</w:t>
            </w:r>
          </w:p>
        </w:tc>
      </w:tr>
    </w:tbl>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21—RESTRUCTURING ACTIVITIES</w:t>
      </w:r>
    </w:p>
    <w:p>
      <w:pPr>
        <w:spacing w:after="0" w:line="17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During September 2023, the Company initiated workforce reductions of 14 employees. The Company incurred approximately $0.9 million in severance charges in connection with the workforce reductions, consisting of cash expenditures for employee separation costs of approximately $0.7 million and non-cash charges for the accelerated vesting of certain equity awards of approximately $0.2 million. The cash payments were completed by the third quarter of 2024.</w:t>
      </w:r>
    </w:p>
    <w:p>
      <w:pPr>
        <w:spacing w:after="0" w:line="128"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On April 6, 2023, the Company made the decision to close the Ovation credit services business ( the "Ovation Closure".) The Ovation Closure includes the elimination of approximately 197 employees, or 18%, of the Company's workforce. As a result of the Ovation Closure, the Company incurred $2.1 million in restructuring expense in connection with cash expenditures for employee separation costs. In connection with the Ovation Closure, in the first quarter of 2023, the Company recorded asset impairment charges of $4.2 million, of which $2.1 million related to intangible assets, $1.7 million related to property and equipment, and $0.4 million related to an operating lease right-of-use asset. The cash payments for the Ovation Closure were completed in the first quarter of 2024.</w:t>
      </w:r>
    </w:p>
    <w:p>
      <w:pPr>
        <w:spacing w:after="0" w:line="132"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On March 24, 2023, the Company committed to a workforce reduction plan (the “Reduction Plan”), to reduce operating costs. The Reduction Plan includes the elimination of approximately 162 employees, or 13%, of the Company’s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Reduction Plan, including cash payments, was completed by the end of the third quarter of 2024.</w:t>
      </w:r>
    </w:p>
    <w:p>
      <w:pPr>
        <w:spacing w:after="0" w:line="132"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During 2022, the Company completed workforce reductions in each of the first, second, and fourth quarters of approximately 75 employees, 25 employees, and 50 employees, respectively. The Company incurred total expense in 2022 of $4.4 million consisting of employee separation costs of $3.3 million and non-cash compensation expense of $1.1 million due to the accelerated vesting of certain equity awards. All employee separation costs for 2022 actions were paid by the end of 2023.</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95"/>
              <w:spacing w:after="0" w:line="148"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ind w:left="60"/>
              <w:spacing w:after="0" w:line="148"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    Income Statement Impact</w:t>
            </w:r>
          </w:p>
        </w:tc>
        <w:tc>
          <w:tcPr>
            <w:tcW w:w="3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4"/>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Q3 2023 action</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Q2 2023 action</w:t>
            </w: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Q1 2023 action</w:t>
            </w: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5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ind w:left="60"/>
              <w:spacing w:after="0" w:line="128"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    Income Statement Impact</w:t>
            </w: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5"/>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Q3 2023 action</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compensation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Q2 2023 action</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Q1 2023 action</w:t>
            </w: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Non-cash compensation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 action</w:t>
            </w:r>
          </w:p>
        </w:tc>
        <w:tc>
          <w:tcPr>
            <w:tcW w:w="1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Borders>
              <w:bottom w:val="single" w:sz="8" w:color="auto"/>
            </w:tcBorders>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8,283</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(6,607)</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7"/>
        </w:trPr>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3" w:lineRule="exact"/>
        <w:rPr>
          <w:sz w:val="20"/>
          <w:szCs w:val="20"/>
          <w:color w:val="auto"/>
        </w:rPr>
      </w:pPr>
    </w:p>
    <w:p>
      <w:pPr>
        <w:jc w:val="both"/>
        <w:ind w:firstLine="323"/>
        <w:spacing w:after="0" w:line="255" w:lineRule="auto"/>
        <w:rPr>
          <w:sz w:val="20"/>
          <w:szCs w:val="20"/>
          <w:color w:val="auto"/>
        </w:rPr>
      </w:pPr>
      <w:r>
        <w:rPr>
          <w:rFonts w:ascii="Times New Roman" w:cs="Times New Roman" w:eastAsia="Times New Roman" w:hAnsi="Times New Roman"/>
          <w:sz w:val="18"/>
          <w:szCs w:val="18"/>
          <w:color w:val="auto"/>
        </w:rPr>
        <w:t>As required by Rule 13a-15(b) of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78" w:lineRule="exact"/>
        <w:rPr>
          <w:sz w:val="20"/>
          <w:szCs w:val="20"/>
          <w:color w:val="auto"/>
        </w:rPr>
      </w:pPr>
    </w:p>
    <w:p>
      <w:pPr>
        <w:jc w:val="both"/>
        <w:ind w:firstLine="323"/>
        <w:spacing w:after="0" w:line="256"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December 31,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jc w:val="both"/>
        <w:ind w:firstLine="323"/>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assessed the effectiveness of our internal control over financial reporting as of December 31, 2024.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2024. The effectiveness of our internal control over financial reporting as of December 31, 2024 has been audited by PricewaterhouseCoopers LLP, an independent registered public accounting firm, as stated in their attestation report appearing under “Item 8. Financial Statements and Supplementary Data” included elsewhere in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jc w:val="both"/>
        <w:ind w:right="20" w:firstLine="323"/>
        <w:spacing w:after="0" w:line="280"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the Exchange Act, Rules 13a-15(f)) that occurred during the quarter ended December 31, 2024 that has materially affected, or is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3" w:lineRule="exact"/>
        <w:rPr>
          <w:sz w:val="20"/>
          <w:szCs w:val="20"/>
          <w:color w:val="auto"/>
        </w:rPr>
      </w:pPr>
    </w:p>
    <w:p>
      <w:pPr>
        <w:jc w:val="both"/>
        <w:ind w:firstLine="323"/>
        <w:spacing w:after="0" w:line="280" w:lineRule="auto"/>
        <w:rPr>
          <w:sz w:val="20"/>
          <w:szCs w:val="20"/>
          <w:color w:val="auto"/>
        </w:rPr>
      </w:pPr>
      <w:r>
        <w:rPr>
          <w:rFonts w:ascii="Times New Roman" w:cs="Times New Roman" w:eastAsia="Times New Roman" w:hAnsi="Times New Roman"/>
          <w:sz w:val="18"/>
          <w:szCs w:val="18"/>
          <w:color w:val="auto"/>
        </w:rPr>
        <w:t>During the fiscal quarter ended December 31, 2024, none of the Company's directors or executive officers adopted or terminated any contract, instruction or written plan for the purchase or sale of Company securities that was intended to satisfy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line="280" w:lineRule="auto"/>
        <w:rPr>
          <w:sz w:val="20"/>
          <w:szCs w:val="20"/>
          <w:color w:val="auto"/>
        </w:rPr>
      </w:pPr>
      <w:r>
        <w:rPr>
          <w:rFonts w:ascii="Times New Roman" w:cs="Times New Roman" w:eastAsia="Times New Roman" w:hAnsi="Times New Roman"/>
          <w:sz w:val="18"/>
          <w:szCs w:val="18"/>
          <w:color w:val="auto"/>
        </w:rPr>
        <w:t>the affirmative defense conditions of Rule 10b5-1(c) or any "non-Rule 10b5-1 trading arrangement." Further, during the fiscal quarter ended December 31, 2024 the Company did not adopt or terminate a Rule 10b5-1 trading arrangement.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3" w:lineRule="exact"/>
        <w:rPr>
          <w:sz w:val="20"/>
          <w:szCs w:val="20"/>
          <w:color w:val="auto"/>
        </w:rPr>
      </w:pPr>
    </w:p>
    <w:p>
      <w:pPr>
        <w:jc w:val="both"/>
        <w:ind w:firstLine="323"/>
        <w:spacing w:after="0" w:line="259" w:lineRule="auto"/>
        <w:rPr>
          <w:sz w:val="20"/>
          <w:szCs w:val="20"/>
          <w:color w:val="auto"/>
        </w:rPr>
      </w:pPr>
      <w:r>
        <w:rPr>
          <w:rFonts w:ascii="Times New Roman" w:cs="Times New Roman" w:eastAsia="Times New Roman" w:hAnsi="Times New Roman"/>
          <w:sz w:val="18"/>
          <w:szCs w:val="18"/>
          <w:color w:val="auto"/>
        </w:rPr>
        <w:t>As set forth below, the information required by Part III (Items 10, 11, 12, 13 and 14) is incorporated herein by reference to the Company's definitive proxy statement to be used in connection with its 2024 Annual Meeting of Stockholders and which will be filed with the Securities and Exchange Commission not later than 120 days after the end of the Company's fiscal year ended December 31, 2024 (the “2024 Proxy Statement”), in accordance with General Instruction G(3) of Form 10-K.</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10 will be contained in, and is hereby incorporated by reference to, the 2024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11 will be contained in, and is hereby incorporated by reference to, the 2024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12 will be contained in, and is hereby incorporated by reference to, the 2024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13 will be contained in, and is hereby incorporated by reference to, the 2024 Proxy Statement.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Item 14 will be contained in, and is hereby incorporated by reference to, the 2024 Proxy Statement.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  List of documents filed as part of this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 of LendingTree, Inc.</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PricewaterhouseCoopers LLP.</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 for the Years Ended December 31, 2024, 2023 and 2022.</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2024 and 2023.</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2024, 2023 and 2022.</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Consolidated Financial Statement Schedules of LendingTree, Inc.</w:t>
      </w:r>
    </w:p>
    <w:p>
      <w:pPr>
        <w:spacing w:after="0" w:line="160" w:lineRule="exact"/>
        <w:rPr>
          <w:sz w:val="20"/>
          <w:szCs w:val="20"/>
          <w:color w:val="auto"/>
        </w:rPr>
      </w:pPr>
    </w:p>
    <w:p>
      <w:pPr>
        <w:ind w:right="760" w:firstLine="323"/>
        <w:spacing w:after="0" w:line="280" w:lineRule="auto"/>
        <w:rPr>
          <w:sz w:val="20"/>
          <w:szCs w:val="20"/>
          <w:color w:val="auto"/>
        </w:rPr>
      </w:pPr>
      <w:r>
        <w:rPr>
          <w:rFonts w:ascii="Times New Roman" w:cs="Times New Roman" w:eastAsia="Times New Roman" w:hAnsi="Times New Roman"/>
          <w:sz w:val="18"/>
          <w:szCs w:val="18"/>
          <w:color w:val="auto"/>
        </w:rPr>
        <w:t>All consolidated financial statements and schedules have been omitted since the required information is included in the consolidated financial statements or the notes thereto, or is not applicable or required.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ind w:firstLine="323"/>
        <w:spacing w:after="0" w:line="270" w:lineRule="auto"/>
        <w:rPr>
          <w:sz w:val="20"/>
          <w:szCs w:val="20"/>
          <w:color w:val="auto"/>
        </w:rPr>
      </w:pPr>
      <w:r>
        <w:rPr>
          <w:rFonts w:ascii="Times New Roman" w:cs="Times New Roman" w:eastAsia="Times New Roman" w:hAnsi="Times New Roman"/>
          <w:sz w:val="18"/>
          <w:szCs w:val="18"/>
          <w:color w:val="auto"/>
        </w:rPr>
        <w:t>The documents set forth below, numbered in accordance with Item 601 of Regulation S-K, are filed herewith or incorporated herein by reference to the location indicated below.</w:t>
      </w:r>
    </w:p>
    <w:tbl>
      <w:tblPr>
        <w:tblLayout w:type="fixed"/>
        <w:tblInd w:w="0" w:type="dxa"/>
        <w:tblCellMar>
          <w:top w:w="0" w:type="dxa"/>
          <w:left w:w="0" w:type="dxa"/>
          <w:bottom w:w="0" w:type="dxa"/>
          <w:right w:w="0" w:type="dxa"/>
        </w:tblCellMar>
      </w:tblPr>
      <w:tr>
        <w:trPr>
          <w:trHeight w:val="189"/>
        </w:trPr>
        <w:tc>
          <w:tcPr>
            <w:tcW w:w="120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17"/>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7"/>
            <w:vMerge w:val="continue"/>
          </w:tcPr>
          <w:p>
            <w:pPr>
              <w:spacing w:after="0"/>
              <w:rPr>
                <w:sz w:val="20"/>
                <w:szCs w:val="20"/>
                <w:color w:val="auto"/>
              </w:rPr>
            </w:pPr>
          </w:p>
        </w:tc>
        <w:tc>
          <w:tcPr>
            <w:tcW w:w="4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5400" w:type="dxa"/>
            <w:vAlign w:val="bottom"/>
            <w:gridSpan w:val="21"/>
            <w:shd w:val="clear" w:color="auto" w:fill="CCEEFF"/>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Equity Distribution Agreement by and among the Company, BofA</w:t>
              </w:r>
            </w:hyperlink>
          </w:p>
        </w:tc>
        <w:tc>
          <w:tcPr>
            <w:tcW w:w="4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Exhibit 1.1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0000FF"/>
              <w:bottom w:val="single" w:sz="8" w:color="0000FF"/>
            </w:tcBorders>
            <w:gridSpan w:val="8"/>
            <w:shd w:val="clear" w:color="auto" w:fill="CCEEFF"/>
          </w:tcPr>
          <w:p>
            <w:pPr>
              <w:spacing w:after="0" w:line="168"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Securities, Inc. and Citigroup Global Markets Inc., dated July 30, 2024.</w:t>
              </w:r>
            </w:hyperlink>
          </w:p>
        </w:tc>
        <w:tc>
          <w:tcPr>
            <w:tcW w:w="16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40" w:type="dxa"/>
            <w:vAlign w:val="bottom"/>
            <w:tcBorders>
              <w:top w:val="single" w:sz="8" w:color="CCEEFF"/>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July 31, 2024</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Separation and Distribution Agreement among IAC/InterActiveCorp,</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2.1 to the Registrant's Registration Statement on Form S-</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60" w:type="dxa"/>
            <w:vAlign w:val="bottom"/>
            <w:tcBorders>
              <w:top w:val="single" w:sz="8" w:color="0000FF"/>
            </w:tcBorders>
            <w:gridSpan w:val="19"/>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HSN, Inc., Interval Leisure Group, Inc., Ticketmaster and Tree.com,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1 (No. 333-152700), filed August 1,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Inc., dated August 20,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Tax  Sharing  Agreement  among  IAC/InterActiveCorp,  HSN,  Inc.,</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10.2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Interval Leisure Group, Inc., Ticketmaster and Tree.com, Inc., dated</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0000FF"/>
            </w:tcBorders>
            <w:gridSpan w:val="12"/>
            <w:shd w:val="clear" w:color="auto" w:fill="CCEEFF"/>
          </w:tcPr>
          <w:p>
            <w:pPr>
              <w:spacing w:after="0" w:line="154"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August 20, 2008.</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Employee Matters Agreement among IAC/InterActiveCorp, HSN, Inc.,</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10.3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8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Interval Leisure Group, Inc., Ticketmaster and Tree.com, Inc., dated</w:t>
              </w:r>
            </w:hyperlink>
          </w:p>
        </w:tc>
        <w:tc>
          <w:tcPr>
            <w:tcW w:w="20" w:type="dxa"/>
            <w:vAlign w:val="bottom"/>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August 20, 2008.</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Transition Services Agreement among IAC/InterActiveCorp, HSN,</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10.4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20" w:type="dxa"/>
            <w:vAlign w:val="bottom"/>
            <w:tcBorders>
              <w:top w:val="single" w:sz="8" w:color="0000FF"/>
            </w:tcBorders>
            <w:gridSpan w:val="17"/>
            <w:shd w:val="clear" w:color="auto" w:fill="CCEEFF"/>
          </w:tcPr>
          <w:p>
            <w:pPr>
              <w:spacing w:after="0" w:line="16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 Interval Leisure Group, Inc., Ticketmaster and Tree.com, Inc.,</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dated August 20, 2008.</w:t>
              </w:r>
            </w:hyperlink>
          </w:p>
        </w:tc>
        <w:tc>
          <w:tcPr>
            <w:tcW w:w="346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6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Spinco   Assignment   and   Assumption   Agreement   among</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10.6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00" w:type="dxa"/>
            <w:vAlign w:val="bottom"/>
            <w:tcBorders>
              <w:top w:val="single" w:sz="8" w:color="0000FF"/>
            </w:tcBorders>
            <w:gridSpan w:val="11"/>
          </w:tcPr>
          <w:p>
            <w:pPr>
              <w:spacing w:after="0" w:line="16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IAC/InterActiveCorp, Tree.com, Inc., Liberty Media Corporation and</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August 25, 2008</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Liberty USA Holdings, LLC, dated August 20, 2008.</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5400" w:type="dxa"/>
            <w:vAlign w:val="bottom"/>
            <w:tcBorders>
              <w:bottom w:val="single" w:sz="8" w:color="0000FF"/>
            </w:tcBorders>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Asset Purchase Agreement among Home Loan Center, Inc., First</w:t>
              </w:r>
            </w:hyperlink>
          </w:p>
        </w:tc>
        <w:tc>
          <w:tcPr>
            <w:tcW w:w="46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2.1 to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400" w:type="dxa"/>
            <w:vAlign w:val="bottom"/>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Residential Mortgage Network, Inc. dba SurePoint Lending, and the</w:t>
              </w:r>
            </w:hyperlink>
          </w:p>
        </w:tc>
        <w:tc>
          <w:tcPr>
            <w:tcW w:w="46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November 16, 2010</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shareholders of First Residential Mortgage Network named therein,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6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dated November 15, 2010.</w:t>
              </w:r>
            </w:hyperlink>
          </w:p>
        </w:tc>
        <w:tc>
          <w:tcPr>
            <w:tcW w:w="326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6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5400" w:type="dxa"/>
            <w:vAlign w:val="bottom"/>
            <w:gridSpan w:val="21"/>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First Amendment to Asset Purchase Agreement among HLC, SurePoint</w:t>
              </w:r>
            </w:hyperlink>
          </w:p>
        </w:tc>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2.1 to the Registrant's Current Report on Form 8-K filed</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60" w:type="dxa"/>
            <w:vAlign w:val="bottom"/>
            <w:tcBorders>
              <w:top w:val="single" w:sz="8" w:color="0000FF"/>
            </w:tcBorders>
            <w:gridSpan w:val="19"/>
          </w:tcPr>
          <w:p>
            <w:pPr>
              <w:spacing w:after="0" w:line="16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and the shareholders party thereto, dated March 14, 2011.</w:t>
              </w:r>
            </w:hyperlink>
          </w:p>
        </w:tc>
        <w:tc>
          <w:tcPr>
            <w:tcW w:w="40" w:type="dxa"/>
            <w:vAlign w:val="bottom"/>
            <w:gridSpan w:val="2"/>
          </w:tcPr>
          <w:p>
            <w:pPr>
              <w:spacing w:after="0"/>
              <w:rPr>
                <w:sz w:val="14"/>
                <w:szCs w:val="14"/>
                <w:color w:val="auto"/>
              </w:rPr>
            </w:pPr>
          </w:p>
        </w:tc>
        <w:tc>
          <w:tcPr>
            <w:tcW w:w="4640" w:type="dxa"/>
            <w:vAlign w:val="bottom"/>
          </w:tcPr>
          <w:p>
            <w:pPr>
              <w:spacing w:after="0" w:line="168" w:lineRule="exact"/>
              <w:rPr>
                <w:sz w:val="20"/>
                <w:szCs w:val="20"/>
                <w:color w:val="auto"/>
              </w:rPr>
            </w:pPr>
            <w:r>
              <w:rPr>
                <w:rFonts w:ascii="Times New Roman" w:cs="Times New Roman" w:eastAsia="Times New Roman" w:hAnsi="Times New Roman"/>
                <w:sz w:val="18"/>
                <w:szCs w:val="18"/>
                <w:color w:val="auto"/>
              </w:rPr>
              <w:t>March 21, 2011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5400" w:type="dxa"/>
            <w:vAlign w:val="bottom"/>
            <w:gridSpan w:val="21"/>
            <w:shd w:val="clear" w:color="auto" w:fill="CCEEFF"/>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Amendment  to  Asset  Purchase  Agreement  among  HLC,</w:t>
              </w:r>
            </w:hyperlink>
          </w:p>
        </w:tc>
        <w:tc>
          <w:tcPr>
            <w:tcW w:w="46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2.2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tcBorders>
            <w:shd w:val="clear" w:color="auto" w:fill="CCEEFF"/>
          </w:tcPr>
          <w:p>
            <w:pPr>
              <w:spacing w:after="0"/>
              <w:rPr>
                <w:sz w:val="16"/>
                <w:szCs w:val="16"/>
                <w:color w:val="auto"/>
              </w:rPr>
            </w:pPr>
          </w:p>
        </w:tc>
        <w:tc>
          <w:tcPr>
            <w:tcW w:w="5340" w:type="dxa"/>
            <w:vAlign w:val="bottom"/>
            <w:tcBorders>
              <w:top w:val="single" w:sz="8" w:color="0000FF"/>
            </w:tcBorders>
            <w:gridSpan w:val="18"/>
            <w:shd w:val="clear" w:color="auto" w:fill="CCEEFF"/>
          </w:tcPr>
          <w:p>
            <w:pPr>
              <w:spacing w:after="0" w:line="168"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SurePoint and the shareholders party thereto, dated March 15, 2011.</w:t>
              </w:r>
            </w:hyperlink>
          </w:p>
        </w:tc>
        <w:tc>
          <w:tcPr>
            <w:tcW w:w="60" w:type="dxa"/>
            <w:vAlign w:val="bottom"/>
            <w:tcBorders>
              <w:top w:val="single" w:sz="8" w:color="CCEEFF"/>
            </w:tcBorders>
            <w:gridSpan w:val="3"/>
            <w:shd w:val="clear" w:color="auto" w:fill="CCEEFF"/>
          </w:tcPr>
          <w:p>
            <w:pPr>
              <w:spacing w:after="0"/>
              <w:rPr>
                <w:sz w:val="16"/>
                <w:szCs w:val="16"/>
                <w:color w:val="auto"/>
              </w:rPr>
            </w:pPr>
          </w:p>
        </w:tc>
        <w:tc>
          <w:tcPr>
            <w:tcW w:w="464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March 21, 2011</w:t>
            </w:r>
          </w:p>
        </w:tc>
        <w:tc>
          <w:tcPr>
            <w:tcW w:w="0" w:type="dxa"/>
            <w:vAlign w:val="bottom"/>
          </w:tcPr>
          <w:p>
            <w:pPr>
              <w:spacing w:after="0"/>
              <w:rPr>
                <w:sz w:val="1"/>
                <w:szCs w:val="1"/>
                <w:color w:val="auto"/>
              </w:rPr>
            </w:pPr>
          </w:p>
        </w:tc>
      </w:tr>
      <w:tr>
        <w:trPr>
          <w:trHeight w:val="860"/>
        </w:trPr>
        <w:tc>
          <w:tcPr>
            <w:tcW w:w="1200" w:type="dxa"/>
            <w:vAlign w:val="bottom"/>
            <w:tcBorders>
              <w:top w:val="single" w:sz="8" w:color="CCEEFF"/>
            </w:tcBorders>
          </w:tcPr>
          <w:p>
            <w:pPr>
              <w:spacing w:after="0"/>
              <w:rPr>
                <w:sz w:val="24"/>
                <w:szCs w:val="24"/>
                <w:color w:val="auto"/>
              </w:rPr>
            </w:pPr>
          </w:p>
        </w:tc>
        <w:tc>
          <w:tcPr>
            <w:tcW w:w="4880" w:type="dxa"/>
            <w:vAlign w:val="bottom"/>
            <w:tcBorders>
              <w:top w:val="single" w:sz="8" w:color="0000FF"/>
            </w:tcBorders>
            <w:gridSpan w:val="7"/>
          </w:tcPr>
          <w:p>
            <w:pPr>
              <w:ind w:left="428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20" w:type="dxa"/>
            <w:vAlign w:val="bottom"/>
            <w:gridSpan w:val="35"/>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48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gridSpan w:val="35"/>
            <w:vMerge w:val="continue"/>
          </w:tcPr>
          <w:p>
            <w:pPr>
              <w:spacing w:after="0"/>
              <w:rPr>
                <w:sz w:val="21"/>
                <w:szCs w:val="21"/>
                <w:color w:val="auto"/>
              </w:rPr>
            </w:pPr>
          </w:p>
        </w:tc>
        <w:tc>
          <w:tcPr>
            <w:tcW w:w="44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5560" w:type="dxa"/>
            <w:vAlign w:val="bottom"/>
            <w:gridSpan w:val="40"/>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Asset Purchase Agreement among Tree.com, Inc., Home Loan Center,</w:t>
              </w:r>
            </w:hyperlink>
          </w:p>
        </w:tc>
        <w:tc>
          <w:tcPr>
            <w:tcW w:w="4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Inc., LendingTree, LLC, HLC Escrow, Inc. and Discover Bank, dated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May 16, 2011</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420" w:type="dxa"/>
            <w:vAlign w:val="bottom"/>
            <w:gridSpan w:val="33"/>
          </w:tcPr>
          <w:p>
            <w:pPr>
              <w:spacing w:after="0" w:line="16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May 12, 2011**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Asset Purchase Agreement among LendingTree, LLC, RealEstate.com,</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4180" w:type="dxa"/>
            <w:vAlign w:val="bottom"/>
            <w:tcBorders>
              <w:top w:val="single" w:sz="8" w:color="0000FF"/>
              <w:bottom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 and Market Leader, Inc., dated September 15, 2011**</w:t>
              </w:r>
            </w:hyperlink>
          </w:p>
        </w:tc>
        <w:tc>
          <w:tcPr>
            <w:tcW w:w="126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4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September 21, 2011</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to Asset Purchase Agreement among Home Loan Center,</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Inc., HLC Escrow, Inc., LendingTree, LLC, Tree.com, Inc., Discover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February 8, 2012</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20" w:type="dxa"/>
            <w:vAlign w:val="bottom"/>
            <w:gridSpan w:val="23"/>
          </w:tcPr>
          <w:p>
            <w:pPr>
              <w:spacing w:after="0" w:line="16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Bank and Discover Financial Services, dated February 7,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2.12</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Membership Interest Purchase Agreement, dated as of November 16,</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2016, by and among LendingTree, LLC, Iron Horse Holdings, LLC, all</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November 22, 2016</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bottom w:val="single" w:sz="8" w:color="CCEEFF"/>
            </w:tcBorders>
            <w:shd w:val="clear" w:color="auto" w:fill="CCEEFF"/>
          </w:tcPr>
          <w:p>
            <w:pPr>
              <w:spacing w:after="0"/>
              <w:rPr>
                <w:sz w:val="14"/>
                <w:szCs w:val="14"/>
                <w:color w:val="auto"/>
              </w:rPr>
            </w:pPr>
          </w:p>
        </w:tc>
        <w:tc>
          <w:tcPr>
            <w:tcW w:w="5180" w:type="dxa"/>
            <w:vAlign w:val="bottom"/>
            <w:tcBorders>
              <w:top w:val="single" w:sz="8" w:color="0000FF"/>
              <w:bottom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of the members of Iron Horse Holdings, LLC and Christopher J.</w:t>
              </w:r>
            </w:hyperlink>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4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Mettler. **</w:t>
              </w:r>
            </w:hyperlink>
          </w:p>
        </w:tc>
        <w:tc>
          <w:tcPr>
            <w:tcW w:w="4460" w:type="dxa"/>
            <w:vAlign w:val="bottom"/>
            <w:tcBorders>
              <w:bottom w:val="single" w:sz="8" w:color="CCEEFF"/>
            </w:tcBorders>
            <w:gridSpan w:val="2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Assignment and Assumption Agreement, dated November 2, 2017, by</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99.7(D) to the Registrant's Current Report on Form SC</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40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and  among  General  Communication,  Inc.,  Liberty  Interactive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13D/A filed November 3, 2017</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Corporation, Liberty USA Holdings, LLC, Ventures Holdco, LLC,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80" w:type="dxa"/>
            <w:vAlign w:val="bottom"/>
            <w:gridSpan w:val="31"/>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LendingTree, Inc.</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2.14</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Unit Purchase Agreement dated as of October 4, 2018 by and among</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2.1 to the Registrant’s Current Report on Form 8-K/A</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460" w:type="dxa"/>
            <w:vAlign w:val="bottom"/>
            <w:tcBorders>
              <w:top w:val="single" w:sz="8" w:color="0000FF"/>
            </w:tcBorders>
            <w:gridSpan w:val="35"/>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LendingTree, LLC, QuoteWizard.com, LLC, all of the members of</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October 12, 2018</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40" w:type="dxa"/>
            <w:vAlign w:val="bottom"/>
            <w:tcBorders>
              <w:top w:val="single" w:sz="8" w:color="0000FF"/>
            </w:tcBorders>
            <w:gridSpan w:val="29"/>
            <w:shd w:val="clear" w:color="auto" w:fill="CCEEFF"/>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QuoteWizard.com, LLC, and Scott Peyree as the Securityholders</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0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Representative. **</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Stock Purchase Agreement dated as of December 20, 2018 by and</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5"/>
              </w:rPr>
              <w:t>Exhibit 2.1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among LendingTree, LLC, Value Holding Inc., all of the shareholders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December 27, 2018</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520" w:type="dxa"/>
            <w:vAlign w:val="bottom"/>
            <w:gridSpan w:val="38"/>
          </w:tcPr>
          <w:p>
            <w:pPr>
              <w:spacing w:after="0" w:line="16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of Value Holding Inc., and Jonathan Wu as the Sellers’ Representative.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80" w:type="dxa"/>
            <w:vAlign w:val="bottom"/>
            <w:tcBorders>
              <w:top w:val="single" w:sz="8" w:color="0000FF"/>
              <w:bottom w:val="single" w:sz="8" w:color="0000FF"/>
            </w:tcBorders>
          </w:tcPr>
          <w:p>
            <w:pPr>
              <w:spacing w:after="0" w:line="154" w:lineRule="exact"/>
              <w:rPr>
                <w:rFonts w:ascii="Times New Roman" w:cs="Times New Roman" w:eastAsia="Times New Roman" w:hAnsi="Times New Roman"/>
                <w:sz w:val="17"/>
                <w:szCs w:val="17"/>
                <w:color w:val="0000FF"/>
                <w:w w:val="93"/>
              </w:rPr>
            </w:pPr>
            <w:hyperlink r:id="rId137">
              <w:r>
                <w:rPr>
                  <w:rFonts w:ascii="Times New Roman" w:cs="Times New Roman" w:eastAsia="Times New Roman" w:hAnsi="Times New Roman"/>
                  <w:sz w:val="17"/>
                  <w:szCs w:val="17"/>
                  <w:color w:val="0000FF"/>
                  <w:w w:val="93"/>
                </w:rPr>
                <w:t>**</w:t>
              </w:r>
            </w:hyperlink>
          </w:p>
        </w:tc>
        <w:tc>
          <w:tcPr>
            <w:tcW w:w="6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Certificate   of   Incorporation   of</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3.1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6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LendingTree, Inc.</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August 25, 2008</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Fourth Amended and Restated By-laws of LendingTree, Inc.</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3.1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Restricted Share Grant and Shareholders'</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10.8  to  the  Registrant's  Registration  Statement  on</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500" w:type="dxa"/>
            <w:vAlign w:val="bottom"/>
            <w:tcBorders>
              <w:top w:val="single" w:sz="8" w:color="0000FF"/>
            </w:tcBorders>
            <w:gridSpan w:val="37"/>
            <w:shd w:val="clear" w:color="auto" w:fill="CCEEFF"/>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Agreement,  among  Forest  Merger  Corp.,  LendingTree,  Inc.,</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Form S-1 (No. 333-152700), filed August 1, 2008</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0000FF"/>
            </w:tcBorders>
            <w:gridSpan w:val="27"/>
            <w:shd w:val="clear" w:color="auto" w:fill="CCEEFF"/>
          </w:tcPr>
          <w:p>
            <w:pPr>
              <w:spacing w:after="0" w:line="16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InterActiveCorp and the Grantees named therein, dated July 7, 2003*</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Registration Rights Agreement among Tree.com, Inc., Liberty Media</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10.5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5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Corporation and Liberty USA Holdings, LLC, dated August 20, 2008.</w:t>
              </w:r>
            </w:hyperlink>
          </w:p>
        </w:tc>
        <w:tc>
          <w:tcPr>
            <w:tcW w:w="2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August 25, 2008</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for .0625% Convertible Senior Notes due 2022</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4.1 to the Registrant's Current Report on Form 8-K filed</w:t>
            </w:r>
          </w:p>
        </w:tc>
        <w:tc>
          <w:tcPr>
            <w:tcW w:w="0" w:type="dxa"/>
            <w:vAlign w:val="bottom"/>
          </w:tcPr>
          <w:p>
            <w:pPr>
              <w:spacing w:after="0"/>
              <w:rPr>
                <w:sz w:val="1"/>
                <w:szCs w:val="1"/>
                <w:color w:val="auto"/>
              </w:rPr>
            </w:pPr>
          </w:p>
        </w:tc>
      </w:tr>
      <w:tr>
        <w:trPr>
          <w:trHeight w:val="242"/>
        </w:trPr>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62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980" w:type="dxa"/>
            <w:vAlign w:val="bottom"/>
            <w:tcBorders>
              <w:top w:val="single" w:sz="8" w:color="0000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50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Purchase Agreement for .0625% Convertible Senior Notes due 2022</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Base Issuer Warrant Transaction</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99.4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62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Additional Issuer Warrant Transaction</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99.5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Description  of  the  Registrant's  Securities  Registered  Pursuant  to</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4"/>
              </w:rPr>
              <w:t>Exhibit 4.7 to the Registrant's Annual Report on Form 10-K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Section 12 of the Securities Exchange Act of 1934</w:t>
              </w:r>
            </w:hyperlink>
          </w:p>
        </w:tc>
        <w:tc>
          <w:tcPr>
            <w:tcW w:w="16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February 27, 2020</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5560" w:type="dxa"/>
            <w:vAlign w:val="bottom"/>
            <w:tcBorders>
              <w:bottom w:val="single" w:sz="8" w:color="0000FF"/>
            </w:tcBorders>
            <w:gridSpan w:val="40"/>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Indenture, dated as of July 24, 2020, between LendingTree, Inc. and</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5"/>
              </w:rPr>
              <w:t>Exhibit 4.1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560" w:type="dxa"/>
            <w:vAlign w:val="bottom"/>
            <w:gridSpan w:val="40"/>
          </w:tcPr>
          <w:p>
            <w:pPr>
              <w:spacing w:after="0" w:line="15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Wilmington Trust, National Association</w:t>
              </w:r>
            </w:hyperlink>
          </w:p>
        </w:tc>
        <w:tc>
          <w:tcPr>
            <w:tcW w:w="44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on July 24, 2020</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5560" w:type="dxa"/>
            <w:vAlign w:val="bottom"/>
            <w:gridSpan w:val="40"/>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between Douglas Lebda, the Company and</w:t>
              </w:r>
            </w:hyperlink>
          </w:p>
        </w:tc>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10.2 to Registrant's Annual Report on Form 10-K filed</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340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LendingTree, LLC, dated November 30, 2020*</w:t>
              </w:r>
            </w:hyperlink>
          </w:p>
        </w:tc>
        <w:tc>
          <w:tcPr>
            <w:tcW w:w="2080" w:type="dxa"/>
            <w:vAlign w:val="bottom"/>
            <w:tcBorders>
              <w:top w:val="single" w:sz="8" w:color="0000FF"/>
              <w:bottom w:val="single" w:sz="8" w:color="CCEEFF"/>
            </w:tcBorders>
            <w:gridSpan w:val="27"/>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44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March 1, 2021</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5560" w:type="dxa"/>
            <w:vAlign w:val="bottom"/>
            <w:gridSpan w:val="40"/>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LendingTree, Inc. 2017 Inducement Grant Plan*</w:t>
              </w:r>
            </w:hyperlink>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4.4(A) to the Registrant's Registration Statement on</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3480" w:type="dxa"/>
            <w:vAlign w:val="bottom"/>
            <w:tcBorders>
              <w:top w:val="single" w:sz="8" w:color="0000FF"/>
            </w:tcBorders>
            <w:gridSpan w:val="10"/>
            <w:vMerge w:val="restart"/>
          </w:tcPr>
          <w:p>
            <w:pPr>
              <w:spacing w:after="0"/>
              <w:rPr>
                <w:sz w:val="18"/>
                <w:szCs w:val="18"/>
                <w:color w:val="auto"/>
              </w:rPr>
            </w:pPr>
          </w:p>
        </w:tc>
        <w:tc>
          <w:tcPr>
            <w:tcW w:w="120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Form S-8 (No. 333-218747), filed June 14, 2017</w:t>
            </w:r>
          </w:p>
        </w:tc>
        <w:tc>
          <w:tcPr>
            <w:tcW w:w="0" w:type="dxa"/>
            <w:vAlign w:val="bottom"/>
          </w:tcPr>
          <w:p>
            <w:pPr>
              <w:spacing w:after="0"/>
              <w:rPr>
                <w:sz w:val="1"/>
                <w:szCs w:val="1"/>
                <w:color w:val="auto"/>
              </w:rPr>
            </w:pPr>
          </w:p>
        </w:tc>
      </w:tr>
      <w:tr>
        <w:trPr>
          <w:trHeight w:val="855"/>
        </w:trPr>
        <w:tc>
          <w:tcPr>
            <w:tcW w:w="1200" w:type="dxa"/>
            <w:vAlign w:val="bottom"/>
          </w:tcPr>
          <w:p>
            <w:pPr>
              <w:spacing w:after="0"/>
              <w:rPr>
                <w:sz w:val="24"/>
                <w:szCs w:val="24"/>
                <w:color w:val="auto"/>
              </w:rPr>
            </w:pPr>
          </w:p>
        </w:tc>
        <w:tc>
          <w:tcPr>
            <w:tcW w:w="3480" w:type="dxa"/>
            <w:vAlign w:val="bottom"/>
            <w:gridSpan w:val="10"/>
            <w:vMerge w:val="continue"/>
          </w:tcPr>
          <w:p>
            <w:pPr>
              <w:spacing w:after="0"/>
              <w:rPr>
                <w:sz w:val="24"/>
                <w:szCs w:val="24"/>
                <w:color w:val="auto"/>
              </w:rPr>
            </w:pPr>
          </w:p>
        </w:tc>
        <w:tc>
          <w:tcPr>
            <w:tcW w:w="120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28"/>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8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28"/>
            <w:vMerge w:val="continue"/>
          </w:tcPr>
          <w:p>
            <w:pPr>
              <w:spacing w:after="0"/>
              <w:rPr>
                <w:sz w:val="21"/>
                <w:szCs w:val="21"/>
                <w:color w:val="auto"/>
              </w:rPr>
            </w:pPr>
          </w:p>
        </w:tc>
        <w:tc>
          <w:tcPr>
            <w:tcW w:w="4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32"/>
            <w:shd w:val="clear" w:color="auto" w:fill="CCEEFF"/>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Notice  of  Restricted  Stock  Unit  Award  Granted  Under  the</w:t>
              </w:r>
            </w:hyperlink>
          </w:p>
        </w:tc>
        <w:tc>
          <w:tcPr>
            <w:tcW w:w="4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Exhibit 4.4(B) to the Registrant's Registration Statement on</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3040" w:type="dxa"/>
            <w:vAlign w:val="bottom"/>
            <w:tcBorders>
              <w:top w:val="single" w:sz="8" w:color="0000FF"/>
              <w:bottom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LendingTree, Inc. 2017 Inducement Plan*</w:t>
              </w:r>
            </w:hyperlink>
          </w:p>
        </w:tc>
        <w:tc>
          <w:tcPr>
            <w:tcW w:w="220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Form S-8 (No. 333-218747), filed June 14,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Restricted Stock Award Agreement*</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4.4(C)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Form S-8 (No. 333-218747), filed June 14,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2011 Deferred Compensation Plan for Non-Employee Directors*</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10.2 to the Registrant's Quarterly Report on Form 10-Q</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April 30, 2015</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Deferred Compensation Plan for Non-Employee Directors*</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10.15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Form S-1 (No. 333-152700), filed August 1, 2008</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Standard Terms and Conditions to Restricted Stock Award Letters of</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10.2 to the Registrant's Current Report on Form 8-K filed</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20" w:type="dxa"/>
            <w:vAlign w:val="bottom"/>
            <w:tcBorders>
              <w:top w:val="single" w:sz="8" w:color="0000FF"/>
            </w:tcBorders>
            <w:gridSpan w:val="30"/>
            <w:shd w:val="clear" w:color="auto" w:fill="CCEEFF"/>
          </w:tcPr>
          <w:p>
            <w:pPr>
              <w:spacing w:after="0" w:line="15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Tree.com BU Holding Company,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February 3, 2011</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Base Convertible Bond Hedge Transaction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99.2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Additional Convertible Bond Hedge Transaction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99.3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31, 2017</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Credit Agreement, dated as of September 15, 2021</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2021</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5360" w:type="dxa"/>
            <w:vAlign w:val="bottom"/>
            <w:tcBorders>
              <w:bottom w:val="single" w:sz="8" w:color="0000FF"/>
            </w:tcBorders>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Agreement of Purchase and Sale, by and among LendingTree, LLC and</w:t>
              </w:r>
            </w:hyperlink>
          </w:p>
        </w:tc>
        <w:tc>
          <w:tcPr>
            <w:tcW w:w="468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10.31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shd w:val="clear" w:color="auto" w:fill="CCEEFF"/>
          </w:tcPr>
          <w:p>
            <w:pPr>
              <w:spacing w:after="0"/>
              <w:rPr>
                <w:sz w:val="13"/>
                <w:szCs w:val="13"/>
                <w:color w:val="auto"/>
              </w:rPr>
            </w:pPr>
          </w:p>
        </w:tc>
        <w:tc>
          <w:tcPr>
            <w:tcW w:w="5360" w:type="dxa"/>
            <w:vAlign w:val="bottom"/>
            <w:gridSpan w:val="32"/>
            <w:shd w:val="clear" w:color="auto" w:fill="CCEEFF"/>
          </w:tcPr>
          <w:p>
            <w:pPr>
              <w:spacing w:after="0" w:line="15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an affiliate of Greenstreet Real Estate Partners, L.P., dated October 17,</w:t>
              </w:r>
            </w:hyperlink>
          </w:p>
        </w:tc>
        <w:tc>
          <w:tcPr>
            <w:tcW w:w="468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2017</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0000FF"/>
            </w:tcBorders>
            <w:gridSpan w:val="2"/>
            <w:shd w:val="clear" w:color="auto" w:fill="CCEEFF"/>
          </w:tcPr>
          <w:p>
            <w:pPr>
              <w:spacing w:after="0" w:line="168"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2016</w:t>
              </w:r>
            </w:hyperlink>
          </w:p>
        </w:tc>
        <w:tc>
          <w:tcPr>
            <w:tcW w:w="32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9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First Amendment to Purchase and Sale, by and among LendingTree,</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10.32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LLC and an affiliate of Greenstreet Real Estate Partners, L.P., dated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2017</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60" w:type="dxa"/>
            <w:vAlign w:val="bottom"/>
            <w:gridSpan w:val="27"/>
          </w:tcPr>
          <w:p>
            <w:pPr>
              <w:spacing w:after="0" w:line="168"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November 28,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Agreement dated December 21, 2017, among John David</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388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Moriarty, LendingTree, Inc., and LendingTree, LLC.*</w:t>
              </w:r>
            </w:hyperlink>
          </w:p>
        </w:tc>
        <w:tc>
          <w:tcPr>
            <w:tcW w:w="140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April 27, 2018</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Seventh Amended and Restated LendingTree, Inc. 2008 Stock Plan*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Incorporated by reference from Appendix C to the Registrant's</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April 29,</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Notice  of  Stock  Option  Award  Granted  Under  the</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10.1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160" w:type="dxa"/>
            <w:vAlign w:val="bottom"/>
            <w:tcBorders>
              <w:top w:val="single" w:sz="8" w:color="0000FF"/>
            </w:tcBorders>
            <w:gridSpan w:val="22"/>
            <w:shd w:val="clear" w:color="auto" w:fill="CCEEFF"/>
          </w:tcPr>
          <w:p>
            <w:pPr>
              <w:spacing w:after="0" w:line="154"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LendingTree, Inc. 2008 Stock and Annual Incentive 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Notice of Restricted Stock Unit Award Granted Under the</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10.16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LendingTree, Inc. 2008 Stock and Annual Incentive Plan*</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28, 2023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Notice of Stock Option Award Granted to Non- Employee</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00" w:type="dxa"/>
            <w:vAlign w:val="bottom"/>
            <w:tcBorders>
              <w:top w:val="single" w:sz="8" w:color="0000FF"/>
            </w:tcBorders>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Directors  Under  the  LendingTree,  Inc.  2008  Stock  and  Annual</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168"/>
        </w:trPr>
        <w:tc>
          <w:tcPr>
            <w:tcW w:w="120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Incentive Plan*</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Notice of Restricted Stock Unit Award Granted to Non-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10.4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Employee Directors Under the LendingTree, Inc. 2008 Stock and</w:t>
              </w:r>
            </w:hyperlink>
          </w:p>
        </w:tc>
        <w:tc>
          <w:tcPr>
            <w:tcW w:w="14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August 4, 2020</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340" w:type="dxa"/>
            <w:vAlign w:val="bottom"/>
            <w:gridSpan w:val="31"/>
          </w:tcPr>
          <w:p>
            <w:pPr>
              <w:spacing w:after="0" w:line="16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Annual Incentive Plan*</w:t>
              </w:r>
            </w:hyperlink>
          </w:p>
        </w:tc>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Base Convertible Note Hedge Confirmation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99.2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Additional Convertible Note Hedge Confirmation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99.3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Base Warrant Confirmation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99.4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10.22</w:t>
            </w:r>
          </w:p>
        </w:tc>
        <w:tc>
          <w:tcPr>
            <w:tcW w:w="5360" w:type="dxa"/>
            <w:vAlign w:val="bottom"/>
            <w:gridSpan w:val="32"/>
          </w:tcPr>
          <w:p>
            <w:pPr>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Additional Warrant Confirmation</w:t>
              </w:r>
            </w:hyperlink>
          </w:p>
        </w:tc>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8"/>
              </w:rPr>
              <w:t>Exhibit 99.5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July 24, 2020</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53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LendingTree Executive Severance Pay Plan*</w:t>
              </w:r>
            </w:hyperlink>
          </w:p>
        </w:tc>
        <w:tc>
          <w:tcPr>
            <w:tcW w:w="46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10.41 to the Registrant's Annual Report on Form 10-K</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7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March 03, 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620"/>
        <w:spacing w:after="0" w:line="220" w:lineRule="auto"/>
        <w:tabs>
          <w:tab w:leader="none" w:pos="11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73">
        <w:r>
          <w:rPr>
            <w:rFonts w:ascii="Times New Roman" w:cs="Times New Roman" w:eastAsia="Times New Roman" w:hAnsi="Times New Roman"/>
            <w:sz w:val="18"/>
            <w:szCs w:val="18"/>
            <w:u w:val="single" w:color="auto"/>
            <w:color w:val="0000FF"/>
          </w:rPr>
          <w:t>Memorandum on compensation changes for Trent Ziegler, dated May</w:t>
        </w:r>
      </w:hyperlink>
    </w:p>
    <w:p>
      <w:pPr>
        <w:ind w:left="1200"/>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12, 2021*</w:t>
        </w:r>
      </w:hyperlink>
    </w:p>
    <w:p>
      <w:pPr>
        <w:spacing w:after="0" w:line="20" w:lineRule="exact"/>
        <w:rPr>
          <w:sz w:val="20"/>
          <w:szCs w:val="20"/>
          <w:color w:val="auto"/>
        </w:rPr>
      </w:pPr>
      <w:r>
        <w:rPr>
          <w:sz w:val="20"/>
          <w:szCs w:val="20"/>
          <w:color w:val="auto"/>
        </w:rPr>
        <w:br w:type="column"/>
      </w:r>
    </w:p>
    <w:p>
      <w:pPr>
        <w:ind w:right="20"/>
        <w:spacing w:after="0" w:line="233" w:lineRule="auto"/>
        <w:rPr>
          <w:sz w:val="20"/>
          <w:szCs w:val="20"/>
          <w:color w:val="auto"/>
        </w:rPr>
      </w:pPr>
      <w:r>
        <w:rPr>
          <w:rFonts w:ascii="Times New Roman" w:cs="Times New Roman" w:eastAsia="Times New Roman" w:hAnsi="Times New Roman"/>
          <w:sz w:val="18"/>
          <w:szCs w:val="18"/>
          <w:color w:val="auto"/>
        </w:rPr>
        <w:t>Exhibit 10.1 to the Registrant’s Quarterly Report on Form 10-Q filed July 30, 2021</w:t>
      </w:r>
    </w:p>
    <w:p>
      <w:pPr>
        <w:spacing w:after="0" w:line="200" w:lineRule="exact"/>
        <w:rPr>
          <w:sz w:val="20"/>
          <w:szCs w:val="20"/>
          <w:color w:val="auto"/>
        </w:rPr>
      </w:pPr>
    </w:p>
    <w:p>
      <w:pPr>
        <w:sectPr>
          <w:pgSz w:w="11900" w:h="16838" w:orient="portrait"/>
          <w:cols w:equalWidth="0" w:num="2">
            <w:col w:w="6360" w:space="120"/>
            <w:col w:w="4760"/>
          </w:cols>
          <w:pgMar w:left="320" w:top="900"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40" w:type="dxa"/>
            <w:vAlign w:val="bottom"/>
            <w:gridSpan w:val="27"/>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62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gridSpan w:val="27"/>
            <w:vMerge w:val="continue"/>
          </w:tcPr>
          <w:p>
            <w:pPr>
              <w:spacing w:after="0"/>
              <w:rPr>
                <w:sz w:val="21"/>
                <w:szCs w:val="21"/>
                <w:color w:val="auto"/>
              </w:rPr>
            </w:pPr>
          </w:p>
        </w:tc>
        <w:tc>
          <w:tcPr>
            <w:tcW w:w="4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10.25</w:t>
            </w:r>
          </w:p>
        </w:tc>
        <w:tc>
          <w:tcPr>
            <w:tcW w:w="5420" w:type="dxa"/>
            <w:vAlign w:val="bottom"/>
            <w:gridSpan w:val="33"/>
            <w:shd w:val="clear" w:color="auto" w:fill="CCEEFF"/>
          </w:tcPr>
          <w:p>
            <w:pPr>
              <w:spacing w:after="0" w:line="182"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LendingTree, Inc. Employee Stock Purchase Plan*</w:t>
              </w:r>
            </w:hyperlink>
          </w:p>
        </w:tc>
        <w:tc>
          <w:tcPr>
            <w:tcW w:w="46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Incorporated by reference from Appendix B to the Registrant's</w:t>
            </w:r>
          </w:p>
        </w:tc>
        <w:tc>
          <w:tcPr>
            <w:tcW w:w="0" w:type="dxa"/>
            <w:vAlign w:val="bottom"/>
          </w:tcPr>
          <w:p>
            <w:pPr>
              <w:spacing w:after="0"/>
              <w:rPr>
                <w:sz w:val="1"/>
                <w:szCs w:val="1"/>
                <w:color w:val="auto"/>
              </w:rPr>
            </w:pPr>
          </w:p>
        </w:tc>
      </w:tr>
      <w:tr>
        <w:trPr>
          <w:trHeight w:val="150"/>
        </w:trPr>
        <w:tc>
          <w:tcPr>
            <w:tcW w:w="1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April 29,</w:t>
            </w:r>
          </w:p>
        </w:tc>
        <w:tc>
          <w:tcPr>
            <w:tcW w:w="0" w:type="dxa"/>
            <w:vAlign w:val="bottom"/>
          </w:tcPr>
          <w:p>
            <w:pPr>
              <w:spacing w:after="0"/>
              <w:rPr>
                <w:sz w:val="1"/>
                <w:szCs w:val="1"/>
                <w:color w:val="auto"/>
              </w:rPr>
            </w:pPr>
          </w:p>
        </w:tc>
      </w:tr>
      <w:tr>
        <w:trPr>
          <w:trHeight w:val="233"/>
        </w:trPr>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First Amendment to LendingTree, Inc. Employee Stock Purchase Plan*</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99.3  to  the  Registrant's  Registration  Statement  on</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Form S-8 (No. 333-258391), filed August 3, 2021</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LendingTree, Inc. 2023 Stock Plan</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Incorporated by reference from Appendix B to the Registrant’s</w:t>
            </w:r>
          </w:p>
        </w:tc>
        <w:tc>
          <w:tcPr>
            <w:tcW w:w="0" w:type="dxa"/>
            <w:vAlign w:val="bottom"/>
          </w:tcPr>
          <w:p>
            <w:pPr>
              <w:spacing w:after="0"/>
              <w:rPr>
                <w:sz w:val="1"/>
                <w:szCs w:val="1"/>
                <w:color w:val="auto"/>
              </w:rPr>
            </w:pPr>
          </w:p>
        </w:tc>
      </w:tr>
      <w:tr>
        <w:trPr>
          <w:trHeight w:val="150"/>
        </w:trPr>
        <w:tc>
          <w:tcPr>
            <w:tcW w:w="1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Definitive Proxy Statement on Schedule 14A, filed on May 1,</w:t>
            </w:r>
          </w:p>
        </w:tc>
        <w:tc>
          <w:tcPr>
            <w:tcW w:w="0" w:type="dxa"/>
            <w:vAlign w:val="bottom"/>
          </w:tcPr>
          <w:p>
            <w:pPr>
              <w:spacing w:after="0"/>
              <w:rPr>
                <w:sz w:val="1"/>
                <w:szCs w:val="1"/>
                <w:color w:val="auto"/>
              </w:rPr>
            </w:pPr>
          </w:p>
        </w:tc>
      </w:tr>
      <w:tr>
        <w:trPr>
          <w:trHeight w:val="233"/>
        </w:trPr>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LendingTree, Inc. 2023 Inducement Grant Plan</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10.1 to the Registrant’s Quarterly Report on Form 10-Q</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filed with the SEC on July 28, 2023</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Restricted Stock Unit Award pursuant to the 2023 Stock Plan</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10.3 to the Registration Statement on Form S-8 (No. 333-</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273547) , filed July 31, 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Stock Option Award pursuant to the 2023 Stock Plan</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Exhibit 10.4 to the Registration Statement on Form S-8 (No. 333-</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273547) , filed July 31, 2023</w:t>
            </w:r>
          </w:p>
        </w:tc>
        <w:tc>
          <w:tcPr>
            <w:tcW w:w="0" w:type="dxa"/>
            <w:vAlign w:val="bottom"/>
          </w:tcPr>
          <w:p>
            <w:pPr>
              <w:spacing w:after="0"/>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Restricted Stock Unit Award pursuant to the 2023 Inducement</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10.3 to the Registrant’s Quarterly Report on Form 10-Q</w:t>
            </w:r>
          </w:p>
        </w:tc>
        <w:tc>
          <w:tcPr>
            <w:tcW w:w="0" w:type="dxa"/>
            <w:vAlign w:val="bottom"/>
          </w:tcPr>
          <w:p>
            <w:pPr>
              <w:spacing w:after="0"/>
              <w:rPr>
                <w:sz w:val="1"/>
                <w:szCs w:val="1"/>
                <w:color w:val="auto"/>
              </w:rPr>
            </w:pPr>
          </w:p>
        </w:tc>
      </w:tr>
      <w:tr>
        <w:trPr>
          <w:trHeight w:val="188"/>
        </w:trPr>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Grant Plan</w:t>
              </w:r>
            </w:hyperlink>
          </w:p>
        </w:tc>
        <w:tc>
          <w:tcPr>
            <w:tcW w:w="444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6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July 28, 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Stock Option Award pursuant to the 2023 Inducement Grant</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10.2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6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July 28, 2023</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10.33</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Employment Agreement between Jill Olmstead and the Company,</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10.39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0000FF"/>
            </w:tcBorders>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dated October 1,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March 1, 2022</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10.34</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Separation Agreement between Neil Salvage and the Company, dated</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10.40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2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January 1,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March 1, 2022</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10.35</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Note Repurchase Agreement dated March 6, 2023</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Exhibit 10.1 to the Registrant’s Current Report on Form 8-K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90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9, 2023</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Separation Agreement between John David Moriarty and the Company,</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10.36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dated August 7,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29, 2024</w:t>
            </w: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First  Amendment,  dated  December  29,  2023,  to  Employment</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10.37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Agreement between Douglas Lebda, the Company and LendingTree,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February 29, 2024</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300" w:type="dxa"/>
            <w:vAlign w:val="bottom"/>
            <w:gridSpan w:val="27"/>
            <w:shd w:val="clear" w:color="auto" w:fill="CCEEFF"/>
          </w:tcPr>
          <w:p>
            <w:pPr>
              <w:spacing w:after="0" w:line="168"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LLC, dated November 30, 2020*</w:t>
              </w:r>
            </w:hyperlink>
          </w:p>
        </w:tc>
        <w:tc>
          <w:tcPr>
            <w:tcW w:w="40" w:type="dxa"/>
            <w:vAlign w:val="bottom"/>
            <w:gridSpan w:val="2"/>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Second  Amendment,  dated  February  16,  2024,  to  Employment</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Exhibit 10.38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Agreement between Douglas Lebda, the Company and LendingTree,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February 29, 2024</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16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LLC, dated November 30,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Consulting  Agreement  between  John  David  Moriarty  and  the</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Exhibit 10.39 to the Registrant's Annual Report on Form 10-K</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5340" w:type="dxa"/>
            <w:vAlign w:val="bottom"/>
            <w:tcBorders>
              <w:top w:val="single" w:sz="8" w:color="0000FF"/>
            </w:tcBorders>
            <w:gridSpan w:val="29"/>
            <w:shd w:val="clear" w:color="auto" w:fill="CCEEFF"/>
          </w:tcPr>
          <w:p>
            <w:pPr>
              <w:spacing w:after="0" w:line="15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Company, dated August 7, 2023*</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2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February 29, 2024</w:t>
            </w:r>
          </w:p>
        </w:tc>
        <w:tc>
          <w:tcPr>
            <w:tcW w:w="0" w:type="dxa"/>
            <w:vAlign w:val="bottom"/>
          </w:tcPr>
          <w:p>
            <w:pPr>
              <w:spacing w:after="0"/>
              <w:rPr>
                <w:sz w:val="1"/>
                <w:szCs w:val="1"/>
                <w:color w:val="auto"/>
              </w:rPr>
            </w:pPr>
          </w:p>
        </w:tc>
      </w:tr>
      <w:tr>
        <w:trPr>
          <w:trHeight w:val="34"/>
        </w:trPr>
        <w:tc>
          <w:tcPr>
            <w:tcW w:w="1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5420" w:type="dxa"/>
            <w:vAlign w:val="bottom"/>
            <w:gridSpan w:val="33"/>
          </w:tcPr>
          <w:p>
            <w:pPr>
              <w:spacing w:after="0" w:line="18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Credit Agreement dated as of March 27, 2024 by and among the</w:t>
              </w:r>
            </w:hyperlink>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10.2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Company, the lenders party thereto, Apollo Administrative Agency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May 1, 2024</w:t>
            </w: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00" w:type="dxa"/>
            <w:vAlign w:val="bottom"/>
            <w:tcBorders>
              <w:bottom w:val="single" w:sz="8" w:color="0000FF"/>
            </w:tcBorders>
            <w:gridSpan w:val="22"/>
          </w:tcPr>
          <w:p>
            <w:pPr>
              <w:spacing w:after="0" w:line="168"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LLC, as administrative agent and collateral agent, and Apollo Global</w:t>
              </w:r>
            </w:hyperlink>
          </w:p>
        </w:tc>
        <w:tc>
          <w:tcPr>
            <w:tcW w:w="60" w:type="dxa"/>
            <w:vAlign w:val="bottom"/>
            <w:tcBorders>
              <w:bottom w:val="single" w:sz="8" w:color="0000FF"/>
            </w:tcBorders>
            <w:gridSpan w:val="3"/>
          </w:tcPr>
          <w:p>
            <w:pPr>
              <w:spacing w:after="0"/>
              <w:rPr>
                <w:sz w:val="14"/>
                <w:szCs w:val="14"/>
                <w:color w:val="auto"/>
              </w:rPr>
            </w:pPr>
          </w:p>
        </w:tc>
        <w:tc>
          <w:tcPr>
            <w:tcW w:w="140" w:type="dxa"/>
            <w:vAlign w:val="bottom"/>
            <w:tcBorders>
              <w:bottom w:val="single" w:sz="8" w:color="0000FF"/>
            </w:tcBorders>
            <w:gridSpan w:val="7"/>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420" w:type="dxa"/>
            <w:vAlign w:val="bottom"/>
            <w:gridSpan w:val="33"/>
          </w:tcPr>
          <w:p>
            <w:pPr>
              <w:spacing w:after="0" w:line="15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Funding, LLC, as sole lead arranger and bookrunner.**</w:t>
              </w:r>
            </w:hyperlink>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10.41</w:t>
            </w:r>
          </w:p>
        </w:tc>
        <w:tc>
          <w:tcPr>
            <w:tcW w:w="542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First Amendment to Credit Amendment, dated as of September 25,</w:t>
              </w:r>
            </w:hyperlink>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Exhibit 10.1 to the Registrant’s Quarterly Report on Form 10-Q</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0000FF"/>
              <w:bottom w:val="single" w:sz="8" w:color="0000FF"/>
            </w:tcBorders>
            <w:gridSpan w:val="25"/>
            <w:shd w:val="clear" w:color="auto" w:fill="CCEEFF"/>
          </w:tcPr>
          <w:p>
            <w:pPr>
              <w:spacing w:after="0" w:line="15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2024, by and among the Company, the lenders party thereto, Apollo</w:t>
              </w:r>
            </w:hyperlink>
          </w:p>
        </w:tc>
        <w:tc>
          <w:tcPr>
            <w:tcW w:w="140" w:type="dxa"/>
            <w:vAlign w:val="bottom"/>
            <w:tcBorders>
              <w:top w:val="single" w:sz="8" w:color="CCEEFF"/>
              <w:bottom w:val="single" w:sz="8" w:color="0000FF"/>
            </w:tcBorders>
            <w:gridSpan w:val="7"/>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filed with the SEC on November 4, 2024</w:t>
            </w: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400" w:type="dxa"/>
            <w:vAlign w:val="bottom"/>
            <w:gridSpan w:val="32"/>
            <w:shd w:val="clear" w:color="auto" w:fill="CCEEFF"/>
          </w:tcPr>
          <w:p>
            <w:pPr>
              <w:spacing w:after="0" w:line="168"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Administrative Agency, as administrative agent and collateral agent.</w:t>
              </w:r>
            </w:hyperlink>
          </w:p>
        </w:tc>
        <w:tc>
          <w:tcPr>
            <w:tcW w:w="2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10.42</w:t>
            </w:r>
          </w:p>
        </w:tc>
        <w:tc>
          <w:tcPr>
            <w:tcW w:w="5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Third Amendment, dated January 8, 2025, to Employment Agreement</w:t>
            </w:r>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380" w:type="dxa"/>
            <w:vAlign w:val="bottom"/>
            <w:tcBorders>
              <w:top w:val="single" w:sz="8" w:color="0000FF"/>
            </w:tcBorders>
            <w:gridSpan w:val="31"/>
          </w:tcPr>
          <w:p>
            <w:pPr>
              <w:spacing w:after="0" w:line="154" w:lineRule="exact"/>
              <w:rPr>
                <w:sz w:val="20"/>
                <w:szCs w:val="20"/>
                <w:color w:val="auto"/>
              </w:rPr>
            </w:pPr>
            <w:r>
              <w:rPr>
                <w:rFonts w:ascii="Times New Roman" w:cs="Times New Roman" w:eastAsia="Times New Roman" w:hAnsi="Times New Roman"/>
                <w:sz w:val="17"/>
                <w:szCs w:val="17"/>
                <w:color w:val="0000FF"/>
              </w:rPr>
              <w:t>between Douglas Lebda, the Company and LendingTree, LLC, dated</w:t>
            </w:r>
          </w:p>
        </w:tc>
        <w:tc>
          <w:tcPr>
            <w:tcW w:w="40" w:type="dxa"/>
            <w:vAlign w:val="bottom"/>
            <w:gridSpan w:val="2"/>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180" w:type="dxa"/>
            <w:vAlign w:val="bottom"/>
            <w:tcBorders>
              <w:top w:val="single" w:sz="8" w:color="0000FF"/>
            </w:tcBorders>
            <w:gridSpan w:val="21"/>
          </w:tcPr>
          <w:p>
            <w:pPr>
              <w:spacing w:after="0" w:line="168" w:lineRule="exact"/>
              <w:rPr>
                <w:sz w:val="20"/>
                <w:szCs w:val="20"/>
                <w:color w:val="auto"/>
              </w:rPr>
            </w:pPr>
            <w:r>
              <w:rPr>
                <w:rFonts w:ascii="Times New Roman" w:cs="Times New Roman" w:eastAsia="Times New Roman" w:hAnsi="Times New Roman"/>
                <w:sz w:val="18"/>
                <w:szCs w:val="18"/>
                <w:color w:val="0000FF"/>
              </w:rPr>
              <w:t>November 30, 2020*</w:t>
            </w:r>
          </w:p>
        </w:tc>
        <w:tc>
          <w:tcPr>
            <w:tcW w:w="240" w:type="dxa"/>
            <w:vAlign w:val="bottom"/>
            <w:gridSpan w:val="12"/>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0" w:type="dxa"/>
            <w:vAlign w:val="bottom"/>
            <w:tcBorders>
              <w:bottom w:val="single" w:sz="8" w:color="CCEEFF"/>
            </w:tcBorders>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464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LendingTree, Inc. Securities Trading and Related Matters Policy</w:t>
            </w:r>
          </w:p>
        </w:tc>
        <w:tc>
          <w:tcPr>
            <w:tcW w:w="780" w:type="dxa"/>
            <w:vAlign w:val="bottom"/>
            <w:tcBorders>
              <w:bottom w:val="single" w:sz="8" w:color="CCEEFF"/>
            </w:tcBorders>
            <w:gridSpan w:val="17"/>
            <w:shd w:val="clear" w:color="auto" w:fill="CCEEFF"/>
          </w:tcPr>
          <w:p>
            <w:pPr>
              <w:spacing w:after="0"/>
              <w:rPr>
                <w:sz w:val="18"/>
                <w:szCs w:val="18"/>
                <w:color w:val="auto"/>
              </w:rPr>
            </w:pPr>
          </w:p>
        </w:tc>
        <w:tc>
          <w:tcPr>
            <w:tcW w:w="462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5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LendingTree, Inc.</w:t>
            </w:r>
          </w:p>
        </w:tc>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5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0"/>
        </w:trPr>
        <w:tc>
          <w:tcPr>
            <w:tcW w:w="1200" w:type="dxa"/>
            <w:vAlign w:val="bottom"/>
            <w:tcBorders>
              <w:top w:val="single" w:sz="8" w:color="CCEEFF"/>
            </w:tcBorders>
          </w:tcPr>
          <w:p>
            <w:pPr>
              <w:spacing w:after="0"/>
              <w:rPr>
                <w:sz w:val="24"/>
                <w:szCs w:val="24"/>
                <w:color w:val="auto"/>
              </w:rPr>
            </w:pPr>
          </w:p>
        </w:tc>
        <w:tc>
          <w:tcPr>
            <w:tcW w:w="4180" w:type="dxa"/>
            <w:vAlign w:val="bottom"/>
            <w:tcBorders>
              <w:top w:val="single" w:sz="8" w:color="0000FF"/>
            </w:tcBorders>
            <w:gridSpan w:val="13"/>
          </w:tcPr>
          <w:p>
            <w:pPr>
              <w:spacing w:after="0"/>
              <w:rPr>
                <w:sz w:val="24"/>
                <w:szCs w:val="24"/>
                <w:color w:val="auto"/>
              </w:rPr>
            </w:pPr>
          </w:p>
        </w:tc>
        <w:tc>
          <w:tcPr>
            <w:tcW w:w="460" w:type="dxa"/>
            <w:vAlign w:val="bottom"/>
            <w:tcBorders>
              <w:top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gridSpan w:val="9"/>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78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42"/>
        </w:trPr>
        <w:tc>
          <w:tcPr>
            <w:tcW w:w="12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gridSpan w:val="9"/>
            <w:vMerge w:val="continue"/>
          </w:tcPr>
          <w:p>
            <w:pPr>
              <w:spacing w:after="0"/>
              <w:rPr>
                <w:sz w:val="21"/>
                <w:szCs w:val="21"/>
                <w:color w:val="auto"/>
              </w:rPr>
            </w:pPr>
          </w:p>
        </w:tc>
        <w:tc>
          <w:tcPr>
            <w:tcW w:w="4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20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24.1</w:t>
            </w:r>
          </w:p>
        </w:tc>
        <w:tc>
          <w:tcPr>
            <w:tcW w:w="526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Power of Attorney (included on signature page of this Annual Report</w:t>
            </w:r>
          </w:p>
        </w:tc>
        <w:tc>
          <w:tcPr>
            <w:tcW w:w="4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60" w:type="dxa"/>
            <w:vAlign w:val="bottom"/>
            <w:tcBorders>
              <w:top w:val="single" w:sz="8" w:color="0000FF"/>
            </w:tcBorders>
            <w:gridSpan w:val="6"/>
          </w:tcPr>
          <w:p>
            <w:pPr>
              <w:spacing w:after="0" w:line="154" w:lineRule="exact"/>
              <w:rPr>
                <w:sz w:val="20"/>
                <w:szCs w:val="20"/>
                <w:color w:val="auto"/>
              </w:rPr>
            </w:pPr>
            <w:r>
              <w:rPr>
                <w:rFonts w:ascii="Times New Roman" w:cs="Times New Roman" w:eastAsia="Times New Roman" w:hAnsi="Times New Roman"/>
                <w:sz w:val="17"/>
                <w:szCs w:val="17"/>
                <w:color w:val="0000FF"/>
              </w:rPr>
              <w:t>on Form 10-K)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0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2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w:t>
            </w:r>
          </w:p>
        </w:tc>
        <w:tc>
          <w:tcPr>
            <w:tcW w:w="4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240" w:type="dxa"/>
            <w:vAlign w:val="bottom"/>
            <w:tcBorders>
              <w:top w:val="single" w:sz="8" w:color="0000FF"/>
              <w:bottom w:val="single" w:sz="8" w:color="0000FF"/>
            </w:tcBorders>
            <w:gridSpan w:val="10"/>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or Rule 15d-14(a) of the Securities Exchange Act of 1934 as adopted</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spacing w:after="0"/>
              <w:rPr>
                <w:sz w:val="16"/>
                <w:szCs w:val="16"/>
                <w:color w:val="auto"/>
              </w:rPr>
            </w:pPr>
          </w:p>
        </w:tc>
        <w:tc>
          <w:tcPr>
            <w:tcW w:w="4260" w:type="dxa"/>
            <w:vAlign w:val="bottom"/>
            <w:tcBorders>
              <w:bottom w:val="single" w:sz="8" w:color="0000FF"/>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1000" w:type="dxa"/>
            <w:vAlign w:val="bottom"/>
            <w:tcBorders>
              <w:bottom w:val="single" w:sz="8" w:color="CCEEFF"/>
            </w:tcBorders>
            <w:gridSpan w:val="7"/>
            <w:shd w:val="clear" w:color="auto" w:fill="CCEEFF"/>
          </w:tcPr>
          <w:p>
            <w:pPr>
              <w:spacing w:after="0"/>
              <w:rPr>
                <w:sz w:val="16"/>
                <w:szCs w:val="16"/>
                <w:color w:val="auto"/>
              </w:rPr>
            </w:pPr>
          </w:p>
        </w:tc>
        <w:tc>
          <w:tcPr>
            <w:tcW w:w="4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2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13a-14(a)</w:t>
            </w:r>
          </w:p>
        </w:tc>
        <w:tc>
          <w:tcPr>
            <w:tcW w:w="4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or Rule 15d-14(a) of the Securities Exchange Act of 1934 as adopted</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60" w:type="dxa"/>
            <w:vAlign w:val="bottom"/>
            <w:gridSpan w:val="11"/>
          </w:tcPr>
          <w:p>
            <w:pPr>
              <w:spacing w:after="0" w:line="168"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2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18 U.S.C.</w:t>
            </w:r>
          </w:p>
        </w:tc>
        <w:tc>
          <w:tcPr>
            <w:tcW w:w="4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5140" w:type="dxa"/>
            <w:vAlign w:val="bottom"/>
            <w:tcBorders>
              <w:top w:val="single" w:sz="8" w:color="0000FF"/>
              <w:bottom w:val="single" w:sz="8" w:color="0000FF"/>
            </w:tcBorders>
            <w:gridSpan w:val="5"/>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w:t>
            </w: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7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shd w:val="clear" w:color="auto" w:fill="CCEEFF"/>
          </w:tcPr>
          <w:p>
            <w:pPr>
              <w:spacing w:after="0"/>
              <w:rPr>
                <w:sz w:val="14"/>
                <w:szCs w:val="14"/>
                <w:color w:val="auto"/>
              </w:rPr>
            </w:pPr>
          </w:p>
        </w:tc>
        <w:tc>
          <w:tcPr>
            <w:tcW w:w="5220" w:type="dxa"/>
            <w:vAlign w:val="bottom"/>
            <w:gridSpan w:val="9"/>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shd w:val="clear" w:color="auto" w:fill="CCEEFF"/>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26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4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200" w:type="dxa"/>
            <w:vAlign w:val="bottom"/>
            <w:tcBorders>
              <w:top w:val="single" w:sz="8" w:color="0000FF"/>
            </w:tcBorders>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Section 1350 as adopted pursuant to Section 906 of the Sarbanes-Oxley</w:t>
            </w:r>
          </w:p>
        </w:tc>
        <w:tc>
          <w:tcPr>
            <w:tcW w:w="60" w:type="dxa"/>
            <w:vAlign w:val="bottom"/>
            <w:gridSpan w:val="3"/>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5220" w:type="dxa"/>
            <w:vAlign w:val="bottom"/>
            <w:tcBorders>
              <w:top w:val="single" w:sz="8" w:color="0000FF"/>
            </w:tcBorders>
            <w:gridSpan w:val="9"/>
          </w:tcPr>
          <w:p>
            <w:pPr>
              <w:spacing w:after="0" w:line="168"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gridSpan w:val="2"/>
          </w:tcPr>
          <w:p>
            <w:pPr>
              <w:spacing w:after="0"/>
              <w:rPr>
                <w:sz w:val="14"/>
                <w:szCs w:val="14"/>
                <w:color w:val="auto"/>
              </w:rPr>
            </w:pP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526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LendingTree, Inc. Clawback Policy*</w:t>
              </w:r>
            </w:hyperlink>
          </w:p>
        </w:tc>
        <w:tc>
          <w:tcPr>
            <w:tcW w:w="4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Exhibit 97 to the Registrant's Annual Report on Form 10-K filed</w:t>
            </w:r>
          </w:p>
        </w:tc>
        <w:tc>
          <w:tcPr>
            <w:tcW w:w="0" w:type="dxa"/>
            <w:vAlign w:val="bottom"/>
          </w:tcPr>
          <w:p>
            <w:pPr>
              <w:spacing w:after="0"/>
              <w:rPr>
                <w:sz w:val="1"/>
                <w:szCs w:val="1"/>
                <w:color w:val="auto"/>
              </w:rPr>
            </w:pPr>
          </w:p>
        </w:tc>
      </w:tr>
      <w:tr>
        <w:trPr>
          <w:trHeight w:val="208"/>
        </w:trPr>
        <w:tc>
          <w:tcPr>
            <w:tcW w:w="1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540" w:type="dxa"/>
            <w:vAlign w:val="bottom"/>
            <w:tcBorders>
              <w:top w:val="single" w:sz="8" w:color="0000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228"/>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101.CAL</w:t>
            </w:r>
          </w:p>
        </w:tc>
        <w:tc>
          <w:tcPr>
            <w:tcW w:w="5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200" w:type="dxa"/>
            <w:vAlign w:val="bottom"/>
          </w:tcPr>
          <w:p>
            <w:pPr>
              <w:jc w:val="right"/>
              <w:ind w:right="30"/>
              <w:spacing w:after="0" w:line="175" w:lineRule="exact"/>
              <w:rPr>
                <w:sz w:val="20"/>
                <w:szCs w:val="20"/>
                <w:color w:val="auto"/>
              </w:rPr>
            </w:pPr>
            <w:r>
              <w:rPr>
                <w:rFonts w:ascii="Times New Roman" w:cs="Times New Roman" w:eastAsia="Times New Roman" w:hAnsi="Times New Roman"/>
                <w:sz w:val="18"/>
                <w:szCs w:val="18"/>
                <w:color w:val="auto"/>
              </w:rPr>
              <w:t>101.INS</w:t>
            </w:r>
          </w:p>
        </w:tc>
        <w:tc>
          <w:tcPr>
            <w:tcW w:w="5260" w:type="dxa"/>
            <w:vAlign w:val="bottom"/>
            <w:gridSpan w:val="11"/>
          </w:tcPr>
          <w:p>
            <w:pPr>
              <w:spacing w:after="0" w:line="17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c>
          <w:tcPr>
            <w:tcW w:w="47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5260" w:type="dxa"/>
            <w:vAlign w:val="bottom"/>
            <w:gridSpan w:val="11"/>
          </w:tcPr>
          <w:p>
            <w:pPr>
              <w:spacing w:after="0" w:line="183"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c>
          <w:tcPr>
            <w:tcW w:w="4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5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200" w:hanging="391"/>
        <w:spacing w:after="0" w:line="220"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w:t>
      </w: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contained in Exhibit 101)</w:t>
      </w:r>
    </w:p>
    <w:p>
      <w:pPr>
        <w:spacing w:after="0" w:line="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6" w:lineRule="exact"/>
        <w:rPr>
          <w:sz w:val="20"/>
          <w:szCs w:val="20"/>
          <w:color w:val="auto"/>
        </w:rPr>
      </w:pPr>
    </w:p>
    <w:p>
      <w:pPr>
        <w:jc w:val="both"/>
        <w:ind w:firstLine="7"/>
        <w:spacing w:after="0" w:line="264" w:lineRule="auto"/>
        <w:tabs>
          <w:tab w:leader="none" w:pos="2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96" w:lineRule="exact"/>
        <w:rPr>
          <w:sz w:val="20"/>
          <w:szCs w:val="20"/>
          <w:color w:val="auto"/>
        </w:rPr>
      </w:pPr>
    </w:p>
    <w:p>
      <w:pPr>
        <w:jc w:val="both"/>
        <w:ind w:firstLine="7"/>
        <w:spacing w:after="0" w:line="264" w:lineRule="auto"/>
        <w:tabs>
          <w:tab w:leader="none" w:pos="4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compensation plan or arrangement.</w:t>
      </w:r>
    </w:p>
    <w:p>
      <w:pPr>
        <w:spacing w:after="0" w:line="156" w:lineRule="exact"/>
        <w:rPr>
          <w:sz w:val="20"/>
          <w:szCs w:val="20"/>
          <w:color w:val="auto"/>
        </w:rPr>
      </w:pPr>
    </w:p>
    <w:p>
      <w:pPr>
        <w:ind w:firstLine="7"/>
        <w:spacing w:after="0" w:line="280" w:lineRule="auto"/>
        <w:tabs>
          <w:tab w:leader="none" w:pos="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omitted pursuant to a request for confidential treatment and this exhibit has been submitted separately to the SEC.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6" w:lineRule="exact"/>
        <w:rPr>
          <w:sz w:val="20"/>
          <w:szCs w:val="20"/>
          <w:color w:val="auto"/>
        </w:rPr>
      </w:pPr>
    </w:p>
    <w:p>
      <w:pPr>
        <w:ind w:left="5520"/>
        <w:spacing w:after="0"/>
        <w:tabs>
          <w:tab w:leader="none" w:pos="6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19050</wp:posOffset>
            </wp:positionV>
            <wp:extent cx="32080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3"/>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each of Jason Bengel and Heather Novitsky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2024,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spacing w:after="0" w:line="119"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DOUGLAS R. LEBDA</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Douglas R. Lebda</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JASON BENGEL</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Jason Bengel</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CARLA SHUMATE</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9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Carla Shumate</w:t>
            </w:r>
          </w:p>
        </w:tc>
        <w:tc>
          <w:tcPr>
            <w:tcW w:w="440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80" w:type="dxa"/>
            <w:vAlign w:val="bottom"/>
            <w:gridSpan w:val="3"/>
            <w:vMerge w:val="continue"/>
          </w:tcPr>
          <w:p>
            <w:pPr>
              <w:spacing w:after="0"/>
              <w:rPr>
                <w:sz w:val="8"/>
                <w:szCs w:val="8"/>
                <w:color w:val="auto"/>
              </w:rPr>
            </w:pPr>
          </w:p>
        </w:tc>
        <w:tc>
          <w:tcPr>
            <w:tcW w:w="2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GABRIEL DALPORTO</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Gabriel Dalporto</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THOMAS DAVIDSON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Thomas Davidson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MARK ERNST</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 Ernst</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ROBIN HENDERSON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Robin Henderson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STEVEN OZONIAN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Steven Ozonian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DIEGO RODRIGUEZ</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Diego Rodriguez</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SARAS SARASVATHY</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Saras Sarasvathy</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 G. KENNEDY THOMPSON</w:t>
            </w:r>
          </w:p>
        </w:tc>
        <w:tc>
          <w:tcPr>
            <w:tcW w:w="4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0"/>
        </w:trPr>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 Kennedy Thompson</w:t>
            </w:r>
          </w:p>
        </w:tc>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14" w:right="339" w:bottom="1440" w:gutter="0" w:footer="0" w:header="0"/>
        </w:sectPr>
      </w:pPr>
    </w:p>
    <w:bookmarkStart w:id="109" w:name="page110"/>
    <w:bookmarkEnd w:id="109"/>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AMENDMENT TO EMPLOYMENT AGREEMENT</w:t>
      </w:r>
    </w:p>
    <w:p>
      <w:pPr>
        <w:spacing w:after="0" w:line="27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21"/>
          <w:szCs w:val="21"/>
          <w:color w:val="auto"/>
        </w:rPr>
        <w:t>This Third Amendment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made as of January 8, 2025 (the “</w:t>
      </w:r>
      <w:r>
        <w:rPr>
          <w:rFonts w:ascii="Times New Roman" w:cs="Times New Roman" w:eastAsia="Times New Roman" w:hAnsi="Times New Roman"/>
          <w:sz w:val="21"/>
          <w:szCs w:val="21"/>
          <w:u w:val="single" w:color="auto"/>
          <w:color w:val="auto"/>
        </w:rPr>
        <w:t>Amendment Date</w:t>
      </w:r>
      <w:r>
        <w:rPr>
          <w:rFonts w:ascii="Times New Roman" w:cs="Times New Roman" w:eastAsia="Times New Roman" w:hAnsi="Times New Roman"/>
          <w:sz w:val="21"/>
          <w:szCs w:val="21"/>
          <w:color w:val="auto"/>
        </w:rPr>
        <w:t>”), is to the Employment Agreement, dated as of November 30, 2020, and effective as of December 1, 2020, as amended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by and among Douglas R. Lebda (the “</w:t>
      </w:r>
      <w:r>
        <w:rPr>
          <w:rFonts w:ascii="Times New Roman" w:cs="Times New Roman" w:eastAsia="Times New Roman" w:hAnsi="Times New Roman"/>
          <w:sz w:val="21"/>
          <w:szCs w:val="21"/>
          <w:u w:val="single" w:color="auto"/>
          <w:color w:val="auto"/>
        </w:rPr>
        <w:t>Employee</w:t>
      </w:r>
      <w:r>
        <w:rPr>
          <w:rFonts w:ascii="Times New Roman" w:cs="Times New Roman" w:eastAsia="Times New Roman" w:hAnsi="Times New Roman"/>
          <w:sz w:val="21"/>
          <w:szCs w:val="21"/>
          <w:color w:val="auto"/>
        </w:rPr>
        <w:t>”), LendingTree,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LendingTree, LLC (“</w:t>
      </w:r>
      <w:r>
        <w:rPr>
          <w:rFonts w:ascii="Times New Roman" w:cs="Times New Roman" w:eastAsia="Times New Roman" w:hAnsi="Times New Roman"/>
          <w:sz w:val="21"/>
          <w:szCs w:val="21"/>
          <w:u w:val="single" w:color="auto"/>
          <w:color w:val="auto"/>
        </w:rPr>
        <w:t>LTLLC</w:t>
      </w:r>
      <w:r>
        <w:rPr>
          <w:rFonts w:ascii="Times New Roman" w:cs="Times New Roman" w:eastAsia="Times New Roman" w:hAnsi="Times New Roman"/>
          <w:sz w:val="21"/>
          <w:szCs w:val="21"/>
          <w:color w:val="auto"/>
        </w:rPr>
        <w:t>”, which as of the Amendment Date is a wholly-owned subsidiary of the Company, and together with the Company are collectively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All capitalized terms used herein but not otherwise defined shall have the meanings set forth in the Agreement (as defined herein).</w:t>
      </w:r>
    </w:p>
    <w:p>
      <w:pPr>
        <w:spacing w:after="0" w:line="207" w:lineRule="exact"/>
        <w:rPr>
          <w:sz w:val="20"/>
          <w:szCs w:val="20"/>
          <w:color w:val="auto"/>
        </w:rPr>
      </w:pPr>
    </w:p>
    <w:p>
      <w:pPr>
        <w:jc w:val="both"/>
        <w:ind w:right="20" w:firstLine="645"/>
        <w:spacing w:after="0" w:line="29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Group and Employee previously entered into the Employment Agreement, which will expire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December 31, 2024; and</w:t>
      </w:r>
    </w:p>
    <w:p>
      <w:pPr>
        <w:spacing w:after="0" w:line="159" w:lineRule="exact"/>
        <w:rPr>
          <w:sz w:val="20"/>
          <w:szCs w:val="20"/>
          <w:color w:val="auto"/>
        </w:rPr>
      </w:pPr>
    </w:p>
    <w:p>
      <w:pPr>
        <w:jc w:val="both"/>
        <w:ind w:firstLine="645"/>
        <w:spacing w:after="0" w:line="27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Group and Employee desire to amend certain provisions to the Employment Agreement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extend Employee’s service under such Employment Agreement and to increase the Employee’s Base Salary, pursuant to the terms set forth herein.</w:t>
      </w:r>
    </w:p>
    <w:p>
      <w:pPr>
        <w:spacing w:after="0" w:line="194" w:lineRule="exact"/>
        <w:rPr>
          <w:sz w:val="20"/>
          <w:szCs w:val="20"/>
          <w:color w:val="auto"/>
        </w:rPr>
      </w:pPr>
    </w:p>
    <w:p>
      <w:pPr>
        <w:jc w:val="both"/>
        <w:ind w:firstLine="645"/>
        <w:spacing w:after="0" w:line="295"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above, and for good and valuable consideration, the receipt and sufficiency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is hereby acknowledged, the parties hereto agree as follows: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  The first sentence of Section 2 of the Employment Agreement is hereby amended and restated in its entirety as follows:</w:t>
      </w:r>
    </w:p>
    <w:p>
      <w:pPr>
        <w:spacing w:after="0" w:line="256" w:lineRule="exact"/>
        <w:rPr>
          <w:sz w:val="20"/>
          <w:szCs w:val="20"/>
          <w:color w:val="auto"/>
        </w:rPr>
      </w:pPr>
    </w:p>
    <w:p>
      <w:pPr>
        <w:jc w:val="both"/>
        <w:ind w:left="1540" w:right="900" w:hanging="594"/>
        <w:spacing w:after="0" w:line="270" w:lineRule="auto"/>
        <w:rPr>
          <w:sz w:val="20"/>
          <w:szCs w:val="20"/>
          <w:color w:val="auto"/>
        </w:rPr>
      </w:pPr>
      <w:r>
        <w:rPr>
          <w:rFonts w:ascii="Times New Roman" w:cs="Times New Roman" w:eastAsia="Times New Roman" w:hAnsi="Times New Roman"/>
          <w:sz w:val="21"/>
          <w:szCs w:val="21"/>
          <w:color w:val="auto"/>
        </w:rPr>
        <w:t>“The term (“Term”) of this Agreement will commence on December 1, 2020 (the “Commencement Date”) and will continue through December 31, 2025, unless sooner terminated in accordance with the provisions of Section 1 of the Standard Terms and Conditions attached hereto; provided, that certain terms and conditions herein may specify a greater period of effectiveness.”</w:t>
      </w: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2.  The first sentence of Section 3(a) of the Employment Agreement is hereby amended and restated in its entirety as follows:</w:t>
      </w:r>
    </w:p>
    <w:p>
      <w:pPr>
        <w:spacing w:after="0" w:line="229" w:lineRule="exact"/>
        <w:rPr>
          <w:sz w:val="20"/>
          <w:szCs w:val="20"/>
          <w:color w:val="auto"/>
        </w:rPr>
      </w:pPr>
    </w:p>
    <w:p>
      <w:pPr>
        <w:jc w:val="both"/>
        <w:ind w:left="1460" w:right="880"/>
        <w:spacing w:after="0" w:line="272" w:lineRule="auto"/>
        <w:rPr>
          <w:sz w:val="20"/>
          <w:szCs w:val="20"/>
          <w:color w:val="auto"/>
        </w:rPr>
      </w:pPr>
      <w:r>
        <w:rPr>
          <w:rFonts w:ascii="Times New Roman" w:cs="Times New Roman" w:eastAsia="Times New Roman" w:hAnsi="Times New Roman"/>
          <w:sz w:val="21"/>
          <w:szCs w:val="21"/>
          <w:color w:val="auto"/>
        </w:rPr>
        <w:t>“During the Term, LTLLC will pay Employee an annual base salary of $800,000 (the “Base Salary”) payable in equal biweekly installments or in such other installments as may be in accordance with LTLLC’s standard payroll practices as in effect from time to time.”</w:t>
      </w:r>
    </w:p>
    <w:p>
      <w:pPr>
        <w:spacing w:after="0" w:line="173" w:lineRule="exact"/>
        <w:rPr>
          <w:sz w:val="20"/>
          <w:szCs w:val="20"/>
          <w:color w:val="auto"/>
        </w:rPr>
      </w:pPr>
    </w:p>
    <w:p>
      <w:pPr>
        <w:jc w:val="both"/>
        <w:ind w:left="660" w:hanging="330"/>
        <w:spacing w:after="0" w:line="272" w:lineRule="auto"/>
        <w:tabs>
          <w:tab w:leader="none" w:pos="6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for the benefit of and be binding upon, the parties hereto and their respective successors and assigns. Except as amended hereby, the terms and provisions of the Agreement shall remain in full force and effect, and the Agreement is in</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all respects ratified and confirmed. On and after the date of this Amendment, each reference in the Agreement to the “Agreement”, “hereinafter”, “herein”, “hereinafter”, “hereunder”, “hereof”, or words of like import shall mean and be a reference to the Agreement as amended by this Amendment. This Amendment shall be construed, enforced, and governed under the internal laws of the State of North Carolina, without giving effect to any choice of law provision or rule of any other jurisdiction. This Amendment may be executed in counterparts, each of which shall be deemed an original but all of which together will constitute one and the same instrument. Counterpart signature pages to this Amendment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580"/>
          </w:cols>
          <w:pgMar w:left="980" w:top="1440" w:right="339" w:bottom="1440" w:gutter="0" w:footer="0" w:header="0"/>
        </w:sectPr>
      </w:pPr>
    </w:p>
    <w:bookmarkStart w:id="111" w:name="page112"/>
    <w:bookmarkEnd w:id="111"/>
    <w:p>
      <w:pPr>
        <w:spacing w:after="0" w:line="150" w:lineRule="exact"/>
        <w:rPr>
          <w:sz w:val="20"/>
          <w:szCs w:val="20"/>
          <w:color w:val="auto"/>
        </w:rPr>
      </w:pPr>
    </w:p>
    <w:p>
      <w:pPr>
        <w:ind w:firstLine="215"/>
        <w:spacing w:after="0" w:line="304"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LENDINGTREE, INC.</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JILL OLMSTEAD</w:t>
      </w:r>
      <w:r>
        <w:rPr>
          <w:rFonts w:ascii="Times New Roman" w:cs="Times New Roman" w:eastAsia="Times New Roman" w:hAnsi="Times New Roman"/>
          <w:sz w:val="21"/>
          <w:szCs w:val="21"/>
          <w:color w:val="auto"/>
        </w:rPr>
        <w:t>______________</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Jill Olmstead</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LENDINGTREE, LLC</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JILL OLMSTEAD</w:t>
      </w:r>
      <w:r>
        <w:rPr>
          <w:rFonts w:ascii="Times New Roman" w:cs="Times New Roman" w:eastAsia="Times New Roman" w:hAnsi="Times New Roman"/>
          <w:sz w:val="21"/>
          <w:szCs w:val="21"/>
          <w:color w:val="auto"/>
        </w:rPr>
        <w:t>______________</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Name: Jill Olmstead</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00" w:lineRule="exact"/>
        <w:rPr>
          <w:sz w:val="20"/>
          <w:szCs w:val="20"/>
          <w:color w:val="auto"/>
        </w:rPr>
      </w:pPr>
    </w:p>
    <w:p>
      <w:pPr>
        <w:spacing w:after="0" w:line="382" w:lineRule="exact"/>
        <w:rPr>
          <w:sz w:val="20"/>
          <w:szCs w:val="20"/>
          <w:color w:val="auto"/>
        </w:rPr>
      </w:pPr>
    </w:p>
    <w:p>
      <w:pPr>
        <w:jc w:val="right"/>
        <w:ind w:right="7740"/>
        <w:spacing w:after="0"/>
        <w:rPr>
          <w:sz w:val="20"/>
          <w:szCs w:val="20"/>
          <w:color w:val="auto"/>
        </w:rPr>
      </w:pPr>
      <w:r>
        <w:rPr>
          <w:rFonts w:ascii="Times New Roman" w:cs="Times New Roman" w:eastAsia="Times New Roman" w:hAnsi="Times New Roman"/>
          <w:sz w:val="21"/>
          <w:szCs w:val="21"/>
          <w:color w:val="auto"/>
        </w:rPr>
        <w:t>By: /s/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-6985</wp:posOffset>
            </wp:positionV>
            <wp:extent cx="1592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18" w:lineRule="exact"/>
        <w:rPr>
          <w:sz w:val="20"/>
          <w:szCs w:val="20"/>
          <w:color w:val="auto"/>
        </w:rPr>
      </w:pPr>
    </w:p>
    <w:p>
      <w:pPr>
        <w:jc w:val="right"/>
        <w:ind w:right="7660"/>
        <w:spacing w:after="0"/>
        <w:rPr>
          <w:sz w:val="20"/>
          <w:szCs w:val="20"/>
          <w:color w:val="auto"/>
        </w:rPr>
      </w:pPr>
      <w:r>
        <w:rPr>
          <w:rFonts w:ascii="Times New Roman" w:cs="Times New Roman" w:eastAsia="Times New Roman" w:hAnsi="Times New Roman"/>
          <w:sz w:val="21"/>
          <w:szCs w:val="21"/>
          <w:color w:val="auto"/>
        </w:rPr>
        <w:t>Douglas R. Lebda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840"/>
          </w:cols>
          <w:pgMar w:left="320" w:top="1440" w:right="73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LENDINGTREE, INC.</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SECURITIES TRADING AND RELATED MATTERS POLICY</w:t>
      </w:r>
      <w:r>
        <w:rPr>
          <w:rFonts w:ascii="Times New Roman" w:cs="Times New Roman" w:eastAsia="Times New Roman" w:hAnsi="Times New Roman"/>
          <w:sz w:val="27"/>
          <w:szCs w:val="27"/>
          <w:b w:val="1"/>
          <w:bCs w:val="1"/>
          <w:color w:val="auto"/>
          <w:vertAlign w:val="superscript"/>
        </w:rPr>
        <w:t>1</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FEBRUARY 2025</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LendingTree, Inc. (“</w:t>
      </w:r>
      <w:r>
        <w:rPr>
          <w:rFonts w:ascii="Times New Roman" w:cs="Times New Roman" w:eastAsia="Times New Roman" w:hAnsi="Times New Roman"/>
          <w:sz w:val="21"/>
          <w:szCs w:val="21"/>
          <w:i w:val="1"/>
          <w:iCs w:val="1"/>
          <w:color w:val="auto"/>
        </w:rPr>
        <w:t>LendingTree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has adopted this Securities Trading and Related Matters Policy (the</w:t>
      </w:r>
    </w:p>
    <w:p>
      <w:pPr>
        <w:spacing w:after="0" w:line="4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Policy</w:t>
      </w:r>
      <w:r>
        <w:rPr>
          <w:rFonts w:ascii="Times New Roman" w:cs="Times New Roman" w:eastAsia="Times New Roman" w:hAnsi="Times New Roman"/>
          <w:sz w:val="21"/>
          <w:szCs w:val="21"/>
          <w:color w:val="auto"/>
        </w:rPr>
        <w:t>”) to promote compliance with applicable United States federal, state and foreign securities laws that prohibit certain persons who are aware of material non-public information about a company from (i) engaging in transactions involving securities of that company; and (ii) providing, or tipping, material non-public information to other persons who may trade on the basis of that information. The Policy also is designed to protect an important corporate asset: LendingTree’s reputation for integrity and ethical conduct. The Policy governs transactions in securities of LendingTree or any other issuer where conflicts of interest could arise. As a result of applicable securities laws and this Policy, a Covered Person (defined below) may, from time to time, have to forego or delay a desired securities transaction even if he or she planned to make the transaction before becoming aware of the material non-public information, he or she was not influenced in the trading decision by the material non-public information and/or he or she will suffer economic loss, lost opportunity or anticipated profit as a result.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Scope</w:t>
      </w:r>
    </w:p>
    <w:p>
      <w:pPr>
        <w:spacing w:after="0" w:line="2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 xml:space="preserve">This Policy applies globally regardless of location or nationality and covers all Insiders (as defined below) and their Related Parties (as defined below). Insiders are responsible for ensuring compliance by their Related Parties. This Policy generally applies to any and all transactions in the Company’s common stock and all other Company Securities (as defined below) by Insiders and their Related Parties. Transactions subject to this Policy include purchases, sales and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gifts of Company Securities. In addition, this Policy generally applies to any and all transactions by an Insider and their Related Parties in the securities of any other public company (i) with which the Company does business, such as the Company’s distributors, vendors, customers and suppliers, or (ii) that is involved in a potential transaction or business relationship with the Company while the Insider is in possession of material non-public information concerning that Company which was obtained by the Insider during the course of providing services to the Company. There are no exceptions to this Policy except as specifically described herein.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56" w:lineRule="exact"/>
        <w:rPr>
          <w:sz w:val="20"/>
          <w:szCs w:val="20"/>
          <w:color w:val="auto"/>
        </w:rPr>
      </w:pPr>
    </w:p>
    <w:p>
      <w:pPr>
        <w:ind w:left="640" w:hanging="310"/>
        <w:spacing w:after="0"/>
        <w:tabs>
          <w:tab w:leader="none" w:pos="64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means the board of directors of LendingTree, Inc.</w:t>
      </w:r>
    </w:p>
    <w:p>
      <w:pPr>
        <w:spacing w:after="0" w:line="16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Important Notice: LendingTree has the right to modify, change or terminate this Policy at any time. A hard copy of the document may not reflect the policy currently in effect. An official copy of the current version may be obtained from the Legal Department or can be viewed on Treehouse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00"/>
          </w:cols>
          <w:pgMar w:left="320" w:top="1411" w:right="379" w:bottom="1440" w:gutter="0" w:footer="0" w:header="0"/>
        </w:sectPr>
      </w:pPr>
    </w:p>
    <w:bookmarkStart w:id="113" w:name="page114"/>
    <w:bookmarkEnd w:id="113"/>
    <w:p>
      <w:pPr>
        <w:spacing w:after="0" w:line="200" w:lineRule="exact"/>
        <w:rPr>
          <w:sz w:val="20"/>
          <w:szCs w:val="20"/>
          <w:color w:val="auto"/>
        </w:rPr>
      </w:pPr>
    </w:p>
    <w:p>
      <w:pPr>
        <w:ind w:left="310" w:hanging="310"/>
        <w:spacing w:after="0"/>
        <w:tabs>
          <w:tab w:leader="none" w:pos="31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means LendingTree, Inc. and its direct and indirect subsidiaries.</w:t>
      </w:r>
    </w:p>
    <w:p>
      <w:pPr>
        <w:spacing w:after="0" w:line="242" w:lineRule="exact"/>
        <w:rPr>
          <w:rFonts w:ascii="Times New Roman" w:cs="Times New Roman" w:eastAsia="Times New Roman" w:hAnsi="Times New Roman"/>
          <w:sz w:val="21"/>
          <w:szCs w:val="21"/>
          <w:color w:val="auto"/>
        </w:rPr>
      </w:pPr>
    </w:p>
    <w:p>
      <w:pPr>
        <w:ind w:left="330" w:right="220" w:hanging="330"/>
        <w:spacing w:after="0" w:line="263"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Company Securities</w:t>
      </w:r>
      <w:r>
        <w:rPr>
          <w:rFonts w:ascii="Times New Roman" w:cs="Times New Roman" w:eastAsia="Times New Roman" w:hAnsi="Times New Roman"/>
          <w:sz w:val="21"/>
          <w:szCs w:val="21"/>
          <w:color w:val="auto"/>
        </w:rPr>
        <w:t>” means shares of the Company’s common stock, options to purchase common stock, or any other type of securities that the Company may issue, including but not limited to preferred stock, convertible notes, and warrants, as well as derivative securities that are not issued by the Company, such as exchange-traded put or call options or swaps relating to the Company’s securities.</w:t>
      </w:r>
    </w:p>
    <w:p>
      <w:pPr>
        <w:spacing w:after="0" w:line="177" w:lineRule="exact"/>
        <w:rPr>
          <w:rFonts w:ascii="Times New Roman" w:cs="Times New Roman" w:eastAsia="Times New Roman" w:hAnsi="Times New Roman"/>
          <w:sz w:val="21"/>
          <w:szCs w:val="21"/>
          <w:color w:val="auto"/>
        </w:rPr>
      </w:pPr>
    </w:p>
    <w:p>
      <w:pPr>
        <w:ind w:left="330" w:hanging="330"/>
        <w:spacing w:after="0" w:line="257"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Covered Persons</w:t>
      </w:r>
      <w:r>
        <w:rPr>
          <w:rFonts w:ascii="Times New Roman" w:cs="Times New Roman" w:eastAsia="Times New Roman" w:hAnsi="Times New Roman"/>
          <w:sz w:val="21"/>
          <w:szCs w:val="21"/>
          <w:color w:val="auto"/>
        </w:rPr>
        <w:t>” means (1) all of the Company’s directors, executive officers and other Section 16 Reporting Persons, and (2) certain employees, consultants, contractors or advisors who are reasonably expected to be in possession of material non-public information about the Company, as determined from time to time by the Legal Department. The Company will promptly notify orally or in writing each person designated a Covered Person and shall keep a record of such persons, which will be maintained by the Legal Department.</w:t>
      </w:r>
    </w:p>
    <w:p>
      <w:pPr>
        <w:spacing w:after="0" w:line="185" w:lineRule="exact"/>
        <w:rPr>
          <w:rFonts w:ascii="Times New Roman" w:cs="Times New Roman" w:eastAsia="Times New Roman" w:hAnsi="Times New Roman"/>
          <w:sz w:val="21"/>
          <w:szCs w:val="21"/>
          <w:color w:val="auto"/>
        </w:rPr>
      </w:pPr>
    </w:p>
    <w:p>
      <w:pPr>
        <w:ind w:left="310" w:hanging="310"/>
        <w:spacing w:after="0"/>
        <w:tabs>
          <w:tab w:leader="none" w:pos="31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42" w:lineRule="exact"/>
        <w:rPr>
          <w:rFonts w:ascii="Times New Roman" w:cs="Times New Roman" w:eastAsia="Times New Roman" w:hAnsi="Times New Roman"/>
          <w:sz w:val="21"/>
          <w:szCs w:val="21"/>
          <w:color w:val="auto"/>
        </w:rPr>
      </w:pPr>
    </w:p>
    <w:p>
      <w:pPr>
        <w:ind w:left="330" w:hanging="330"/>
        <w:spacing w:after="0" w:line="258"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Family Members</w:t>
      </w:r>
      <w:r>
        <w:rPr>
          <w:rFonts w:ascii="Times New Roman" w:cs="Times New Roman" w:eastAsia="Times New Roman" w:hAnsi="Times New Roman"/>
          <w:sz w:val="21"/>
          <w:szCs w:val="21"/>
          <w:color w:val="auto"/>
        </w:rPr>
        <w:t>” of an Insider means that Insider’s spouse, minor children, anyone else living in the Insider’s household, and any family member or other individual who does not live in the Insider’s household but whose transactions in Company Securities are directed by the Insider or subject to the Insider’s influence or control, such as parents or adult children who consult with the Insider before they trade in Company Securities.</w:t>
      </w:r>
    </w:p>
    <w:p>
      <w:pPr>
        <w:spacing w:after="0" w:line="197" w:lineRule="exact"/>
        <w:rPr>
          <w:rFonts w:ascii="Times New Roman" w:cs="Times New Roman" w:eastAsia="Times New Roman" w:hAnsi="Times New Roman"/>
          <w:sz w:val="21"/>
          <w:szCs w:val="21"/>
          <w:color w:val="auto"/>
        </w:rPr>
      </w:pPr>
    </w:p>
    <w:p>
      <w:pPr>
        <w:ind w:left="330" w:right="460" w:hanging="330"/>
        <w:spacing w:after="0" w:line="267"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Insiders</w:t>
      </w:r>
      <w:r>
        <w:rPr>
          <w:rFonts w:ascii="Times New Roman" w:cs="Times New Roman" w:eastAsia="Times New Roman" w:hAnsi="Times New Roman"/>
          <w:sz w:val="21"/>
          <w:szCs w:val="21"/>
          <w:color w:val="auto"/>
        </w:rPr>
        <w:t>” means all employees, officers, and directors of the Company. “Insiders” may also include other persons, as determined from time to time by the Legal Department or the Chief Financial Officer, such as Company consultants, contractors or advisors who are reasonably expected to have access to material non-public information.</w:t>
      </w:r>
    </w:p>
    <w:p>
      <w:pPr>
        <w:spacing w:after="0" w:line="174" w:lineRule="exact"/>
        <w:rPr>
          <w:rFonts w:ascii="Times New Roman" w:cs="Times New Roman" w:eastAsia="Times New Roman" w:hAnsi="Times New Roman"/>
          <w:sz w:val="21"/>
          <w:szCs w:val="21"/>
          <w:color w:val="auto"/>
        </w:rPr>
      </w:pPr>
    </w:p>
    <w:p>
      <w:pPr>
        <w:ind w:left="310" w:hanging="310"/>
        <w:spacing w:after="0"/>
        <w:tabs>
          <w:tab w:leader="none" w:pos="31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Legal Department</w:t>
      </w:r>
      <w:r>
        <w:rPr>
          <w:rFonts w:ascii="Times New Roman" w:cs="Times New Roman" w:eastAsia="Times New Roman" w:hAnsi="Times New Roman"/>
          <w:sz w:val="21"/>
          <w:szCs w:val="21"/>
          <w:color w:val="auto"/>
        </w:rPr>
        <w:t>” means the Company’s Legal Department.</w:t>
      </w:r>
    </w:p>
    <w:p>
      <w:pPr>
        <w:spacing w:after="0" w:line="242" w:lineRule="exact"/>
        <w:rPr>
          <w:rFonts w:ascii="Times New Roman" w:cs="Times New Roman" w:eastAsia="Times New Roman" w:hAnsi="Times New Roman"/>
          <w:sz w:val="21"/>
          <w:szCs w:val="21"/>
          <w:color w:val="auto"/>
        </w:rPr>
      </w:pPr>
    </w:p>
    <w:p>
      <w:pPr>
        <w:ind w:left="330" w:right="120" w:hanging="330"/>
        <w:spacing w:after="0" w:line="257"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xml:space="preserve"> information is information that would be viewed by a reasonable investor as important to making an investment decision regarding the purchase or sale of securities. In practice, this is often information that when disclosed, results in a significant change to the market price of the stock. There is no bright-line standard for assessing materiality; rather, materiality is based on an assessment of all of the facts and circumstances, and is often evaluated by enforcement authorities with the benefit of hindsight. Either positive or negative information may be material.</w:t>
      </w:r>
    </w:p>
    <w:p>
      <w:pPr>
        <w:spacing w:after="0" w:line="185" w:lineRule="exact"/>
        <w:rPr>
          <w:rFonts w:ascii="Times New Roman" w:cs="Times New Roman" w:eastAsia="Times New Roman" w:hAnsi="Times New Roman"/>
          <w:sz w:val="21"/>
          <w:szCs w:val="21"/>
          <w:color w:val="auto"/>
        </w:rPr>
      </w:pPr>
    </w:p>
    <w:p>
      <w:pPr>
        <w:ind w:left="330" w:right="100" w:hanging="330"/>
        <w:spacing w:after="0" w:line="257" w:lineRule="auto"/>
        <w:tabs>
          <w:tab w:leader="none" w:pos="3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information is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(1) it has not been widely disseminated to the public through a major newswire service, national news service or financial service, publicly-available filings with the SEC, and in some cases, publication on a company’s website or through a social media platform, and (2) the investing public has not had sufficient time to absorb the information fully. Examples of such non-public information which should always be presumed to be material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890"/>
          </w:cols>
          <w:pgMar w:left="650" w:top="1440" w:right="359" w:bottom="1440" w:gutter="0" w:footer="0" w:header="0"/>
        </w:sectPr>
      </w:pPr>
    </w:p>
    <w:bookmarkStart w:id="114" w:name="page115"/>
    <w:bookmarkEnd w:id="114"/>
    <w:p>
      <w:pPr>
        <w:ind w:left="1300" w:hanging="325"/>
        <w:spacing w:after="0"/>
        <w:tabs>
          <w:tab w:leader="none" w:pos="1300" w:val="left"/>
        </w:tabs>
        <w:numPr>
          <w:ilvl w:val="0"/>
          <w:numId w:val="49"/>
        </w:numPr>
        <w:rPr>
          <w:rFonts w:ascii="Courier New" w:cs="Courier New" w:eastAsia="Courier New" w:hAnsi="Courier New"/>
          <w:sz w:val="21"/>
          <w:szCs w:val="21"/>
          <w:color w:val="auto"/>
        </w:rPr>
      </w:pPr>
      <w:r>
        <w:rPr>
          <w:rFonts w:ascii="Times New Roman" w:cs="Times New Roman" w:eastAsia="Times New Roman" w:hAnsi="Times New Roman"/>
          <w:sz w:val="21"/>
          <w:szCs w:val="21"/>
          <w:color w:val="auto"/>
        </w:rPr>
        <w:t>earnings reports or projections,</w:t>
      </w:r>
    </w:p>
    <w:p>
      <w:pPr>
        <w:spacing w:after="0" w:line="47" w:lineRule="exact"/>
        <w:rPr>
          <w:rFonts w:ascii="Courier New" w:cs="Courier New" w:eastAsia="Courier New" w:hAnsi="Courier New"/>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to previously announced earnings guidance, or the decision to suspend earnings guidance,</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proposed major spending programs,</w:t>
      </w:r>
    </w:p>
    <w:p>
      <w:pPr>
        <w:spacing w:after="0" w:line="14"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regulatory or litigation problems, including the threat of significant litigation or the resolution of litigation,</w:t>
      </w:r>
    </w:p>
    <w:p>
      <w:pPr>
        <w:spacing w:after="0" w:line="26"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changes in senior management,</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merger, acquisition or tender offer,</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acquisition or divestiture of a significant business or significant assets,</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Company restructuring,</w:t>
      </w:r>
    </w:p>
    <w:p>
      <w:pPr>
        <w:spacing w:after="0" w:line="14"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offerings or other financings,</w:t>
      </w:r>
    </w:p>
    <w:p>
      <w:pPr>
        <w:spacing w:after="0" w:line="26"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major contracts, suppliers, customers or the loss thereof,</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related party transactions,</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 of a significant new product, process or service,</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developments with LendingTree's intellectual property portfolio, including the grant of patent rights,</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write-offs or increases in reserves,</w:t>
      </w:r>
    </w:p>
    <w:p>
      <w:pPr>
        <w:spacing w:after="0" w:line="14"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 or financial liquidity problems,</w:t>
      </w:r>
    </w:p>
    <w:p>
      <w:pPr>
        <w:spacing w:after="0" w:line="26"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delays in product development or problems with quality control,</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 split or other recapitalization,</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redemption or purchase by LendingTree of its securities,</w:t>
      </w:r>
    </w:p>
    <w:p>
      <w:pPr>
        <w:spacing w:after="0" w:line="13"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borrowings or other financing transactions out of the ordinary course of business,</w:t>
      </w:r>
    </w:p>
    <w:p>
      <w:pPr>
        <w:spacing w:after="0" w:line="14"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marketing changes,</w:t>
      </w:r>
    </w:p>
    <w:p>
      <w:pPr>
        <w:spacing w:after="0" w:line="26" w:lineRule="exact"/>
        <w:rPr>
          <w:rFonts w:ascii="Times New Roman" w:cs="Times New Roman" w:eastAsia="Times New Roman" w:hAnsi="Times New Roman"/>
          <w:sz w:val="21"/>
          <w:szCs w:val="21"/>
          <w:color w:val="auto"/>
        </w:rPr>
      </w:pPr>
    </w:p>
    <w:p>
      <w:pPr>
        <w:ind w:left="1300" w:right="100" w:hanging="325"/>
        <w:spacing w:after="0" w:line="253" w:lineRule="auto"/>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2"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auditors or notification that the auditor's reports may no longer be relied upon, and</w:t>
      </w:r>
    </w:p>
    <w:p>
      <w:pPr>
        <w:spacing w:after="0" w:line="14" w:lineRule="exact"/>
        <w:rPr>
          <w:rFonts w:ascii="Times New Roman" w:cs="Times New Roman" w:eastAsia="Times New Roman" w:hAnsi="Times New Roman"/>
          <w:sz w:val="21"/>
          <w:szCs w:val="21"/>
          <w:color w:val="auto"/>
        </w:rPr>
      </w:pPr>
    </w:p>
    <w:p>
      <w:pPr>
        <w:ind w:left="1300" w:hanging="325"/>
        <w:spacing w:after="0"/>
        <w:tabs>
          <w:tab w:leader="none" w:pos="130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information which is likely to have a significant impact on LendingTree.</w:t>
      </w: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expected to have a large effect on stock price if it were to occur, such as a merger, may be considered material even if the possibility that the event will occur is relatively small. When in doubt about whether particular non-public information is material, Insiders should either presume the information is material or consult with the Company’s Legal Department before making any decision to disclose such information (other than to persons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00"/>
          </w:cols>
          <w:pgMar w:left="320" w:top="1415" w:right="379" w:bottom="1440" w:gutter="0" w:footer="0" w:header="0"/>
        </w:sectPr>
      </w:pPr>
    </w:p>
    <w:bookmarkStart w:id="115" w:name="page116"/>
    <w:bookmarkEnd w:id="115"/>
    <w:p>
      <w:pPr>
        <w:ind w:right="100"/>
        <w:spacing w:after="0" w:line="291" w:lineRule="auto"/>
        <w:rPr>
          <w:sz w:val="20"/>
          <w:szCs w:val="20"/>
          <w:color w:val="auto"/>
        </w:rPr>
      </w:pPr>
      <w:r>
        <w:rPr>
          <w:rFonts w:ascii="Times New Roman" w:cs="Times New Roman" w:eastAsia="Times New Roman" w:hAnsi="Times New Roman"/>
          <w:sz w:val="21"/>
          <w:szCs w:val="21"/>
          <w:color w:val="auto"/>
        </w:rPr>
        <w:t>need to know it) or to engage in transactions in or recommend Company Securities or securities of other companies to which that information relates.</w:t>
      </w:r>
    </w:p>
    <w:p>
      <w:pPr>
        <w:spacing w:after="0" w:line="149" w:lineRule="exact"/>
        <w:rPr>
          <w:sz w:val="20"/>
          <w:szCs w:val="20"/>
          <w:color w:val="auto"/>
        </w:rPr>
      </w:pPr>
    </w:p>
    <w:p>
      <w:pPr>
        <w:ind w:left="660" w:hanging="330"/>
        <w:spacing w:after="0" w:line="250" w:lineRule="auto"/>
        <w:tabs>
          <w:tab w:leader="none" w:pos="655" w:val="left"/>
        </w:tabs>
        <w:numPr>
          <w:ilvl w:val="0"/>
          <w:numId w:val="50"/>
        </w:numPr>
        <w:rPr>
          <w:rFonts w:ascii="Arial" w:cs="Arial" w:eastAsia="Arial" w:hAnsi="Arial"/>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Related Parties</w:t>
      </w:r>
      <w:r>
        <w:rPr>
          <w:rFonts w:ascii="Times New Roman" w:cs="Times New Roman" w:eastAsia="Times New Roman" w:hAnsi="Times New Roman"/>
          <w:sz w:val="21"/>
          <w:szCs w:val="21"/>
          <w:color w:val="auto"/>
        </w:rPr>
        <w:t>” of an Insider means that Insider’s (i) Family Members, and (ii) any entity that the Insider or the Insider’s Family Members influence or control, such as (but not limited to) partnerships in which the Insider or a Family Member is a general partner, trusts of which the Insider or a Family Member is a trustee, estates of which the Insider or a Family Member is an executor, and corporations or limited liability companies over which the Insider or a Family Member has or shares voting or investment control.</w:t>
      </w:r>
    </w:p>
    <w:p>
      <w:pPr>
        <w:spacing w:after="0" w:line="193" w:lineRule="exact"/>
        <w:rPr>
          <w:rFonts w:ascii="Arial" w:cs="Arial" w:eastAsia="Arial" w:hAnsi="Arial"/>
          <w:sz w:val="18"/>
          <w:szCs w:val="18"/>
          <w:color w:val="auto"/>
        </w:rPr>
      </w:pPr>
    </w:p>
    <w:p>
      <w:pPr>
        <w:ind w:left="640" w:hanging="31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w:t>
      </w:r>
      <w:r>
        <w:rPr>
          <w:rFonts w:ascii="Times New Roman" w:cs="Times New Roman" w:eastAsia="Times New Roman" w:hAnsi="Times New Roman"/>
          <w:sz w:val="21"/>
          <w:szCs w:val="21"/>
          <w:color w:val="auto"/>
        </w:rPr>
        <w:t>” means the U.S. Securities and Exchange Commission.</w:t>
      </w:r>
    </w:p>
    <w:p>
      <w:pPr>
        <w:spacing w:after="0" w:line="242" w:lineRule="exact"/>
        <w:rPr>
          <w:rFonts w:ascii="Times New Roman" w:cs="Times New Roman" w:eastAsia="Times New Roman" w:hAnsi="Times New Roman"/>
          <w:sz w:val="18"/>
          <w:szCs w:val="18"/>
          <w:color w:val="auto"/>
        </w:rPr>
      </w:pPr>
    </w:p>
    <w:p>
      <w:pPr>
        <w:ind w:left="660" w:right="280" w:hanging="330"/>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Section 16 Reporting Persons</w:t>
      </w:r>
      <w:r>
        <w:rPr>
          <w:rFonts w:ascii="Times New Roman" w:cs="Times New Roman" w:eastAsia="Times New Roman" w:hAnsi="Times New Roman"/>
          <w:sz w:val="21"/>
          <w:szCs w:val="21"/>
          <w:color w:val="auto"/>
        </w:rPr>
        <w:t xml:space="preserve">” means the directors and officers of the Company subject to Section 16 of the Exchange Act. Section 16 Reporting Persons are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Policy. Exhibit A will be deemed to be updated automatically to conform to the Board’s designation of Section 16 Reporting Persons from time to time.</w:t>
      </w:r>
    </w:p>
    <w:p>
      <w:pPr>
        <w:spacing w:after="0" w:line="179"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Senior Leadership Team</w:t>
      </w:r>
      <w:r>
        <w:rPr>
          <w:rFonts w:ascii="Times New Roman" w:cs="Times New Roman" w:eastAsia="Times New Roman" w:hAnsi="Times New Roman"/>
          <w:sz w:val="21"/>
          <w:szCs w:val="21"/>
          <w:color w:val="auto"/>
        </w:rPr>
        <w:t>” means the officers of the Company who are Section 16 Reporting Persons.</w:t>
      </w:r>
    </w:p>
    <w:p>
      <w:pPr>
        <w:spacing w:after="0" w:line="24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Trading day</w:t>
      </w:r>
      <w:r>
        <w:rPr>
          <w:rFonts w:ascii="Times New Roman" w:cs="Times New Roman" w:eastAsia="Times New Roman" w:hAnsi="Times New Roman"/>
          <w:sz w:val="21"/>
          <w:szCs w:val="21"/>
          <w:color w:val="auto"/>
        </w:rPr>
        <w:t>” means a day on which the U.S. stock markets are generally open.</w:t>
      </w:r>
    </w:p>
    <w:p>
      <w:pPr>
        <w:spacing w:after="0" w:line="228" w:lineRule="exact"/>
        <w:rPr>
          <w:rFonts w:ascii="Times New Roman" w:cs="Times New Roman" w:eastAsia="Times New Roman" w:hAnsi="Times New Roman"/>
          <w:sz w:val="18"/>
          <w:szCs w:val="18"/>
          <w:color w:val="auto"/>
        </w:rPr>
      </w:pPr>
    </w:p>
    <w:p>
      <w:pPr>
        <w:ind w:left="660" w:right="500" w:hanging="330"/>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Trading Window</w:t>
      </w:r>
      <w:r>
        <w:rPr>
          <w:rFonts w:ascii="Times New Roman" w:cs="Times New Roman" w:eastAsia="Times New Roman" w:hAnsi="Times New Roman"/>
          <w:sz w:val="21"/>
          <w:szCs w:val="21"/>
          <w:color w:val="auto"/>
        </w:rPr>
        <w:t>” means the specified period during which Covered Persons and their Related Parties can engage in transactions in Company Securities, subject to and in accordance with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Transactions Not Covered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Policy governs sales, purchases or other transfers of all Company Securities. Trading also includes transactions under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employee plans such as:</w:t>
      </w:r>
    </w:p>
    <w:p>
      <w:pPr>
        <w:spacing w:after="0" w:line="214" w:lineRule="exact"/>
        <w:rPr>
          <w:sz w:val="20"/>
          <w:szCs w:val="20"/>
          <w:color w:val="auto"/>
        </w:rPr>
      </w:pPr>
    </w:p>
    <w:p>
      <w:pPr>
        <w:ind w:left="640" w:hanging="310"/>
        <w:spacing w:after="0"/>
        <w:tabs>
          <w:tab w:leader="none" w:pos="640" w:val="left"/>
        </w:tabs>
        <w:numPr>
          <w:ilvl w:val="0"/>
          <w:numId w:val="51"/>
        </w:numPr>
        <w:rPr>
          <w:rFonts w:ascii="Arial" w:cs="Arial" w:eastAsia="Arial" w:hAnsi="Arial"/>
          <w:sz w:val="18"/>
          <w:szCs w:val="18"/>
          <w:color w:val="auto"/>
        </w:rPr>
      </w:pPr>
      <w:r>
        <w:rPr>
          <w:rFonts w:ascii="Times New Roman" w:cs="Times New Roman" w:eastAsia="Times New Roman" w:hAnsi="Times New Roman"/>
          <w:sz w:val="21"/>
          <w:szCs w:val="21"/>
          <w:i w:val="1"/>
          <w:iCs w:val="1"/>
          <w:color w:val="auto"/>
        </w:rPr>
        <w:t>Restricted Stock and RSU Awards</w:t>
      </w:r>
      <w:r>
        <w:rPr>
          <w:rFonts w:ascii="Times New Roman" w:cs="Times New Roman" w:eastAsia="Times New Roman" w:hAnsi="Times New Roman"/>
          <w:sz w:val="21"/>
          <w:szCs w:val="21"/>
          <w:color w:val="auto"/>
        </w:rPr>
        <w:t>. This Policy does not apply to the vesting of restricted stock or restricted stock units</w:t>
      </w:r>
    </w:p>
    <w:p>
      <w:pPr>
        <w:spacing w:after="0" w:line="28" w:lineRule="exact"/>
        <w:rPr>
          <w:rFonts w:ascii="Arial" w:cs="Arial" w:eastAsia="Arial" w:hAnsi="Arial"/>
          <w:sz w:val="18"/>
          <w:szCs w:val="18"/>
          <w:color w:val="auto"/>
        </w:rPr>
      </w:pPr>
    </w:p>
    <w:p>
      <w:pPr>
        <w:ind w:left="660"/>
        <w:spacing w:after="0" w:line="247" w:lineRule="auto"/>
        <w:rPr>
          <w:rFonts w:ascii="Arial" w:cs="Arial" w:eastAsia="Arial" w:hAnsi="Arial"/>
          <w:sz w:val="18"/>
          <w:szCs w:val="18"/>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RSU Awards</w:t>
      </w:r>
      <w:r>
        <w:rPr>
          <w:rFonts w:ascii="Times New Roman" w:cs="Times New Roman" w:eastAsia="Times New Roman" w:hAnsi="Times New Roman"/>
          <w:sz w:val="21"/>
          <w:szCs w:val="21"/>
          <w:color w:val="auto"/>
        </w:rPr>
        <w:t>), or the exercise of a tax withholding right pursuant to which you elect to have the Company withhold shares of stock to satisfy tax withholding requirements upon the vesting of any restricted stock or RSU. This Policy does apply, however, to any market sale of restricted stock or stock issued on settlement of an RSU.</w:t>
      </w:r>
    </w:p>
    <w:p>
      <w:pPr>
        <w:spacing w:after="0" w:line="193" w:lineRule="exact"/>
        <w:rPr>
          <w:rFonts w:ascii="Arial" w:cs="Arial" w:eastAsia="Arial" w:hAnsi="Arial"/>
          <w:sz w:val="18"/>
          <w:szCs w:val="18"/>
          <w:color w:val="auto"/>
        </w:rPr>
      </w:pPr>
    </w:p>
    <w:p>
      <w:pPr>
        <w:ind w:left="660" w:right="40" w:hanging="330"/>
        <w:spacing w:after="0" w:line="247"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i w:val="1"/>
          <w:iCs w:val="1"/>
          <w:color w:val="auto"/>
        </w:rPr>
        <w:t xml:space="preserve">Stock Options. </w:t>
      </w:r>
      <w:r>
        <w:rPr>
          <w:rFonts w:ascii="Times New Roman" w:cs="Times New Roman" w:eastAsia="Times New Roman" w:hAnsi="Times New Roman"/>
          <w:sz w:val="21"/>
          <w:szCs w:val="21"/>
          <w:color w:val="auto"/>
        </w:rPr>
        <w:t>This Policy does not apply to the exercise of an employee stock option acquired pursuant to the Company's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and to any other market sale for the purpose of generating the cash needed to pay the exercise price of an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15" w:right="359" w:bottom="1440" w:gutter="0" w:footer="0" w:header="0"/>
        </w:sectPr>
      </w:pPr>
    </w:p>
    <w:bookmarkStart w:id="116" w:name="page117"/>
    <w:bookmarkEnd w:id="116"/>
    <w:p>
      <w:pPr>
        <w:ind w:left="660" w:hanging="330"/>
        <w:spacing w:after="0" w:line="247"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i w:val="1"/>
          <w:iCs w:val="1"/>
          <w:color w:val="auto"/>
        </w:rPr>
        <w:t>401(k) Plan and Employee Stock Purchase Plan</w:t>
      </w:r>
      <w:r>
        <w:rPr>
          <w:rFonts w:ascii="Times New Roman" w:cs="Times New Roman" w:eastAsia="Times New Roman" w:hAnsi="Times New Roman"/>
          <w:sz w:val="21"/>
          <w:szCs w:val="21"/>
          <w:color w:val="auto"/>
        </w:rPr>
        <w:t>. This Policy’s trading restrictions do not apply to purchases of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Securities through the 401(k) plan or employee stock purchase plan (</w:t>
      </w:r>
      <w:r>
        <w:rPr>
          <w:rFonts w:ascii="Times New Roman" w:cs="Times New Roman" w:eastAsia="Times New Roman" w:hAnsi="Times New Roman"/>
          <w:sz w:val="21"/>
          <w:szCs w:val="21"/>
          <w:i w:val="1"/>
          <w:iCs w:val="1"/>
          <w:color w:val="auto"/>
        </w:rPr>
        <w:t>ESPP</w:t>
      </w:r>
      <w:r>
        <w:rPr>
          <w:rFonts w:ascii="Times New Roman" w:cs="Times New Roman" w:eastAsia="Times New Roman" w:hAnsi="Times New Roman"/>
          <w:sz w:val="21"/>
          <w:szCs w:val="21"/>
          <w:color w:val="auto"/>
        </w:rPr>
        <w:t>) resulting from your periodic contribution of money to the plan pursuant to your payroll deduction election. The trading restrictions do apply, however, to elections you may make to (a) begin participation or change participation levels in any ESPP or Company stock fund in the 401(k) plan,</w:t>
      </w:r>
    </w:p>
    <w:p>
      <w:pPr>
        <w:spacing w:after="0" w:line="1" w:lineRule="exact"/>
        <w:rPr>
          <w:rFonts w:ascii="Times New Roman" w:cs="Times New Roman" w:eastAsia="Times New Roman" w:hAnsi="Times New Roman"/>
          <w:sz w:val="18"/>
          <w:szCs w:val="18"/>
          <w:color w:val="auto"/>
        </w:rPr>
      </w:pPr>
    </w:p>
    <w:p>
      <w:pPr>
        <w:ind w:left="660" w:right="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(b) sell any shares purchased under the ESPP, and (c) initiate an intra-plan transfer of an existing account balance into or out of the Company stock fund in the 401(k) plan.</w:t>
      </w:r>
    </w:p>
    <w:p>
      <w:pPr>
        <w:spacing w:after="0" w:line="17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1"/>
          <w:szCs w:val="21"/>
          <w:color w:val="auto"/>
        </w:rPr>
        <w:t>Purchases of Company Securities from the Company or sales of Company Securities to the Company are not subject to this Policy. Likewise, the transfer of Company Securities to a trust’s beneficiary by a Covered Person who serves as a trustee of the trust is not subject to the Policy so long as the trustee does not control the beneficiary and does not give the beneficiary material non-public information about the Company.</w:t>
      </w:r>
    </w:p>
    <w:p>
      <w:pPr>
        <w:spacing w:after="0" w:line="195"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1"/>
          <w:szCs w:val="21"/>
          <w:color w:val="auto"/>
        </w:rPr>
        <w:t>Transactions in mutual funds that hold Company Securities are generally not transactions subject to this Policy. However, transactions in mutual funds may be prohibited under this Policy if a Covered Person becomes aware of material non-public information which might materially affect the value of the mutual fund as a whole.</w:t>
      </w:r>
    </w:p>
    <w:p>
      <w:pPr>
        <w:spacing w:after="0" w:line="18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1"/>
          <w:szCs w:val="21"/>
          <w:color w:val="auto"/>
        </w:rPr>
        <w:t>Covered Persons are expected to use good judgment and contact the Legal Department in advance of a transaction if they have any doubt about whether a transaction is covered by this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Responsibilities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xml:space="preserve"> Subject to the “General Securities Trading Policy” section below, responsibilities of Insiders include the following:</w:t>
      </w:r>
    </w:p>
    <w:p>
      <w:pPr>
        <w:spacing w:after="0" w:line="229" w:lineRule="exact"/>
        <w:rPr>
          <w:sz w:val="20"/>
          <w:szCs w:val="20"/>
          <w:color w:val="auto"/>
        </w:rPr>
      </w:pPr>
    </w:p>
    <w:p>
      <w:pPr>
        <w:ind w:left="660" w:right="500" w:hanging="330"/>
        <w:spacing w:after="0" w:line="278" w:lineRule="auto"/>
        <w:tabs>
          <w:tab w:leader="none" w:pos="655" w:val="left"/>
        </w:tabs>
        <w:numPr>
          <w:ilvl w:val="0"/>
          <w:numId w:val="53"/>
        </w:numPr>
        <w:rPr>
          <w:rFonts w:ascii="Arial" w:cs="Arial" w:eastAsia="Arial" w:hAnsi="Arial"/>
          <w:sz w:val="18"/>
          <w:szCs w:val="18"/>
          <w:color w:val="auto"/>
        </w:rPr>
      </w:pPr>
      <w:r>
        <w:rPr>
          <w:rFonts w:ascii="Times New Roman" w:cs="Times New Roman" w:eastAsia="Times New Roman" w:hAnsi="Times New Roman"/>
          <w:sz w:val="21"/>
          <w:szCs w:val="21"/>
          <w:color w:val="auto"/>
        </w:rPr>
        <w:t>Only engaging in transactions in Company Securities, including purchases, sales and gifts, when the Insider is not in possession of material non-public information concerning the Company.</w:t>
      </w:r>
    </w:p>
    <w:p>
      <w:pPr>
        <w:spacing w:after="0" w:line="166" w:lineRule="exact"/>
        <w:rPr>
          <w:rFonts w:ascii="Arial" w:cs="Arial" w:eastAsia="Arial" w:hAnsi="Arial"/>
          <w:sz w:val="18"/>
          <w:szCs w:val="18"/>
          <w:color w:val="auto"/>
        </w:rPr>
      </w:pPr>
    </w:p>
    <w:p>
      <w:pPr>
        <w:ind w:left="660" w:right="140" w:hanging="330"/>
        <w:spacing w:after="0" w:line="27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To the extent the Insider is a Covered Person, only engaging in transactions in Company Securities, including purchases, sales and gifts, during a Trading Window.</w:t>
      </w:r>
    </w:p>
    <w:p>
      <w:pPr>
        <w:spacing w:after="0" w:line="166" w:lineRule="exact"/>
        <w:rPr>
          <w:rFonts w:ascii="Times New Roman" w:cs="Times New Roman" w:eastAsia="Times New Roman" w:hAnsi="Times New Roman"/>
          <w:sz w:val="18"/>
          <w:szCs w:val="18"/>
          <w:color w:val="auto"/>
        </w:rPr>
      </w:pPr>
    </w:p>
    <w:p>
      <w:pPr>
        <w:ind w:left="660" w:right="100" w:hanging="330"/>
        <w:spacing w:after="0" w:line="27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To the extent the Insider is a member of the Board or Senior Leadership Team, obtaining pre-clearance of all transactions in Company Securities.</w:t>
      </w:r>
    </w:p>
    <w:p>
      <w:pPr>
        <w:spacing w:after="0" w:line="16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Not engaging in any transactions in Company Securities during a special trading blackout period.</w:t>
      </w:r>
    </w:p>
    <w:p>
      <w:pPr>
        <w:spacing w:after="0" w:line="24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Not engaging in certain speculative transactions involving Company Securities described below.</w:t>
      </w:r>
    </w:p>
    <w:p>
      <w:pPr>
        <w:spacing w:after="0" w:line="242"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Not recommending that others engage in transactions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320" w:top="1398" w:right="419" w:bottom="1440" w:gutter="0" w:footer="0" w:header="0"/>
        </w:sectPr>
      </w:pPr>
    </w:p>
    <w:bookmarkStart w:id="117" w:name="page118"/>
    <w:bookmarkEnd w:id="117"/>
    <w:p>
      <w:pPr>
        <w:ind w:left="660" w:right="380" w:hanging="330"/>
        <w:spacing w:after="0" w:line="27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Consulting with the Legal Department for guidance regarding the material or non-public nature of any information the Insider possesses prior to engaging in any transaction involving any Company Securities.</w:t>
      </w:r>
    </w:p>
    <w:p>
      <w:pPr>
        <w:spacing w:after="0" w:line="166" w:lineRule="exact"/>
        <w:rPr>
          <w:rFonts w:ascii="Times New Roman" w:cs="Times New Roman" w:eastAsia="Times New Roman" w:hAnsi="Times New Roman"/>
          <w:sz w:val="18"/>
          <w:szCs w:val="18"/>
          <w:color w:val="auto"/>
        </w:rPr>
      </w:pPr>
    </w:p>
    <w:p>
      <w:pPr>
        <w:ind w:left="660" w:right="740" w:hanging="330"/>
        <w:spacing w:after="0" w:line="27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Protecting the confidence of Company information and not disclosing material non-public information to others in violation of this Policy or engaging in unauthorized communications on behalf of or concerning the Company.</w:t>
      </w:r>
    </w:p>
    <w:p>
      <w:pPr>
        <w:spacing w:after="0" w:line="166" w:lineRule="exact"/>
        <w:rPr>
          <w:rFonts w:ascii="Times New Roman" w:cs="Times New Roman" w:eastAsia="Times New Roman" w:hAnsi="Times New Roman"/>
          <w:sz w:val="18"/>
          <w:szCs w:val="18"/>
          <w:color w:val="auto"/>
        </w:rPr>
      </w:pPr>
    </w:p>
    <w:p>
      <w:pPr>
        <w:ind w:left="660" w:right="220" w:hanging="330"/>
        <w:spacing w:after="0" w:line="248"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Not engaging in transactions involving another public company’s securities when the Insider is in possession of material non-public information concerning such other company that was learned in the course of in the course of the Insider’s employment or other relationship with LendingTree and such other company is a company (i) with which LendingTree does business or (ii) that is involved in a potential transaction or business relationship with LendingTree.</w:t>
      </w:r>
    </w:p>
    <w:p>
      <w:pPr>
        <w:spacing w:after="0" w:line="197" w:lineRule="exact"/>
        <w:rPr>
          <w:rFonts w:ascii="Times New Roman" w:cs="Times New Roman" w:eastAsia="Times New Roman" w:hAnsi="Times New Roman"/>
          <w:sz w:val="18"/>
          <w:szCs w:val="18"/>
          <w:color w:val="auto"/>
        </w:rPr>
      </w:pPr>
    </w:p>
    <w:p>
      <w:pPr>
        <w:ind w:left="660" w:right="220" w:hanging="330"/>
        <w:spacing w:after="0" w:line="249"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Ensuring that the Insider’s Related Parties comply with this Policy because transactions by the Insider’s Related Parties will be treated as transactions of the Insider for purposes of this Policy. This Policy does not, however, apply to personal securities transactions of Family Members where the decision to purchase, sell or otherwise dispose of Company Securities is made by a third party not controlled by, influenced by or related to the Insider or the Insider’s Family Members.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color w:val="auto"/>
        </w:rPr>
        <w:t>In all cases, the responsibility for determining whether an individual is in possession of material non-public information rests with that individual, and any action on the part of the Company, the Legal Department or any other employee or director pursuant to this Policy (or otherwise) does not in any way constitute legal advice or insulate an individual from liability under applicable securities laws.</w:t>
      </w:r>
    </w:p>
    <w:p>
      <w:pPr>
        <w:spacing w:after="0" w:line="182"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1"/>
          <w:szCs w:val="21"/>
          <w:color w:val="auto"/>
        </w:rPr>
        <w:t>B. Legal Department. The Legal Department shall be responsible for administering and interpreting this Policy and has the authority to enforce compliance with all Policy provisions and procedures. All determinations and interpretations by the Legal Department shall be final and not subject to further review.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 Securities Trading Policy</w:t>
      </w:r>
    </w:p>
    <w:p>
      <w:pPr>
        <w:spacing w:after="0" w:line="246" w:lineRule="exact"/>
        <w:rPr>
          <w:sz w:val="20"/>
          <w:szCs w:val="20"/>
          <w:color w:val="auto"/>
        </w:rPr>
      </w:pPr>
    </w:p>
    <w:p>
      <w:pPr>
        <w:ind w:left="660" w:right="100" w:hanging="653"/>
        <w:spacing w:after="0" w:line="247" w:lineRule="auto"/>
        <w:tabs>
          <w:tab w:leader="none" w:pos="65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Policy.</w:t>
      </w:r>
      <w:r>
        <w:rPr>
          <w:rFonts w:ascii="Times New Roman" w:cs="Times New Roman" w:eastAsia="Times New Roman" w:hAnsi="Times New Roman"/>
          <w:sz w:val="21"/>
          <w:szCs w:val="21"/>
          <w:color w:val="auto"/>
        </w:rPr>
        <w:t xml:space="preserve"> Any Insider who is aware of material non-public information concerning the Company may not engage in any transactions involving Company Securities, including any purchase, sale or gift or any offer to purchase or offer to sell, directly or indirectly through Related Parties or other intermediaries, except as otherwise specified in the “Transactions Not Covered” section of this Policy. It does not matter if there is an independent, justifiable reason for the transaction, or if the Trading Window is open. Rather, if an Insider is in possession of material non-public information concerning the Company, the prohibition on engaging in transactions in Company Securities applies.</w:t>
      </w:r>
    </w:p>
    <w:p>
      <w:pPr>
        <w:spacing w:after="0" w:line="201" w:lineRule="exact"/>
        <w:rPr>
          <w:rFonts w:ascii="Times New Roman" w:cs="Times New Roman" w:eastAsia="Times New Roman" w:hAnsi="Times New Roman"/>
          <w:sz w:val="21"/>
          <w:szCs w:val="21"/>
          <w:color w:val="auto"/>
        </w:rPr>
      </w:pPr>
    </w:p>
    <w:p>
      <w:pPr>
        <w:ind w:left="66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Persons and their Related Parties may not engage in transactions involving Company Securities unless it is during an open Trading Window, except as otherwise specified in the “Transactions Not Covered” section of this Policy. Unless otherwise determined by the Legal Department, the Trading Window opens quarterly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02" w:right="359" w:bottom="1440" w:gutter="0" w:footer="0" w:header="0"/>
        </w:sectPr>
      </w:pPr>
    </w:p>
    <w:bookmarkStart w:id="118" w:name="page119"/>
    <w:bookmarkEnd w:id="118"/>
    <w:p>
      <w:pPr>
        <w:ind w:left="653"/>
        <w:spacing w:after="0" w:line="244" w:lineRule="auto"/>
        <w:rPr>
          <w:sz w:val="20"/>
          <w:szCs w:val="20"/>
          <w:color w:val="auto"/>
        </w:rPr>
      </w:pPr>
      <w:r>
        <w:rPr>
          <w:rFonts w:ascii="Times New Roman" w:cs="Times New Roman" w:eastAsia="Times New Roman" w:hAnsi="Times New Roman"/>
          <w:sz w:val="21"/>
          <w:szCs w:val="21"/>
          <w:color w:val="auto"/>
        </w:rPr>
        <w:t>following the close of market on the second (2</w:t>
      </w:r>
      <w:r>
        <w:rPr>
          <w:rFonts w:ascii="Times New Roman" w:cs="Times New Roman" w:eastAsia="Times New Roman" w:hAnsi="Times New Roman"/>
          <w:sz w:val="11"/>
          <w:szCs w:val="11"/>
          <w:color w:val="auto"/>
        </w:rPr>
        <w:t>nd</w:t>
      </w:r>
      <w:r>
        <w:rPr>
          <w:rFonts w:ascii="Times New Roman" w:cs="Times New Roman" w:eastAsia="Times New Roman" w:hAnsi="Times New Roman"/>
          <w:sz w:val="21"/>
          <w:szCs w:val="21"/>
          <w:color w:val="auto"/>
        </w:rPr>
        <w:t>) full trading day following the Company’s widespread public release of its material financial results for the preceding fiscal quarter or year and closes immediately following the close of market on the fifteenth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day of the third month of each fiscal quarter. Covered Persons are responsible for knowing when a Trading Window begins and ends, regardless of whether the Company typically notifies Covered Persons of Trading Window periods. Even during an open Trading Window, any Covered Person possessing material non-public information concerning the Company must not engage in any transactions in Company Securities until such information has been known publicly for at least two full trading days or is no longer material in nature.</w:t>
      </w:r>
    </w:p>
    <w:p>
      <w:pPr>
        <w:spacing w:after="0" w:line="203" w:lineRule="exact"/>
        <w:rPr>
          <w:sz w:val="20"/>
          <w:szCs w:val="20"/>
          <w:color w:val="auto"/>
        </w:rPr>
      </w:pPr>
    </w:p>
    <w:p>
      <w:pPr>
        <w:ind w:left="493" w:hanging="493"/>
        <w:spacing w:after="0" w:line="245" w:lineRule="auto"/>
        <w:tabs>
          <w:tab w:leader="none" w:pos="48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Tipping.</w:t>
      </w:r>
      <w:r>
        <w:rPr>
          <w:rFonts w:ascii="Times New Roman" w:cs="Times New Roman" w:eastAsia="Times New Roman" w:hAnsi="Times New Roman"/>
          <w:sz w:val="21"/>
          <w:szCs w:val="21"/>
          <w:color w:val="auto"/>
        </w:rPr>
        <w:t xml:space="preserve"> An Insider may not recommend the purchase or sale of any Company Securities, or pass on to any other person (including Family Members) any material non-public information concerning the Company, whether or not the Insider has any information regarding such person’s intention to engage in any transaction involving Company Securities, except in accordance with the Company's policies regarding the protection or authorized external disclosure of information regarding the Company. It is important to note that the Insider need not receive a financial benefit in order to be found liable for insider trading. The SEC has imposed large penalties even when the disclosing person did not profit from the trading. Even if an Insider is not in possession of material non-public information, he or she should not recommend to any other person that they buy or sell Company Securities. If an Insider receives inquiries about the Company from securities analysts, reporters or investors, decline comment and direct them to the Legal Department.</w:t>
      </w:r>
    </w:p>
    <w:p>
      <w:pPr>
        <w:spacing w:after="0" w:line="199" w:lineRule="exact"/>
        <w:rPr>
          <w:rFonts w:ascii="Times New Roman" w:cs="Times New Roman" w:eastAsia="Times New Roman" w:hAnsi="Times New Roman"/>
          <w:sz w:val="21"/>
          <w:szCs w:val="21"/>
          <w:color w:val="auto"/>
        </w:rPr>
      </w:pPr>
    </w:p>
    <w:p>
      <w:pPr>
        <w:ind w:left="493" w:right="20" w:hanging="493"/>
        <w:spacing w:after="0" w:line="242" w:lineRule="auto"/>
        <w:tabs>
          <w:tab w:leader="none" w:pos="48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Blackout Periods</w:t>
      </w:r>
      <w:r>
        <w:rPr>
          <w:rFonts w:ascii="Times New Roman" w:cs="Times New Roman" w:eastAsia="Times New Roman" w:hAnsi="Times New Roman"/>
          <w:sz w:val="21"/>
          <w:szCs w:val="21"/>
          <w:color w:val="auto"/>
        </w:rPr>
        <w:t>. The Company may from time to time impose a special trading blackout on a select group of Insiders or all Insiders (e.g., if there is an event or other development that is or may be material non-public information). Insiders who are informed that they are subject to a special trading blackout may not (and their Related Parties may not) engage in any transactions involving Company Securities during the special blackout period. A special trading blackout period may result in the Trading Window not being opened or being closed early and therefore not available for transactions in Company Securities. In addition, the Company may impose a special trading blackout on Insiders who are not subject to Trading Window periods. Special trading blackout periods may be imposed for varying groups of Insiders, at the discretion of the Legal Department. Insiders may be informed that a special trading blackout period applies to them without being informed of the reason for the restriction. The existence of a special trading blackout period generally will not be announced to the Company as a whole and Insiders should not communicate it to any other person. Insiders who are subject to a special trading blackout will be notified when the blackout period ends.</w:t>
      </w:r>
    </w:p>
    <w:p>
      <w:pPr>
        <w:spacing w:after="0" w:line="197" w:lineRule="exact"/>
        <w:rPr>
          <w:rFonts w:ascii="Times New Roman" w:cs="Times New Roman" w:eastAsia="Times New Roman" w:hAnsi="Times New Roman"/>
          <w:sz w:val="21"/>
          <w:szCs w:val="21"/>
          <w:color w:val="auto"/>
        </w:rPr>
      </w:pPr>
    </w:p>
    <w:p>
      <w:pPr>
        <w:ind w:left="493" w:right="60" w:hanging="493"/>
        <w:spacing w:after="0" w:line="249" w:lineRule="auto"/>
        <w:tabs>
          <w:tab w:leader="none" w:pos="48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w:t>
      </w:r>
      <w:r>
        <w:rPr>
          <w:rFonts w:ascii="Times New Roman" w:cs="Times New Roman" w:eastAsia="Times New Roman" w:hAnsi="Times New Roman"/>
          <w:sz w:val="21"/>
          <w:szCs w:val="21"/>
          <w:color w:val="auto"/>
        </w:rPr>
        <w:t xml:space="preserve"> All members of the Board and Senior Leadership Team must obtain pre-clearance of any and all transactions in Company Securities (including all purchases, sales, gifts, option exercises and 401(k) plan transactions) by such persons and their Related Parties (subject to the exceptions described in the “Transactions Not Covered” section of this Policy). In addition, from time to time, the Legal Department may designate other Insiders as subject to this pre-clearance requirement. Each such Insider will be notified of such designation, and the Legal Department will maintain a record of Insiders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13"/>
          </w:cols>
          <w:pgMar w:left="327" w:top="1402" w:right="359" w:bottom="1440" w:gutter="0" w:footer="0" w:header="0"/>
        </w:sectPr>
      </w:pPr>
    </w:p>
    <w:bookmarkStart w:id="119" w:name="page120"/>
    <w:bookmarkEnd w:id="119"/>
    <w:p>
      <w:pPr>
        <w:ind w:left="500" w:right="260"/>
        <w:spacing w:after="0" w:line="278" w:lineRule="auto"/>
        <w:rPr>
          <w:sz w:val="20"/>
          <w:szCs w:val="20"/>
          <w:color w:val="auto"/>
        </w:rPr>
      </w:pPr>
      <w:r>
        <w:rPr>
          <w:rFonts w:ascii="Times New Roman" w:cs="Times New Roman" w:eastAsia="Times New Roman" w:hAnsi="Times New Roman"/>
          <w:sz w:val="21"/>
          <w:szCs w:val="21"/>
          <w:color w:val="auto"/>
        </w:rPr>
        <w:t>subject to this pre-clearance requirement. This pre-clearance requirement applies even to transactions involving Company Securities that occur during an open Trading Window.</w:t>
      </w:r>
    </w:p>
    <w:p>
      <w:pPr>
        <w:spacing w:after="0" w:line="166" w:lineRule="exact"/>
        <w:rPr>
          <w:sz w:val="20"/>
          <w:szCs w:val="20"/>
          <w:color w:val="auto"/>
        </w:rPr>
      </w:pPr>
    </w:p>
    <w:p>
      <w:pPr>
        <w:ind w:left="500"/>
        <w:spacing w:after="0" w:line="242" w:lineRule="auto"/>
        <w:rPr>
          <w:sz w:val="20"/>
          <w:szCs w:val="20"/>
          <w:color w:val="auto"/>
        </w:rPr>
      </w:pPr>
      <w:r>
        <w:rPr>
          <w:rFonts w:ascii="Times New Roman" w:cs="Times New Roman" w:eastAsia="Times New Roman" w:hAnsi="Times New Roman"/>
          <w:sz w:val="21"/>
          <w:szCs w:val="21"/>
          <w:color w:val="auto"/>
        </w:rPr>
        <w:t xml:space="preserve">A request for pre-clearance should be submitted to the Legal Department at least three (3) business days prior to the proposed transaction in Company Securities. The request should be made in writing using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to this Policy or in such other manner as permitted by the Legal Department. If the pre-clearance request is approved, unless otherwise stated in the written approval (which may be by email), the approval will be valid only until the close of market on the fifth calendar day following the date of approval and only on the terms indicated in such approval (which may not be the same terms as the terms originally proposed by the requesting person). Approval of a transaction may be cancelled at any time (e.g., in the event of a special trading blackout period). After the two (2) day period or the time limit otherwise stated in the written approval, or upon cancellation of a prior approval, transactions are again subject to these pre-clearance procedures. When a request for pre-clearance is made, the requesting person should carefully consider whether he or she may be aware of any material non-public information concerning the Company, and should describe fully those circumstances to the Legal Department. The requesting person should also indicate whether he or she has effected any non-exempt “opposite-way” transactions within the past six months, and should be prepared to report the proposed transaction on an appropriate Form 4 or Form 5. A requesting person should also be prepared to comply with SEC Rule 144 and file a Form 144, if necessary, concurrently with either the placing of an order with a broker to execute the sale or the execution of a sale directly with a market maker.</w:t>
      </w:r>
    </w:p>
    <w:p>
      <w:pPr>
        <w:spacing w:after="0" w:line="200" w:lineRule="exact"/>
        <w:rPr>
          <w:sz w:val="20"/>
          <w:szCs w:val="20"/>
          <w:color w:val="auto"/>
        </w:rPr>
      </w:pPr>
    </w:p>
    <w:p>
      <w:pPr>
        <w:spacing w:after="0" w:line="234" w:lineRule="exact"/>
        <w:rPr>
          <w:sz w:val="20"/>
          <w:szCs w:val="20"/>
          <w:color w:val="auto"/>
        </w:rPr>
      </w:pPr>
    </w:p>
    <w:p>
      <w:pPr>
        <w:ind w:left="500" w:right="160"/>
        <w:spacing w:after="0" w:line="259" w:lineRule="auto"/>
        <w:rPr>
          <w:sz w:val="20"/>
          <w:szCs w:val="20"/>
          <w:color w:val="auto"/>
        </w:rPr>
      </w:pPr>
      <w:r>
        <w:rPr>
          <w:rFonts w:ascii="Times New Roman" w:cs="Times New Roman" w:eastAsia="Times New Roman" w:hAnsi="Times New Roman"/>
          <w:sz w:val="21"/>
          <w:szCs w:val="21"/>
          <w:color w:val="auto"/>
        </w:rPr>
        <w:t>The Legal Department is under no obligation to approve a proposed transaction, and may determine not to permit the transaction. If a person seeks pre-clearance and the proposed transaction is not approved, then the person must refrain from initiating any transaction in Company Securities, and should not inform any other person of the restriction.</w:t>
      </w:r>
    </w:p>
    <w:p>
      <w:pPr>
        <w:spacing w:after="0" w:line="186" w:lineRule="exact"/>
        <w:rPr>
          <w:sz w:val="20"/>
          <w:szCs w:val="20"/>
          <w:color w:val="auto"/>
        </w:rPr>
      </w:pPr>
    </w:p>
    <w:p>
      <w:pPr>
        <w:ind w:left="500" w:right="80" w:hanging="493"/>
        <w:spacing w:after="0" w:line="252" w:lineRule="auto"/>
        <w:tabs>
          <w:tab w:leader="none" w:pos="49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Electronic Posting of Confidential Information</w:t>
      </w:r>
      <w:r>
        <w:rPr>
          <w:rFonts w:ascii="Times New Roman" w:cs="Times New Roman" w:eastAsia="Times New Roman" w:hAnsi="Times New Roman"/>
          <w:sz w:val="21"/>
          <w:szCs w:val="21"/>
          <w:color w:val="auto"/>
        </w:rPr>
        <w:t>. Insiders are prohibited from posting confidential information relating to the Company, including but not limited to material non-public information, in internet chat rooms, on online message boards, on social media and social networking websites or through the use of any other form of electronic communication.</w:t>
      </w:r>
    </w:p>
    <w:p>
      <w:pPr>
        <w:spacing w:after="0" w:line="191" w:lineRule="exact"/>
        <w:rPr>
          <w:rFonts w:ascii="Times New Roman" w:cs="Times New Roman" w:eastAsia="Times New Roman" w:hAnsi="Times New Roman"/>
          <w:sz w:val="21"/>
          <w:szCs w:val="21"/>
          <w:color w:val="auto"/>
        </w:rPr>
      </w:pPr>
    </w:p>
    <w:p>
      <w:pPr>
        <w:ind w:left="500" w:right="140"/>
        <w:spacing w:after="0" w:line="28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 information relating to LendingTree is the property of LendingTree and the unauthorized disclosure of such information is a serious violation of company policy.</w:t>
      </w:r>
    </w:p>
    <w:p>
      <w:pPr>
        <w:spacing w:after="0" w:line="162" w:lineRule="exact"/>
        <w:rPr>
          <w:rFonts w:ascii="Times New Roman" w:cs="Times New Roman" w:eastAsia="Times New Roman" w:hAnsi="Times New Roman"/>
          <w:sz w:val="21"/>
          <w:szCs w:val="21"/>
          <w:color w:val="auto"/>
        </w:rPr>
      </w:pPr>
    </w:p>
    <w:p>
      <w:pPr>
        <w:ind w:left="500" w:right="120" w:hanging="493"/>
        <w:spacing w:after="0" w:line="244" w:lineRule="auto"/>
        <w:tabs>
          <w:tab w:leader="none" w:pos="48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Short-Term Trading</w:t>
      </w:r>
      <w:r>
        <w:rPr>
          <w:rFonts w:ascii="Times New Roman" w:cs="Times New Roman" w:eastAsia="Times New Roman" w:hAnsi="Times New Roman"/>
          <w:sz w:val="21"/>
          <w:szCs w:val="21"/>
          <w:color w:val="auto"/>
        </w:rPr>
        <w:t>. Short-term trading of Company Securities may unduly focus a person on the Company’s short-term stock market performance instead of the Company’s long-term business objectives, potentially creating misalignment of personal interests and those of the Company. For these reasons, any director, officer or other employee of the Company (or their Related Parties) who purchases Company Securities in the open market may not sell any Company Securities of the same class during the six months following the purchase (or vice versa) unless pre-cleared in accordance with the procedures set forth above. Section 16(b) under the Exchange Act prohibits Section 16 Reporting Persons from engaging in short-term trading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2" w:right="339" w:bottom="1440" w:gutter="0" w:footer="0" w:header="0"/>
        </w:sectPr>
      </w:pPr>
    </w:p>
    <w:bookmarkStart w:id="120" w:name="page121"/>
    <w:bookmarkEnd w:id="120"/>
    <w:p>
      <w:pPr>
        <w:ind w:left="493" w:hanging="493"/>
        <w:spacing w:after="0" w:line="244" w:lineRule="auto"/>
        <w:tabs>
          <w:tab w:leader="none" w:pos="48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Short Sales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Short sales of Company Securities (i.e., the sale of a security that the seller does not own) may evidence an expectation on the part of the seller that the securities will decline in value. These transactions therefore have the potential to signal to the market that the seller lacks confidence in the Company's prospects and to reduce the seller's incentive to seek to improve the Company's performance. For these reasons, short sales of Company Securities are prohibited under this Policy unless part of an approved hedging transaction (see “</w:t>
      </w:r>
      <w:r>
        <w:rPr>
          <w:rFonts w:ascii="Times New Roman" w:cs="Times New Roman" w:eastAsia="Times New Roman" w:hAnsi="Times New Roman"/>
          <w:sz w:val="21"/>
          <w:szCs w:val="21"/>
          <w:i w:val="1"/>
          <w:iCs w:val="1"/>
          <w:color w:val="auto"/>
        </w:rPr>
        <w:t>Hedging Transactions</w:t>
      </w:r>
      <w:r>
        <w:rPr>
          <w:rFonts w:ascii="Times New Roman" w:cs="Times New Roman" w:eastAsia="Times New Roman" w:hAnsi="Times New Roman"/>
          <w:sz w:val="21"/>
          <w:szCs w:val="21"/>
          <w:color w:val="auto"/>
        </w:rPr>
        <w:t xml:space="preserve">” below). In addition, Section 16(c) of the Securities Exchange Act of 1934, as amended (the </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 prohibits officers and directors from engaging in short sales. Short sales arising from certain types of hedging transactions are governed by the paragraph below captioned “</w:t>
      </w:r>
      <w:r>
        <w:rPr>
          <w:rFonts w:ascii="Times New Roman" w:cs="Times New Roman" w:eastAsia="Times New Roman" w:hAnsi="Times New Roman"/>
          <w:sz w:val="21"/>
          <w:szCs w:val="21"/>
          <w:i w:val="1"/>
          <w:iCs w:val="1"/>
          <w:color w:val="auto"/>
        </w:rPr>
        <w:t>Hedging Transactions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493" w:right="100" w:hanging="493"/>
        <w:spacing w:after="0" w:line="249" w:lineRule="auto"/>
        <w:tabs>
          <w:tab w:leader="none" w:pos="48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Publicly-Traded Options</w:t>
      </w:r>
      <w:r>
        <w:rPr>
          <w:rFonts w:ascii="Times New Roman" w:cs="Times New Roman" w:eastAsia="Times New Roman" w:hAnsi="Times New Roman"/>
          <w:sz w:val="21"/>
          <w:szCs w:val="21"/>
          <w:color w:val="auto"/>
        </w:rPr>
        <w:t>. Given the relatively short term of publicly-traded options, transactions in options may create the appearance that a Covered Person is trading based on material non-public information and focus a Covered Person’s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98" w:lineRule="exact"/>
        <w:rPr>
          <w:rFonts w:ascii="Times New Roman" w:cs="Times New Roman" w:eastAsia="Times New Roman" w:hAnsi="Times New Roman"/>
          <w:sz w:val="21"/>
          <w:szCs w:val="21"/>
          <w:color w:val="auto"/>
        </w:rPr>
      </w:pPr>
    </w:p>
    <w:p>
      <w:pPr>
        <w:ind w:left="493" w:hanging="493"/>
        <w:spacing w:after="0" w:line="243" w:lineRule="auto"/>
        <w:tabs>
          <w:tab w:leader="none" w:pos="4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 Hedging or monetization transactions can be accomplished through a number of possible mechanisms, including financial instruments such as prepaid variable forwards, equity swaps, collars and exchange funds. Such hedging transactions may permit a Covered Person to continue to own Company Securities obtained through employee benefit plans or otherwise, but without the full risks and rewards of ownership. When that occurs, the Covered Person may no longer have the same objectives as the Company's other shareholders. Therefore, the Company strongly discourages you from engaging in such transactions. Any person wishing to enter into such an arrangement must first submit the proposed transaction for approval by the Legal Department. Any request for preclearance of a hedging or similar arrangement must be submitted to the Legal Department at least two weeks prior to the proposed execution of documents evidencing the proposed transaction and must set forth a justification for the proposed transaction. The Legal Department may accept, reject or condition such transaction in its sole discretion.</w:t>
      </w:r>
    </w:p>
    <w:p>
      <w:pPr>
        <w:spacing w:after="0" w:line="202" w:lineRule="exact"/>
        <w:rPr>
          <w:rFonts w:ascii="Times New Roman" w:cs="Times New Roman" w:eastAsia="Times New Roman" w:hAnsi="Times New Roman"/>
          <w:sz w:val="21"/>
          <w:szCs w:val="21"/>
          <w:color w:val="auto"/>
        </w:rPr>
      </w:pPr>
    </w:p>
    <w:p>
      <w:pPr>
        <w:ind w:left="493" w:hanging="493"/>
        <w:spacing w:after="0" w:line="243" w:lineRule="auto"/>
        <w:tabs>
          <w:tab w:leader="none" w:pos="48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Margin Accounts and Pledges.</w:t>
      </w:r>
      <w:r>
        <w:rPr>
          <w:rFonts w:ascii="Times New Roman" w:cs="Times New Roman" w:eastAsia="Times New Roman" w:hAnsi="Times New Roman"/>
          <w:sz w:val="21"/>
          <w:szCs w:val="21"/>
          <w:color w:val="auto"/>
        </w:rPr>
        <w:t xml:space="preserve"> Securities held in a margin account may be sold by the broker without the customer’s consent if the customer fails to meet a margin call. Similarly, securities pledged as collateral for a loan may be sold in foreclosure if the borrower defaults on the loan or, in many instances, if the value of the collateral declines. Because a margin sale or foreclosure sale may occur at a time when the pledgor is aware of material non-public information regarding the Company or otherwise is not permitted to trade in Company Securities, Covered Persons are prohibited from holding Company Securities in a margin account or pledging such securities as collateral for a loan. An exception to this prohibition may be permitted in certain limited circumstances with the advance written approval of the Legal Department. The Legal Department may accept, reject or condition such transaction in its sole discretion.</w:t>
      </w:r>
    </w:p>
    <w:p>
      <w:pPr>
        <w:spacing w:after="0" w:line="207" w:lineRule="exact"/>
        <w:rPr>
          <w:rFonts w:ascii="Times New Roman" w:cs="Times New Roman" w:eastAsia="Times New Roman" w:hAnsi="Times New Roman"/>
          <w:sz w:val="21"/>
          <w:szCs w:val="21"/>
          <w:color w:val="auto"/>
        </w:rPr>
      </w:pPr>
    </w:p>
    <w:p>
      <w:pPr>
        <w:ind w:left="493" w:right="160" w:hanging="493"/>
        <w:spacing w:after="0" w:line="259" w:lineRule="auto"/>
        <w:tabs>
          <w:tab w:leader="none" w:pos="48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Standing and Limit Orders</w:t>
      </w:r>
      <w:r>
        <w:rPr>
          <w:rFonts w:ascii="Times New Roman" w:cs="Times New Roman" w:eastAsia="Times New Roman" w:hAnsi="Times New Roman"/>
          <w:sz w:val="21"/>
          <w:szCs w:val="21"/>
          <w:color w:val="auto"/>
        </w:rPr>
        <w:t>. Standing and limit orders (except standing and limit orders under approved Rule 10b5-1 Plans) create heightened risks for insider trading violations similar to the use of margin accounts. There is no control over the timing of purchases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13"/>
          </w:cols>
          <w:pgMar w:left="327" w:top="1398" w:right="359" w:bottom="1440" w:gutter="0" w:footer="0" w:header="0"/>
        </w:sectPr>
      </w:pPr>
    </w:p>
    <w:bookmarkStart w:id="121" w:name="page122"/>
    <w:bookmarkEnd w:id="121"/>
    <w:p>
      <w:pPr>
        <w:ind w:left="500" w:right="20"/>
        <w:spacing w:after="0" w:line="247" w:lineRule="auto"/>
        <w:rPr>
          <w:sz w:val="20"/>
          <w:szCs w:val="20"/>
          <w:color w:val="auto"/>
        </w:rPr>
      </w:pPr>
      <w:r>
        <w:rPr>
          <w:rFonts w:ascii="Times New Roman" w:cs="Times New Roman" w:eastAsia="Times New Roman" w:hAnsi="Times New Roman"/>
          <w:sz w:val="21"/>
          <w:szCs w:val="21"/>
          <w:color w:val="auto"/>
        </w:rPr>
        <w:t>sales that result from standing instructions to a broker, and as a result the broker could execute a transaction when a Covered Person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under the heading “</w:t>
      </w:r>
      <w:r>
        <w:rPr>
          <w:rFonts w:ascii="Times New Roman" w:cs="Times New Roman" w:eastAsia="Times New Roman" w:hAnsi="Times New Roman"/>
          <w:sz w:val="21"/>
          <w:szCs w:val="21"/>
          <w:i w:val="1"/>
          <w:iCs w:val="1"/>
          <w:color w:val="auto"/>
        </w:rPr>
        <w:t>General Securities Trading Policy</w:t>
      </w:r>
      <w:r>
        <w:rPr>
          <w:rFonts w:ascii="Times New Roman" w:cs="Times New Roman" w:eastAsia="Times New Roman" w:hAnsi="Times New Roman"/>
          <w:sz w:val="21"/>
          <w:szCs w:val="21"/>
          <w:color w:val="auto"/>
        </w:rPr>
        <w:t>” and with any applicable written permission to trade from the Legal Department provided to the Covered Person.</w:t>
      </w:r>
    </w:p>
    <w:p>
      <w:pPr>
        <w:spacing w:after="0" w:line="188" w:lineRule="exact"/>
        <w:rPr>
          <w:sz w:val="20"/>
          <w:szCs w:val="20"/>
          <w:color w:val="auto"/>
        </w:rPr>
      </w:pPr>
    </w:p>
    <w:p>
      <w:pPr>
        <w:ind w:left="500" w:hanging="493"/>
        <w:spacing w:after="0" w:line="245" w:lineRule="auto"/>
        <w:tabs>
          <w:tab w:leader="none" w:pos="49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Restrictions.</w:t>
      </w:r>
      <w:r>
        <w:rPr>
          <w:rFonts w:ascii="Times New Roman" w:cs="Times New Roman" w:eastAsia="Times New Roman" w:hAnsi="Times New Roman"/>
          <w:sz w:val="21"/>
          <w:szCs w:val="21"/>
          <w:color w:val="auto"/>
        </w:rPr>
        <w:t xml:space="preserve"> The trading prohibitions and restrictions set forth in this Policy will be superseded by any greater contractual restrictions on transactions in Company Securities (e.g., lock-up agreements or 401(k) plan blackout periods) or any greater prohibitions or restrictions prescribed by federal or state securities laws and regulations. Section 16 Reporting Persons should take care (i) not to violate the prohibition on short-swing trading (Exchange Act Section 16(b)), the rules against short sales (Exchange Act Section 16(c)), and the restrictions on sales of restricted and control securities under SEC Rule 144 and (ii) to file all required reports (Forms 3, 4, 5 and 144 and, in certain cases, Schedules 13D and 13G). Section 16 Reporting Persons should be aware that a Form 4 is due before the end of the second business day following the day on which a reportable transaction occurs and a Form 144 is due concurrently with either the placing of an order with a broker to execute the sale or the execution of a sale directly with a market maker.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Transactions by Family Members and Others</w:t>
      </w:r>
    </w:p>
    <w:p>
      <w:pPr>
        <w:spacing w:after="0" w:line="24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1"/>
          <w:szCs w:val="21"/>
          <w:color w:val="auto"/>
        </w:rPr>
        <w:t>The Policy applies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Questions as to which persons are subject to the restrictions of the Policy should be directed to the Legal Department.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Transactions by Entities that You Influence or Control</w:t>
      </w:r>
    </w:p>
    <w:p>
      <w:pPr>
        <w:spacing w:after="0" w:line="246"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1"/>
          <w:szCs w:val="21"/>
          <w:color w:val="auto"/>
        </w:rPr>
        <w:t xml:space="preserve">This Policy applies to any entities whose transactions in Company Securities are influenced or controlled by an Insider, including corporations, partnerships or trusts (collectively, </w:t>
      </w:r>
      <w:r>
        <w:rPr>
          <w:rFonts w:ascii="Times New Roman" w:cs="Times New Roman" w:eastAsia="Times New Roman" w:hAnsi="Times New Roman"/>
          <w:sz w:val="21"/>
          <w:szCs w:val="21"/>
          <w:i w:val="1"/>
          <w:iCs w:val="1"/>
          <w:color w:val="auto"/>
        </w:rPr>
        <w:t>Controlled Entities</w:t>
      </w:r>
      <w:r>
        <w:rPr>
          <w:rFonts w:ascii="Times New Roman" w:cs="Times New Roman" w:eastAsia="Times New Roman" w:hAnsi="Times New Roman"/>
          <w:sz w:val="21"/>
          <w:szCs w:val="21"/>
          <w:color w:val="auto"/>
        </w:rPr>
        <w:t>). Transactions by these Controlled Entities will be treated for the purposes of the Policy and applicable securities laws as if they are for the account of the affiliated Insider.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Post-Termination Transactions</w:t>
      </w:r>
    </w:p>
    <w:p>
      <w:pPr>
        <w:spacing w:after="0" w:line="246" w:lineRule="exact"/>
        <w:rPr>
          <w:sz w:val="20"/>
          <w:szCs w:val="20"/>
          <w:color w:val="auto"/>
        </w:rPr>
      </w:pPr>
    </w:p>
    <w:p>
      <w:pPr>
        <w:jc w:val="both"/>
        <w:ind w:right="680"/>
        <w:spacing w:after="0" w:line="250" w:lineRule="exact"/>
        <w:rPr>
          <w:sz w:val="20"/>
          <w:szCs w:val="20"/>
          <w:color w:val="auto"/>
        </w:rPr>
      </w:pPr>
      <w:r>
        <w:rPr>
          <w:rFonts w:ascii="Times New Roman" w:cs="Times New Roman" w:eastAsia="Times New Roman" w:hAnsi="Times New Roman"/>
          <w:sz w:val="21"/>
          <w:szCs w:val="21"/>
          <w:color w:val="auto"/>
        </w:rPr>
        <w:t>Upon your termination of service with the Company, an Insider continues to be subject to this Policy, as well as applicable securities laws, for so long as such person is aware of material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public information. Insiders also remain subject to the Company’s policies regarding the safeguarding of confidential information.</w:t>
      </w:r>
    </w:p>
    <w:p>
      <w:pPr>
        <w:spacing w:after="0" w:line="20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1"/>
          <w:szCs w:val="21"/>
          <w:color w:val="auto"/>
        </w:rPr>
        <w:t>If a Covered Person’s relationship with the Company terminates during a closed trading window, such Covered Person will continue to be subject to this Policy, and specifically to the ongoing prohibition against trading, until the commencement of the next open trading window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402" w:right="359" w:bottom="1440" w:gutter="0" w:footer="0" w:header="0"/>
        </w:sectPr>
      </w:pPr>
    </w:p>
    <w:bookmarkStart w:id="122" w:name="page123"/>
    <w:bookmarkEnd w:id="122"/>
    <w:p>
      <w:pPr>
        <w:ind w:right="260"/>
        <w:spacing w:after="0" w:line="259" w:lineRule="auto"/>
        <w:rPr>
          <w:sz w:val="20"/>
          <w:szCs w:val="20"/>
          <w:color w:val="auto"/>
        </w:rPr>
      </w:pPr>
      <w:r>
        <w:rPr>
          <w:rFonts w:ascii="Times New Roman" w:cs="Times New Roman" w:eastAsia="Times New Roman" w:hAnsi="Times New Roman"/>
          <w:sz w:val="21"/>
          <w:szCs w:val="21"/>
          <w:color w:val="auto"/>
        </w:rPr>
        <w:t>determined to be earlier by the Legal Department in its sole discretion, the commencement of trading on the second trading day following public announcement of the last material non-public information of which an Covered Person is aware. The Legal Department may use stop transfer instructions to the Company’s transfer agent in order to enforce this provision.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Rule 10b5-1 Exemption</w:t>
      </w:r>
    </w:p>
    <w:p>
      <w:pPr>
        <w:spacing w:after="0" w:line="24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1"/>
          <w:szCs w:val="21"/>
          <w:color w:val="auto"/>
        </w:rPr>
        <w:t>Rule 10b5-1 of the Exchange Act allows a person to trade while aware of material non-public information if the trade was executed pursuant to a plan satisfying the requirements of Rule 10b5-1 (a “</w:t>
      </w:r>
      <w:r>
        <w:rPr>
          <w:rFonts w:ascii="Times New Roman" w:cs="Times New Roman" w:eastAsia="Times New Roman" w:hAnsi="Times New Roman"/>
          <w:sz w:val="21"/>
          <w:szCs w:val="21"/>
          <w:i w:val="1"/>
          <w:iCs w:val="1"/>
          <w:color w:val="auto"/>
        </w:rPr>
        <w:t>trading plan</w:t>
      </w:r>
      <w:r>
        <w:rPr>
          <w:rFonts w:ascii="Times New Roman" w:cs="Times New Roman" w:eastAsia="Times New Roman" w:hAnsi="Times New Roman"/>
          <w:sz w:val="21"/>
          <w:szCs w:val="21"/>
          <w:color w:val="auto"/>
        </w:rPr>
        <w:t>”) that was established at a time when the person was not aware of material non-public information. Rule 10b5-1 is a complicated rule that requires sophisticated planning and should not be relied upon without the advice of one’s own legal counsel or personal financial adviser. Once the plan is adopted, the person must not exercise any influence over the amount of securities to be traded, the price at which they are to be traded or the date of the trade, and the person must act in good faith with respect to the plan.</w:t>
      </w:r>
    </w:p>
    <w:p>
      <w:pPr>
        <w:spacing w:after="0" w:line="20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Trades in Company Securities that are executed pursuant to an approved trading plan are not subject to the prohibitions in this Policy, including open window period or pre-clearance requirements for Covered Persons. Trading plans must be approved in advance in writing by the Legal Department, implemented during an open trading window and meet both the requirements of Rule 10b5-1 and these guidelines. Any Rule 10b5-1 Plan must be submitted to the Legal Department for approval at least 10 days prior to the entry into the Rule 10b5-1 Plan. Trading plans may not be instituted, amended or terminated, and deviations from such plans may not be made outside of a window period or at a time when an Insider is aware of material non-public information. Any amendment or termination of an approved trading plan requires the advance approval of the Legal Department. Section 16 Reporting Persons must provide prompt notice to the Legal Department of all transactions under trading plans to facilitate filings required under Section 16(a) of the Exchange Act. Such filings are generally due within two (2) business days of a trade. The Company reserves the right to bar any transactions in Company Securities, even those pursuant to trading plans previously approved, if the Legal Department or the Board, in consultation with the Legal Department, determines that such a bar is appropriate under the circumstances.</w:t>
      </w:r>
    </w:p>
    <w:p>
      <w:pPr>
        <w:spacing w:after="0" w:line="200" w:lineRule="exact"/>
        <w:rPr>
          <w:sz w:val="20"/>
          <w:szCs w:val="20"/>
          <w:color w:val="auto"/>
        </w:rPr>
      </w:pPr>
    </w:p>
    <w:p>
      <w:pPr>
        <w:spacing w:after="0" w:line="25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1"/>
          <w:szCs w:val="21"/>
          <w:color w:val="auto"/>
        </w:rPr>
        <w:t>Prior to adoption of any Rule 10b5-1 Plan, the person entering the Rule 10b5-1 Plan must certify to the Legal Department that (a) he or she is not aware of any material non-public information; (b) he or she is adopting the plan in good faith and not as a scheme to avoid the prohibition on insider trading; (c) all such trades to be made pursuant to the Rule 10b5-1 Plan will be made in accordance with the Exchange Act, the Securities Act of 1933, as amended, and applicable state securities laws; and (d) the Rule 10b5-1 Plan complies with the requirements of Rule 10b5-1. No approval by the Legal Department shall be considered the Legal Department’s or the Company’s approval that the Rule 10b5-1 Plan satisfies the requirements of Rule 10b5-1. It shall be the responsibility of the person establishing the Rule 10b5-1 Plan to ensure that such plan complies with the requirements of Rule 10b5-1. The existence of the foregoing approval procedures does not in any way obligate the Legal Department to approve any Rule 10b5-1 Plan. The Legal Department may reject any trading requests or Rule 10b5-1 Plans in its sole discretion. The Company reserves the right to require that additional provisions be included in a Rule 10b5-1 Plan with the objective of complying with Rule 10b5-1. The Company also reserves the right to require that transactions under a Rule 10b5-1 Plan be suspended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02" w:right="339" w:bottom="1440" w:gutter="0" w:footer="0" w:header="0"/>
        </w:sectPr>
      </w:pPr>
    </w:p>
    <w:bookmarkStart w:id="123" w:name="page124"/>
    <w:bookmarkEnd w:id="123"/>
    <w:p>
      <w:pPr>
        <w:ind w:left="80" w:right="220"/>
        <w:spacing w:after="0" w:line="252" w:lineRule="auto"/>
        <w:rPr>
          <w:sz w:val="20"/>
          <w:szCs w:val="20"/>
          <w:color w:val="auto"/>
        </w:rPr>
      </w:pPr>
      <w:r>
        <w:rPr>
          <w:rFonts w:ascii="Times New Roman" w:cs="Times New Roman" w:eastAsia="Times New Roman" w:hAnsi="Times New Roman"/>
          <w:sz w:val="21"/>
          <w:szCs w:val="21"/>
          <w:color w:val="auto"/>
        </w:rPr>
        <w:t>periods when the Company believes that legal, contractual or regulatory restrictions could prohibit such transactions or make them undesirable. These might include periods during which persons subject to this Policy have agreed with underwriters that they will not sell Company Securities for specified periods before and after a public offering, or periods in proximity to a public offering during which SEC Regulation M prohibits purchases by affiliates.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guidelines apply to all Rule 10b5-1 Plans:</w:t>
      </w:r>
    </w:p>
    <w:p>
      <w:pPr>
        <w:spacing w:after="0" w:line="21" w:lineRule="exact"/>
        <w:rPr>
          <w:sz w:val="20"/>
          <w:szCs w:val="20"/>
          <w:color w:val="auto"/>
        </w:rPr>
      </w:pPr>
    </w:p>
    <w:p>
      <w:pPr>
        <w:ind w:left="740" w:right="680" w:hanging="653"/>
        <w:spacing w:after="0" w:line="243" w:lineRule="auto"/>
        <w:tabs>
          <w:tab w:leader="none" w:pos="735" w:val="left"/>
        </w:tabs>
        <w:numPr>
          <w:ilvl w:val="0"/>
          <w:numId w:val="60"/>
        </w:numPr>
        <w:rPr>
          <w:rFonts w:ascii="Arial" w:cs="Arial" w:eastAsia="Arial" w:hAnsi="Arial"/>
          <w:sz w:val="21"/>
          <w:szCs w:val="21"/>
          <w:color w:val="auto"/>
        </w:rPr>
      </w:pPr>
      <w:r>
        <w:rPr>
          <w:rFonts w:ascii="Times New Roman" w:cs="Times New Roman" w:eastAsia="Times New Roman" w:hAnsi="Times New Roman"/>
          <w:sz w:val="21"/>
          <w:szCs w:val="21"/>
          <w:color w:val="auto"/>
        </w:rPr>
        <w:t xml:space="preserve">You may not enter into, modify or </w:t>
      </w:r>
      <w:r>
        <w:rPr>
          <w:rFonts w:ascii="Arial" w:cs="Arial" w:eastAsia="Arial" w:hAnsi="Arial"/>
          <w:sz w:val="21"/>
          <w:szCs w:val="21"/>
          <w:color w:val="auto"/>
        </w:rPr>
        <w:t>discretionarily</w:t>
      </w:r>
      <w:r>
        <w:rPr>
          <w:rFonts w:ascii="Times New Roman" w:cs="Times New Roman" w:eastAsia="Times New Roman" w:hAnsi="Times New Roman"/>
          <w:sz w:val="21"/>
          <w:szCs w:val="21"/>
          <w:color w:val="auto"/>
        </w:rPr>
        <w:t xml:space="preserve"> terminate a trading program during a blackout period or while in possession of material non-public information.</w:t>
      </w:r>
    </w:p>
    <w:p>
      <w:pPr>
        <w:spacing w:after="0" w:line="201" w:lineRule="exact"/>
        <w:rPr>
          <w:rFonts w:ascii="Arial" w:cs="Arial" w:eastAsia="Arial" w:hAnsi="Arial"/>
          <w:sz w:val="21"/>
          <w:szCs w:val="21"/>
          <w:color w:val="auto"/>
        </w:rPr>
      </w:pPr>
    </w:p>
    <w:p>
      <w:pPr>
        <w:jc w:val="both"/>
        <w:ind w:left="740" w:right="40" w:hanging="653"/>
        <w:spacing w:after="0" w:line="259" w:lineRule="auto"/>
        <w:tabs>
          <w:tab w:leader="none" w:pos="7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Rule 10b5-1 Plan must include a representation from the person establishing the plan that he or she (a) is not aware of any material non-public information and (b) is adopting the plan in good faith and not as a scheme to avoid the prohibition on insider trading.</w:t>
      </w:r>
    </w:p>
    <w:p>
      <w:pPr>
        <w:spacing w:after="0" w:line="185" w:lineRule="exact"/>
        <w:rPr>
          <w:rFonts w:ascii="Times New Roman" w:cs="Times New Roman" w:eastAsia="Times New Roman" w:hAnsi="Times New Roman"/>
          <w:sz w:val="21"/>
          <w:szCs w:val="21"/>
          <w:color w:val="auto"/>
        </w:rPr>
      </w:pPr>
    </w:p>
    <w:p>
      <w:pPr>
        <w:ind w:left="720" w:hanging="633"/>
        <w:spacing w:after="0"/>
        <w:tabs>
          <w:tab w:leader="none" w:pos="7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limited exceptions, a person can enter into only one effective Rule 10b5-1 Plan at any time.</w:t>
      </w:r>
    </w:p>
    <w:p>
      <w:pPr>
        <w:spacing w:after="0" w:line="242" w:lineRule="exact"/>
        <w:rPr>
          <w:rFonts w:ascii="Times New Roman" w:cs="Times New Roman" w:eastAsia="Times New Roman" w:hAnsi="Times New Roman"/>
          <w:sz w:val="21"/>
          <w:szCs w:val="21"/>
          <w:color w:val="auto"/>
        </w:rPr>
      </w:pPr>
    </w:p>
    <w:p>
      <w:pPr>
        <w:ind w:left="720" w:hanging="633"/>
        <w:spacing w:after="0"/>
        <w:tabs>
          <w:tab w:leader="none" w:pos="7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limited exceptions, a person can enter into only one “single trade” Rule 10b5-1 Plan in any 12-month period.</w:t>
      </w:r>
    </w:p>
    <w:p>
      <w:pPr>
        <w:spacing w:after="0" w:line="242" w:lineRule="exact"/>
        <w:rPr>
          <w:rFonts w:ascii="Times New Roman" w:cs="Times New Roman" w:eastAsia="Times New Roman" w:hAnsi="Times New Roman"/>
          <w:sz w:val="21"/>
          <w:szCs w:val="21"/>
          <w:color w:val="auto"/>
        </w:rPr>
      </w:pPr>
    </w:p>
    <w:p>
      <w:pPr>
        <w:ind w:left="720" w:hanging="633"/>
        <w:spacing w:after="0"/>
        <w:tabs>
          <w:tab w:leader="none" w:pos="7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Rule 10b5-1 Plans must have a duration of at least six months and no more than two years.</w:t>
      </w:r>
    </w:p>
    <w:p>
      <w:pPr>
        <w:spacing w:after="0" w:line="242" w:lineRule="exact"/>
        <w:rPr>
          <w:rFonts w:ascii="Times New Roman" w:cs="Times New Roman" w:eastAsia="Times New Roman" w:hAnsi="Times New Roman"/>
          <w:sz w:val="21"/>
          <w:szCs w:val="21"/>
          <w:color w:val="auto"/>
        </w:rPr>
      </w:pPr>
    </w:p>
    <w:p>
      <w:pPr>
        <w:ind w:left="720" w:hanging="633"/>
        <w:spacing w:after="0"/>
        <w:tabs>
          <w:tab w:leader="none" w:pos="7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Rule 10b5-1 Plan is terminated, you must wait at least 30 days before trading outside of the Rule 10b5-1 Plan.</w:t>
      </w:r>
    </w:p>
    <w:p>
      <w:pPr>
        <w:spacing w:after="0" w:line="242" w:lineRule="exact"/>
        <w:rPr>
          <w:rFonts w:ascii="Times New Roman" w:cs="Times New Roman" w:eastAsia="Times New Roman" w:hAnsi="Times New Roman"/>
          <w:sz w:val="21"/>
          <w:szCs w:val="21"/>
          <w:color w:val="auto"/>
        </w:rPr>
      </w:pPr>
    </w:p>
    <w:p>
      <w:pPr>
        <w:ind w:left="740" w:right="180" w:hanging="653"/>
        <w:spacing w:after="0" w:line="278" w:lineRule="auto"/>
        <w:tabs>
          <w:tab w:leader="none" w:pos="7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trading program is terminated, you must wait until the commencement of the next Window Period before a new Rule 10b5-1 Plan may be adopted.</w:t>
      </w:r>
    </w:p>
    <w:p>
      <w:pPr>
        <w:spacing w:after="0" w:line="166" w:lineRule="exact"/>
        <w:rPr>
          <w:rFonts w:ascii="Times New Roman" w:cs="Times New Roman" w:eastAsia="Times New Roman" w:hAnsi="Times New Roman"/>
          <w:sz w:val="21"/>
          <w:szCs w:val="21"/>
          <w:color w:val="auto"/>
        </w:rPr>
      </w:pPr>
    </w:p>
    <w:p>
      <w:pPr>
        <w:ind w:left="740" w:hanging="653"/>
        <w:spacing w:after="0" w:line="245" w:lineRule="auto"/>
        <w:tabs>
          <w:tab w:leader="none" w:pos="7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Rule 10b5-1 Plan must include a “cooling off” period such that (a) for all employees and any person other than a director or officer, trading under a Rule 10b5-1 Plan cannot begin until 30 days after the adoption or modification of the plan and (b) for directors and officers subject to Section 16 reporting obligations under the Exchange Act, trading under a Rule 10b5-1 Plan cannot begin until the later of (i) 90 days after adoption or modification of the Rule 10b5-1 Plan or (ii) two business days after disclosure of the Company’s financial results in a Form 10-Q or Form 10-K for the fiscal quarter in which the Rule 10b5-1 Plan was adopted, subject to a maximum cooling off period of 120 days.</w:t>
      </w:r>
    </w:p>
    <w:p>
      <w:pPr>
        <w:spacing w:after="0" w:line="200" w:lineRule="exact"/>
        <w:rPr>
          <w:rFonts w:ascii="Times New Roman" w:cs="Times New Roman" w:eastAsia="Times New Roman" w:hAnsi="Times New Roman"/>
          <w:sz w:val="21"/>
          <w:szCs w:val="21"/>
          <w:color w:val="auto"/>
        </w:rPr>
      </w:pPr>
    </w:p>
    <w:p>
      <w:pPr>
        <w:ind w:left="740" w:right="80" w:hanging="653"/>
        <w:spacing w:after="0" w:line="259" w:lineRule="auto"/>
        <w:tabs>
          <w:tab w:leader="none" w:pos="7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Modifications to Rule 10b5-1 Plans will trigger a new cooling-off period if the modification changes the amount, price, or timing of trades, including a change to a formula that affects these inputs. Modifications do not trigger a new cooling-off period if they are immaterial or administrative, such as an adjustment for stock splits or a change in account information.</w:t>
      </w:r>
    </w:p>
    <w:p>
      <w:pPr>
        <w:spacing w:after="0" w:line="185" w:lineRule="exact"/>
        <w:rPr>
          <w:rFonts w:ascii="Times New Roman" w:cs="Times New Roman" w:eastAsia="Times New Roman" w:hAnsi="Times New Roman"/>
          <w:sz w:val="21"/>
          <w:szCs w:val="21"/>
          <w:color w:val="auto"/>
        </w:rPr>
      </w:pPr>
    </w:p>
    <w:p>
      <w:pPr>
        <w:ind w:left="740" w:right="20" w:hanging="653"/>
        <w:spacing w:after="0" w:line="252" w:lineRule="auto"/>
        <w:tabs>
          <w:tab w:leader="none" w:pos="73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enter into any transaction in Company Securities while the Rule 10b5-1 Plan is in effect. This prohibition includes but is not limited to any corresponding or hedging transaction with respect to the securities subject to the plan. An exception may be permitted, to the extent not unlawful, for a Rule 10b5-1 Plan that (a) relates solely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320"/>
          </w:cols>
          <w:pgMar w:left="240" w:top="1402" w:right="339" w:bottom="1440" w:gutter="0" w:footer="0" w:header="0"/>
        </w:sectPr>
      </w:pPr>
    </w:p>
    <w:bookmarkStart w:id="124" w:name="page125"/>
    <w:bookmarkEnd w:id="124"/>
    <w:p>
      <w:pPr>
        <w:ind w:left="660" w:right="20"/>
        <w:spacing w:after="0" w:line="249" w:lineRule="auto"/>
        <w:rPr>
          <w:sz w:val="20"/>
          <w:szCs w:val="20"/>
          <w:color w:val="auto"/>
        </w:rPr>
      </w:pPr>
      <w:r>
        <w:rPr>
          <w:rFonts w:ascii="Times New Roman" w:cs="Times New Roman" w:eastAsia="Times New Roman" w:hAnsi="Times New Roman"/>
          <w:sz w:val="21"/>
          <w:szCs w:val="21"/>
          <w:color w:val="auto"/>
        </w:rPr>
        <w:t>Company Securities acquired under the Company’s equity incentive plans and (b) is designed and actually operated to authorize the sale of only enough securities necessary to pay or otherwise discharge income or withholding tax obligations that accrue upon the exercise, vesting or settlement of awards under the Company’s equity incentive plan, in which case the Section 16 Reporting Person must not otherwise exercise control over the timing of such sales. This exception does not apply to sales incident to the exercise of stock options.</w:t>
      </w:r>
    </w:p>
    <w:p>
      <w:pPr>
        <w:spacing w:after="0" w:line="198" w:lineRule="exact"/>
        <w:rPr>
          <w:sz w:val="20"/>
          <w:szCs w:val="20"/>
          <w:color w:val="auto"/>
        </w:rPr>
      </w:pPr>
    </w:p>
    <w:p>
      <w:pPr>
        <w:ind w:left="660" w:right="20" w:hanging="653"/>
        <w:spacing w:after="0" w:line="243" w:lineRule="auto"/>
        <w:tabs>
          <w:tab w:leader="none" w:pos="65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director, officer and other Section 16 Reporting Person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rPr>
          <w:sz w:val="20"/>
          <w:szCs w:val="20"/>
          <w:color w:val="auto"/>
        </w:rPr>
      </w:pPr>
      <w:r>
        <w:rPr>
          <w:rFonts w:ascii="Times New Roman" w:cs="Times New Roman" w:eastAsia="Times New Roman" w:hAnsi="Times New Roman"/>
          <w:sz w:val="21"/>
          <w:szCs w:val="21"/>
          <w:b w:val="1"/>
          <w:bCs w:val="1"/>
          <w:color w:val="auto"/>
        </w:rPr>
        <w:t>Consequences of Violation</w:t>
      </w:r>
    </w:p>
    <w:p>
      <w:pPr>
        <w:spacing w:after="0" w:line="218"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21"/>
          <w:szCs w:val="21"/>
          <w:color w:val="auto"/>
        </w:rPr>
        <w:t>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enforcement authorities in foreign jurisdictions. Punishment for insider trading violations is</w:t>
      </w:r>
    </w:p>
    <w:p>
      <w:pPr>
        <w:spacing w:after="0" w:line="1" w:lineRule="exact"/>
        <w:rPr>
          <w:sz w:val="20"/>
          <w:szCs w:val="20"/>
          <w:color w:val="auto"/>
        </w:rPr>
      </w:pPr>
    </w:p>
    <w:p>
      <w:pPr>
        <w:ind w:right="3020"/>
        <w:spacing w:after="0"/>
        <w:rPr>
          <w:sz w:val="20"/>
          <w:szCs w:val="20"/>
          <w:color w:val="auto"/>
        </w:rPr>
      </w:pPr>
      <w:r>
        <w:rPr>
          <w:rFonts w:ascii="Times New Roman" w:cs="Times New Roman" w:eastAsia="Times New Roman" w:hAnsi="Times New Roman"/>
          <w:sz w:val="21"/>
          <w:szCs w:val="21"/>
          <w:color w:val="auto"/>
        </w:rPr>
        <w:t>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206"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1"/>
          <w:szCs w:val="21"/>
          <w:color w:val="auto"/>
        </w:rPr>
        <w:t>A violation of law, or even a governmental investigation that does not result in prosecution, can tarnish a person’s reputation and irreparably damage a career. In addition, the Company, may in its discretion, impose or maintain stop transfer orders on securities held by Insiders to enforce this Policy.</w:t>
      </w:r>
    </w:p>
    <w:p>
      <w:pPr>
        <w:spacing w:after="0" w:line="186"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1"/>
          <w:szCs w:val="21"/>
          <w:color w:val="auto"/>
        </w:rPr>
        <w:t>Any violation of this Policy can be expected to result in serious sanctions by the Company, including dismissal, suspension without pay, loss of pay or bonus, loss of benefits, demotion or other sanctions, whether or not the violation of this Policy also constituted a violation of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Limited Exceptions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An exception to the restrictions in this Policy may be permitted with the advance written approval of the Legal Department if all material information concerning the Company has been publicly disclosed or is known by both parties to the proposed transaction. This type of exception is intended to be used only in unusual circumstances, and an Insider should not assume that such an exception will be granted even if the pre-conditions to the exception are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Questions</w:t>
      </w:r>
    </w:p>
    <w:p>
      <w:pPr>
        <w:spacing w:after="0" w:line="24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1"/>
          <w:szCs w:val="21"/>
          <w:color w:val="auto"/>
        </w:rPr>
        <w:t>If you have any questions regarding a particular securities transaction or whether you are in possession of material non-public information concerning the Company or Company Securities, or this Policy generally, please do not hesitate to contact the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02"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84"/>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80" w:type="dxa"/>
            <w:vAlign w:val="bottom"/>
            <w:gridSpan w:val="3"/>
          </w:tcPr>
          <w:p>
            <w:pPr>
              <w:jc w:val="center"/>
              <w:ind w:right="3800"/>
              <w:spacing w:after="0"/>
              <w:rPr>
                <w:sz w:val="20"/>
                <w:szCs w:val="20"/>
                <w:color w:val="auto"/>
              </w:rPr>
            </w:pPr>
            <w:r>
              <w:rPr>
                <w:rFonts w:ascii="Times New Roman" w:cs="Times New Roman" w:eastAsia="Times New Roman" w:hAnsi="Times New Roman"/>
                <w:sz w:val="21"/>
                <w:szCs w:val="21"/>
                <w:b w:val="1"/>
                <w:bCs w:val="1"/>
                <w:color w:val="auto"/>
              </w:rPr>
              <w:t>EXHIBIT A</w:t>
            </w:r>
          </w:p>
        </w:tc>
      </w:tr>
      <w:tr>
        <w:trPr>
          <w:trHeight w:val="433"/>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SECTION 16 Reporting Persons</w:t>
            </w:r>
          </w:p>
        </w:tc>
        <w:tc>
          <w:tcPr>
            <w:tcW w:w="3240" w:type="dxa"/>
            <w:vAlign w:val="bottom"/>
          </w:tcPr>
          <w:p>
            <w:pPr>
              <w:spacing w:after="0"/>
              <w:rPr>
                <w:sz w:val="24"/>
                <w:szCs w:val="24"/>
                <w:color w:val="auto"/>
              </w:rPr>
            </w:pPr>
          </w:p>
        </w:tc>
      </w:tr>
      <w:tr>
        <w:trPr>
          <w:trHeight w:val="517"/>
        </w:trPr>
        <w:tc>
          <w:tcPr>
            <w:tcW w:w="5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w w:val="98"/>
              </w:rPr>
              <w:t>Name</w:t>
            </w:r>
          </w:p>
        </w:tc>
        <w:tc>
          <w:tcPr>
            <w:tcW w:w="3020" w:type="dxa"/>
            <w:vAlign w:val="bottom"/>
          </w:tcPr>
          <w:p>
            <w:pPr>
              <w:spacing w:after="0"/>
              <w:rPr>
                <w:sz w:val="24"/>
                <w:szCs w:val="24"/>
                <w:color w:val="auto"/>
              </w:rPr>
            </w:pP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21"/>
                <w:szCs w:val="21"/>
                <w:b w:val="1"/>
                <w:bCs w:val="1"/>
                <w:color w:val="auto"/>
              </w:rPr>
              <w:t>Title</w:t>
            </w:r>
          </w:p>
        </w:tc>
      </w:tr>
      <w:tr>
        <w:trPr>
          <w:trHeight w:val="20"/>
        </w:trPr>
        <w:tc>
          <w:tcPr>
            <w:tcW w:w="5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r>
      <w:tr>
        <w:trPr>
          <w:trHeight w:val="27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R. Lebda</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Chairman &amp; Chief Executive Officer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Gabe Dalporto</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Davidson</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Ernst</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Robin Henderson</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Ozonian</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Diego Rodriguez</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Saras Sarasvathy</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Thompson</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Director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Bengel</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Shumate</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Peyree</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w w:val="98"/>
              </w:rPr>
              <w:t>Chief Operating Officer, LendingTree and President, LendingTree Marketplace</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Olmstead</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Chief Human Resources Officer</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Heather Novitsky</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55"/>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Totman</w:t>
            </w:r>
          </w:p>
        </w:tc>
        <w:tc>
          <w:tcPr>
            <w:tcW w:w="624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9800"/>
          </w:cols>
          <w:pgMar w:left="880" w:top="1398" w:right="1219" w:bottom="1440" w:gutter="0" w:footer="0" w:header="0"/>
        </w:sectPr>
      </w:pPr>
    </w:p>
    <w:bookmarkStart w:id="126" w:name="page127"/>
    <w:bookmarkEnd w:id="126"/>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APPLICATION FOR APPROVAL OF TRANSACTIONS IN LENDINGTREE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w:t>
      </w:r>
    </w:p>
    <w:p>
      <w:pPr>
        <w:spacing w:after="0"/>
        <w:rPr>
          <w:sz w:val="20"/>
          <w:szCs w:val="20"/>
          <w:color w:val="auto"/>
        </w:rPr>
      </w:pPr>
      <w:r>
        <w:rPr>
          <w:rFonts w:ascii="Times New Roman" w:cs="Times New Roman" w:eastAsia="Times New Roman" w:hAnsi="Times New Roman"/>
          <w:sz w:val="19"/>
          <w:szCs w:val="19"/>
          <w:color w:val="auto"/>
        </w:rPr>
        <w:t>Title:</w:t>
      </w:r>
    </w:p>
    <w:p>
      <w:pPr>
        <w:spacing w:after="0" w:line="236" w:lineRule="auto"/>
        <w:rPr>
          <w:sz w:val="20"/>
          <w:szCs w:val="20"/>
          <w:color w:val="auto"/>
        </w:rPr>
      </w:pPr>
      <w:r>
        <w:rPr>
          <w:rFonts w:ascii="Times New Roman" w:cs="Times New Roman" w:eastAsia="Times New Roman" w:hAnsi="Times New Roman"/>
          <w:sz w:val="19"/>
          <w:szCs w:val="19"/>
          <w:color w:val="auto"/>
        </w:rPr>
        <w:t>Proposed Initial Trade Date:</w:t>
      </w:r>
    </w:p>
    <w:p>
      <w:pPr>
        <w:spacing w:after="0" w:line="221" w:lineRule="auto"/>
        <w:rPr>
          <w:sz w:val="20"/>
          <w:szCs w:val="20"/>
          <w:color w:val="auto"/>
        </w:rPr>
      </w:pPr>
      <w:r>
        <w:rPr>
          <w:rFonts w:ascii="Times New Roman" w:cs="Times New Roman" w:eastAsia="Times New Roman" w:hAnsi="Times New Roman"/>
          <w:sz w:val="19"/>
          <w:szCs w:val="19"/>
          <w:color w:val="auto"/>
        </w:rPr>
        <w:t>Type of Security to be Traded:</w:t>
      </w:r>
    </w:p>
    <w:p>
      <w:pPr>
        <w:spacing w:after="0" w:line="236" w:lineRule="auto"/>
        <w:rPr>
          <w:sz w:val="20"/>
          <w:szCs w:val="20"/>
          <w:color w:val="auto"/>
        </w:rPr>
      </w:pPr>
      <w:r>
        <w:rPr>
          <w:rFonts w:ascii="Times New Roman" w:cs="Times New Roman" w:eastAsia="Times New Roman" w:hAnsi="Times New Roman"/>
          <w:sz w:val="19"/>
          <w:szCs w:val="19"/>
          <w:color w:val="auto"/>
        </w:rPr>
        <w:t>Type of Transaction (e.g., purchase, sale, gift):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Shares to be Transacted:</w:t>
      </w:r>
    </w:p>
    <w:p>
      <w:pPr>
        <w:spacing w:after="0" w:line="218" w:lineRule="exact"/>
        <w:rPr>
          <w:sz w:val="20"/>
          <w:szCs w:val="20"/>
          <w:color w:val="auto"/>
        </w:rPr>
      </w:pPr>
    </w:p>
    <w:p>
      <w:pPr>
        <w:ind w:left="220" w:hanging="213"/>
        <w:spacing w:after="0"/>
        <w:tabs>
          <w:tab w:leader="none" w:pos="220" w:val="left"/>
        </w:tabs>
        <w:numPr>
          <w:ilvl w:val="0"/>
          <w:numId w:val="62"/>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I have NOT (and none of my Related Parties has) bought or sold LendingTree securities in the past 6 months.</w:t>
      </w:r>
    </w:p>
    <w:p>
      <w:pPr>
        <w:spacing w:after="0" w:line="3" w:lineRule="exact"/>
        <w:rPr>
          <w:rFonts w:ascii="MS PGothic" w:cs="MS PGothic" w:eastAsia="MS PGothic" w:hAnsi="MS PGothic"/>
          <w:sz w:val="19"/>
          <w:szCs w:val="19"/>
          <w:color w:val="auto"/>
        </w:rPr>
      </w:pPr>
    </w:p>
    <w:p>
      <w:pPr>
        <w:ind w:left="220" w:hanging="213"/>
        <w:spacing w:after="0"/>
        <w:tabs>
          <w:tab w:leader="none" w:pos="220" w:val="left"/>
        </w:tabs>
        <w:numPr>
          <w:ilvl w:val="0"/>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HAVE (or one of my Related Parties has) bought or sold LendingTree securities in the past 6 months. Details of the transaction(s) (e.g., name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person(s) who traded, date and type of transaction, whether it was pursuant to a Rule 10b5-1 trading plan):</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u w:val="single" w:color="auto"/>
          <w:color w:val="auto"/>
        </w:rPr>
        <w:t>Certification</w:t>
      </w:r>
    </w:p>
    <w:p>
      <w:pPr>
        <w:spacing w:after="0" w:line="22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9"/>
          <w:szCs w:val="19"/>
          <w:color w:val="auto"/>
        </w:rPr>
        <w:t>I hereby certify that have read and understand the LendingTree, Inc. Insider Trading and Related Matters Policy (the “Policy”), including what information may be considered material non-public information, and I understand that Legal Department is available to answer any questions I have regarding the Policy.</w:t>
      </w:r>
    </w:p>
    <w:p>
      <w:pPr>
        <w:spacing w:after="0" w:line="193"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9"/>
          <w:szCs w:val="19"/>
          <w:color w:val="auto"/>
        </w:rPr>
        <w:t>I hereby further certify that (1) I am not in possession of any material non-public information concerning LendingTree, Inc. or any of its direct or indirect subsidiaries and (2) to the best of my knowledge, the proposed transaction(s) described above do not violate the trading restrictions of Section 16 of the Securities Exchange Act of 1934, as amended, or Rule 144 under the Securities Act of 1933, as amended. I understand that if I trade while in possession of such information or in violation of such trading restrictions, I may be subject to severe civil and/or criminal penalties and discipline by LendingTree, up to and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Signature Date</w:t>
      </w:r>
    </w:p>
    <w:p>
      <w:pPr>
        <w:spacing w:after="0" w:line="2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9"/>
          <w:szCs w:val="19"/>
          <w:b w:val="1"/>
          <w:bCs w:val="1"/>
          <w:u w:val="single" w:color="auto"/>
          <w:color w:val="auto"/>
        </w:rPr>
        <w:t>Review and Decision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Application is: _____ APPROVED _____ NOT APPROVED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First Trade Date: </w:t>
      </w:r>
      <w:r>
        <w:rPr>
          <w:rFonts w:ascii="Times New Roman" w:cs="Times New Roman" w:eastAsia="Times New Roman" w:hAnsi="Times New Roman"/>
          <w:sz w:val="21"/>
          <w:szCs w:val="21"/>
          <w:u w:val="single" w:color="auto"/>
          <w:color w:val="auto"/>
        </w:rPr>
        <w:t>___</w:t>
      </w:r>
      <w:r>
        <w:rPr>
          <w:rFonts w:ascii="Times New Roman" w:cs="Times New Roman" w:eastAsia="Times New Roman" w:hAnsi="Times New Roman"/>
          <w:sz w:val="19"/>
          <w:szCs w:val="19"/>
          <w:color w:val="auto"/>
        </w:rPr>
        <w:t>at 9:30 am (ET)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Signature Final Trade Date: </w:t>
      </w:r>
      <w:r>
        <w:rPr>
          <w:rFonts w:ascii="Times New Roman" w:cs="Times New Roman" w:eastAsia="Times New Roman" w:hAnsi="Times New Roman"/>
          <w:sz w:val="21"/>
          <w:szCs w:val="21"/>
          <w:u w:val="single" w:color="auto"/>
          <w:color w:val="auto"/>
        </w:rPr>
        <w:t>___</w:t>
      </w:r>
      <w:r>
        <w:rPr>
          <w:rFonts w:ascii="Times New Roman" w:cs="Times New Roman" w:eastAsia="Times New Roman" w:hAnsi="Times New Roman"/>
          <w:sz w:val="19"/>
          <w:szCs w:val="19"/>
          <w:color w:val="auto"/>
        </w:rPr>
        <w:t>at 4:00 pm (ET)</w:t>
      </w:r>
    </w:p>
    <w:p>
      <w:pPr>
        <w:spacing w:after="0" w:line="236" w:lineRule="auto"/>
        <w:rPr>
          <w:sz w:val="20"/>
          <w:szCs w:val="20"/>
          <w:color w:val="auto"/>
        </w:rPr>
      </w:pPr>
      <w:r>
        <w:rPr>
          <w:rFonts w:ascii="Times New Roman" w:cs="Times New Roman" w:eastAsia="Times New Roman" w:hAnsi="Times New Roman"/>
          <w:sz w:val="19"/>
          <w:szCs w:val="19"/>
          <w:color w:val="auto"/>
        </w:rPr>
        <w:t>Name:</w:t>
      </w:r>
    </w:p>
    <w:p>
      <w:pPr>
        <w:spacing w:after="0"/>
        <w:rPr>
          <w:sz w:val="20"/>
          <w:szCs w:val="20"/>
          <w:color w:val="auto"/>
        </w:rPr>
      </w:pPr>
      <w:r>
        <w:rPr>
          <w:rFonts w:ascii="Times New Roman" w:cs="Times New Roman" w:eastAsia="Times New Roman" w:hAnsi="Times New Roman"/>
          <w:sz w:val="19"/>
          <w:szCs w:val="19"/>
          <w:color w:val="auto"/>
        </w:rPr>
        <w:t>Title: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80"/>
          </w:cols>
          <w:pgMar w:left="320" w:top="1440" w:right="39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0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914"/>
        </w:trPr>
        <w:tc>
          <w:tcPr>
            <w:tcW w:w="3300" w:type="dxa"/>
            <w:vAlign w:val="bottom"/>
          </w:tcPr>
          <w:p>
            <w:pPr>
              <w:spacing w:after="0"/>
              <w:rPr>
                <w:sz w:val="24"/>
                <w:szCs w:val="24"/>
                <w:color w:val="auto"/>
              </w:rPr>
            </w:pPr>
          </w:p>
        </w:tc>
        <w:tc>
          <w:tcPr>
            <w:tcW w:w="79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SUBSIDIARIES OF LENDINGTREE, INC.</w:t>
            </w:r>
          </w:p>
        </w:tc>
        <w:tc>
          <w:tcPr>
            <w:tcW w:w="0" w:type="dxa"/>
            <w:vAlign w:val="bottom"/>
          </w:tcPr>
          <w:p>
            <w:pPr>
              <w:spacing w:after="0"/>
              <w:rPr>
                <w:sz w:val="1"/>
                <w:szCs w:val="1"/>
                <w:color w:val="auto"/>
              </w:rPr>
            </w:pPr>
          </w:p>
        </w:tc>
      </w:tr>
      <w:tr>
        <w:trPr>
          <w:trHeight w:val="244"/>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900" w:type="dxa"/>
            <w:vAlign w:val="bottom"/>
            <w:gridSpan w:val="2"/>
          </w:tcPr>
          <w:p>
            <w:pPr>
              <w:jc w:val="center"/>
              <w:ind w:left="6373"/>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93"/>
        </w:trPr>
        <w:tc>
          <w:tcPr>
            <w:tcW w:w="3300" w:type="dxa"/>
            <w:vAlign w:val="bottom"/>
            <w:vMerge w:val="continue"/>
          </w:tcPr>
          <w:p>
            <w:pPr>
              <w:spacing w:after="0"/>
              <w:rPr>
                <w:sz w:val="16"/>
                <w:szCs w:val="16"/>
                <w:color w:val="auto"/>
              </w:rPr>
            </w:pPr>
          </w:p>
        </w:tc>
        <w:tc>
          <w:tcPr>
            <w:tcW w:w="7900" w:type="dxa"/>
            <w:vAlign w:val="bottom"/>
            <w:gridSpan w:val="2"/>
          </w:tcPr>
          <w:p>
            <w:pPr>
              <w:jc w:val="center"/>
              <w:ind w:left="6373"/>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0" w:type="dxa"/>
            <w:vAlign w:val="bottom"/>
          </w:tcPr>
          <w:p>
            <w:pPr>
              <w:spacing w:after="0"/>
              <w:rPr>
                <w:sz w:val="1"/>
                <w:szCs w:val="1"/>
                <w:color w:val="auto"/>
              </w:rPr>
            </w:pPr>
          </w:p>
        </w:tc>
      </w:tr>
      <w:tr>
        <w:trPr>
          <w:trHeight w:val="228"/>
        </w:trPr>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LLC</w:t>
            </w:r>
          </w:p>
        </w:tc>
        <w:tc>
          <w:tcPr>
            <w:tcW w:w="7880" w:type="dxa"/>
            <w:vAlign w:val="bottom"/>
            <w:tcBorders>
              <w:top w:val="single" w:sz="8" w:color="auto"/>
            </w:tcBorders>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Tree.com BU Holding Company, Inc.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India Holding Company,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LendingTree Research Services LLP</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7"/>
              </w:rPr>
              <w:t>India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Ovation Credit Services, Inc.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4"/>
              </w:rPr>
              <w:t>FL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QuoteWizard.com,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QW Insurance Solutions,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3"/>
              </w:rPr>
              <w:t>WA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LT Intermediate Company,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LTIM, LLC</w:t>
            </w:r>
          </w:p>
        </w:tc>
        <w:tc>
          <w:tcPr>
            <w:tcW w:w="7880" w:type="dxa"/>
            <w:vAlign w:val="bottom"/>
            <w:shd w:val="clear" w:color="auto" w:fill="CCEEFF"/>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LendingTree JVIC, LLC</w:t>
            </w:r>
          </w:p>
        </w:tc>
        <w:tc>
          <w:tcPr>
            <w:tcW w:w="7880" w:type="dxa"/>
            <w:vAlign w:val="bottom"/>
          </w:tcPr>
          <w:p>
            <w:pPr>
              <w:jc w:val="center"/>
              <w:ind w:left="6393"/>
              <w:spacing w:after="0"/>
              <w:rPr>
                <w:sz w:val="20"/>
                <w:szCs w:val="20"/>
                <w:color w:val="auto"/>
              </w:rPr>
            </w:pPr>
            <w:r>
              <w:rPr>
                <w:rFonts w:ascii="Times New Roman" w:cs="Times New Roman" w:eastAsia="Times New Roman" w:hAnsi="Times New Roman"/>
                <w:sz w:val="18"/>
                <w:szCs w:val="18"/>
                <w:color w:val="auto"/>
                <w:w w:val="99"/>
              </w:rPr>
              <w:t>DE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2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333-278973, 333-266172) and S-8 (No. 333-273547, 333-258391, No. 333-233035, No. 333-218747, No. 333-197952) of LendingTree, Inc. of our report dated March 6,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1240"/>
          </w:cols>
          <w:pgMar w:left="320" w:top="117"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156" w:lineRule="exact"/>
        <w:rPr>
          <w:sz w:val="20"/>
          <w:szCs w:val="20"/>
          <w:color w:val="auto"/>
        </w:rPr>
      </w:pPr>
    </w:p>
    <w:p>
      <w:pPr>
        <w:ind w:left="320" w:hanging="313"/>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LendingTree, Inc.;</w:t>
      </w:r>
    </w:p>
    <w:p>
      <w:pPr>
        <w:spacing w:after="0" w:line="155" w:lineRule="exact"/>
        <w:rPr>
          <w:rFonts w:ascii="Times New Roman" w:cs="Times New Roman" w:eastAsia="Times New Roman" w:hAnsi="Times New Roman"/>
          <w:sz w:val="18"/>
          <w:szCs w:val="18"/>
          <w:color w:val="auto"/>
        </w:rPr>
      </w:pPr>
    </w:p>
    <w:p>
      <w:pPr>
        <w:ind w:left="660" w:hanging="653"/>
        <w:spacing w:after="0" w:line="264" w:lineRule="auto"/>
        <w:tabs>
          <w:tab w:leader="none" w:pos="3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4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hanging="653"/>
        <w:spacing w:after="0" w:line="264" w:lineRule="auto"/>
        <w:tabs>
          <w:tab w:leader="none" w:pos="4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hanging="648"/>
        <w:spacing w:after="0" w:line="264" w:lineRule="auto"/>
        <w:tabs>
          <w:tab w:leader="none" w:pos="9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8"/>
          <w:szCs w:val="18"/>
          <w:color w:val="auto"/>
        </w:rPr>
      </w:pPr>
    </w:p>
    <w:p>
      <w:pPr>
        <w:ind w:left="1300" w:hanging="648"/>
        <w:spacing w:after="0" w:line="264" w:lineRule="auto"/>
        <w:tabs>
          <w:tab w:leader="none" w:pos="106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300" w:hanging="648"/>
        <w:spacing w:after="0" w:line="280" w:lineRule="auto"/>
        <w:tabs>
          <w:tab w:leader="none" w:pos="108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8"/>
        <w:spacing w:after="0" w:line="264" w:lineRule="auto"/>
        <w:tabs>
          <w:tab w:leader="none" w:pos="10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35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96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106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19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34213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Douglas R. Lebda</w:t>
      </w:r>
    </w:p>
    <w:p>
      <w:pPr>
        <w:ind w:left="7160"/>
        <w:spacing w:after="0" w:line="218" w:lineRule="auto"/>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that:</w:t>
      </w:r>
    </w:p>
    <w:p>
      <w:pPr>
        <w:spacing w:after="0" w:line="156" w:lineRule="exact"/>
        <w:rPr>
          <w:sz w:val="20"/>
          <w:szCs w:val="20"/>
          <w:color w:val="auto"/>
        </w:rPr>
      </w:pPr>
    </w:p>
    <w:p>
      <w:pPr>
        <w:ind w:left="320" w:hanging="313"/>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2024 of LendingTree, Inc.;</w:t>
      </w:r>
    </w:p>
    <w:p>
      <w:pPr>
        <w:spacing w:after="0" w:line="155" w:lineRule="exact"/>
        <w:rPr>
          <w:rFonts w:ascii="Times New Roman" w:cs="Times New Roman" w:eastAsia="Times New Roman" w:hAnsi="Times New Roman"/>
          <w:sz w:val="18"/>
          <w:szCs w:val="18"/>
          <w:color w:val="auto"/>
        </w:rPr>
      </w:pPr>
    </w:p>
    <w:p>
      <w:pPr>
        <w:ind w:left="660" w:hanging="653"/>
        <w:spacing w:after="0" w:line="264" w:lineRule="auto"/>
        <w:tabs>
          <w:tab w:leader="none" w:pos="3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4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hanging="653"/>
        <w:spacing w:after="0" w:line="264" w:lineRule="auto"/>
        <w:tabs>
          <w:tab w:leader="none" w:pos="41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Times New Roman" w:cs="Times New Roman" w:eastAsia="Times New Roman" w:hAnsi="Times New Roman"/>
          <w:sz w:val="18"/>
          <w:szCs w:val="18"/>
          <w:color w:val="auto"/>
        </w:rPr>
      </w:pPr>
    </w:p>
    <w:p>
      <w:pPr>
        <w:ind w:left="1300" w:hanging="648"/>
        <w:spacing w:after="0" w:line="264" w:lineRule="auto"/>
        <w:tabs>
          <w:tab w:leader="none" w:pos="9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8"/>
          <w:szCs w:val="18"/>
          <w:color w:val="auto"/>
        </w:rPr>
      </w:pPr>
    </w:p>
    <w:p>
      <w:pPr>
        <w:ind w:left="1300" w:hanging="648"/>
        <w:spacing w:after="0" w:line="264" w:lineRule="auto"/>
        <w:tabs>
          <w:tab w:leader="none" w:pos="106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300" w:hanging="648"/>
        <w:spacing w:after="0" w:line="280" w:lineRule="auto"/>
        <w:tabs>
          <w:tab w:leader="none" w:pos="108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8"/>
        <w:spacing w:after="0" w:line="264" w:lineRule="auto"/>
        <w:tabs>
          <w:tab w:leader="none" w:pos="10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660" w:hanging="653"/>
        <w:spacing w:after="0" w:line="280" w:lineRule="auto"/>
        <w:tabs>
          <w:tab w:leader="none" w:pos="3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96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8"/>
        <w:spacing w:after="0" w:line="280" w:lineRule="auto"/>
        <w:tabs>
          <w:tab w:leader="none" w:pos="106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19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19050</wp:posOffset>
            </wp:positionV>
            <wp:extent cx="34213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Jason Bengel</w:t>
      </w:r>
    </w:p>
    <w:p>
      <w:pPr>
        <w:ind w:left="7700"/>
        <w:spacing w:after="0" w:line="218"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108" w:lineRule="exact"/>
        <w:rPr>
          <w:sz w:val="20"/>
          <w:szCs w:val="20"/>
          <w:color w:val="auto"/>
        </w:rPr>
      </w:pPr>
    </w:p>
    <w:p>
      <w:pPr>
        <w:jc w:val="both"/>
        <w:ind w:left="660" w:hanging="330"/>
        <w:spacing w:after="0" w:line="264"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2024 of LendingTree, Inc. (the "Report") which this statement accompanies fully complies with the requirements of Section 13(a) or 15(d) of the Securities Exchange Act of 1934 (15 U.S.C. 78m or 78o(d)); and</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5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31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19050</wp:posOffset>
            </wp:positionV>
            <wp:extent cx="35579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Douglas R. Lebda</w:t>
      </w:r>
    </w:p>
    <w:p>
      <w:pPr>
        <w:ind w:left="7040"/>
        <w:spacing w:after="0" w:line="203" w:lineRule="auto"/>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ind w:firstLine="323"/>
        <w:spacing w:after="0" w:line="280" w:lineRule="auto"/>
        <w:rPr>
          <w:sz w:val="20"/>
          <w:szCs w:val="20"/>
          <w:color w:val="auto"/>
        </w:rPr>
      </w:pPr>
      <w:r>
        <w:rPr>
          <w:rFonts w:ascii="Times New Roman" w:cs="Times New Roman" w:eastAsia="Times New Roman" w:hAnsi="Times New Roman"/>
          <w:sz w:val="18"/>
          <w:szCs w:val="18"/>
          <w:color w:val="auto"/>
        </w:rPr>
        <w:t>I, Jason Bengel, certify, pursuant to 18 U.S.C. Section 1350, as adopted pursuant to Section 906 of the Sarbanes-Oxley Act of 2002, that to my knowledge:</w:t>
      </w:r>
    </w:p>
    <w:p>
      <w:pPr>
        <w:spacing w:after="0" w:line="108" w:lineRule="exact"/>
        <w:rPr>
          <w:sz w:val="20"/>
          <w:szCs w:val="20"/>
          <w:color w:val="auto"/>
        </w:rPr>
      </w:pPr>
    </w:p>
    <w:p>
      <w:pPr>
        <w:jc w:val="both"/>
        <w:ind w:left="660" w:hanging="330"/>
        <w:spacing w:after="0" w:line="264"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2024 of LendingTree, Inc. (the "Report") which this statement accompanies fully complies with the requirements of Section 13(a) or 15(d) of the Securities Exchange Act of 1934 (15 U.S.C. 78m or 78o(d)); and</w:t>
      </w:r>
    </w:p>
    <w:p>
      <w:pPr>
        <w:spacing w:after="0" w:line="203" w:lineRule="exact"/>
        <w:rPr>
          <w:rFonts w:ascii="Times New Roman" w:cs="Times New Roman" w:eastAsia="Times New Roman" w:hAnsi="Times New Roman"/>
          <w:sz w:val="18"/>
          <w:szCs w:val="18"/>
          <w:color w:val="auto"/>
        </w:rPr>
      </w:pPr>
    </w:p>
    <w:p>
      <w:pPr>
        <w:ind w:left="660" w:hanging="330"/>
        <w:spacing w:after="0" w:line="280" w:lineRule="auto"/>
        <w:tabs>
          <w:tab w:leader="none" w:pos="6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6, 2025</w:t>
      </w:r>
    </w:p>
    <w:p>
      <w:pPr>
        <w:spacing w:after="0" w:line="31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19050</wp:posOffset>
            </wp:positionV>
            <wp:extent cx="3557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19"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color w:val="auto"/>
        </w:rPr>
        <w:t>Jason Bengel</w:t>
      </w:r>
    </w:p>
    <w:p>
      <w:pPr>
        <w:ind w:left="7580"/>
        <w:spacing w:after="0" w:line="203"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4"/>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4"/>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4"/>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104"/>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3"/>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o"/>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upperLetter"/>
      <w:start w:val="1"/>
    </w:lvl>
  </w:abstractNum>
  <w:abstractNum w:abstractNumId="55">
    <w:nsid w:val="10233C99"/>
    <w:multiLevelType w:val="hybridMultilevel"/>
    <w:lvl w:ilvl="0">
      <w:lvlJc w:val="left"/>
      <w:lvlText w:val="%1."/>
      <w:numFmt w:val="upperLetter"/>
      <w:start w:val="2"/>
    </w:lvl>
  </w:abstractNum>
  <w:abstractNum w:abstractNumId="56">
    <w:nsid w:val="3F6AB60F"/>
    <w:multiLevelType w:val="hybridMultilevel"/>
    <w:lvl w:ilvl="0">
      <w:lvlJc w:val="left"/>
      <w:lvlText w:val="%1."/>
      <w:numFmt w:val="upperLetter"/>
      <w:start w:val="5"/>
    </w:lvl>
  </w:abstractNum>
  <w:abstractNum w:abstractNumId="57">
    <w:nsid w:val="61574095"/>
    <w:multiLevelType w:val="hybridMultilevel"/>
    <w:lvl w:ilvl="0">
      <w:lvlJc w:val="left"/>
      <w:lvlText w:val="%1."/>
      <w:numFmt w:val="upperLetter"/>
      <w:start w:val="7"/>
    </w:lvl>
  </w:abstractNum>
  <w:abstractNum w:abstractNumId="58">
    <w:nsid w:val="7E0C57B1"/>
    <w:multiLevelType w:val="hybridMultilevel"/>
    <w:lvl w:ilvl="0">
      <w:lvlJc w:val="left"/>
      <w:lvlText w:val="%1."/>
      <w:numFmt w:val="upperLetter"/>
      <w:start w:val="12"/>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74" Type="http://schemas.openxmlformats.org/officeDocument/2006/relationships/image" Target="media/image117.png"/><Relationship Id="rId191" Type="http://schemas.openxmlformats.org/officeDocument/2006/relationships/image" Target="media/image118.png"/><Relationship Id="rId192"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120" Type="http://schemas.openxmlformats.org/officeDocument/2006/relationships/hyperlink" Target="https://www.sec.gov/Archives/edgar/data/1434621/000168316824005179/lendingtree_ex0101.htm" TargetMode="External"/><Relationship Id="rId121" Type="http://schemas.openxmlformats.org/officeDocument/2006/relationships/hyperlink" Target="https://www.sec.gov/Archives/edgar/data/1434621/000104746908008622/a2187113zex-2_1.htm" TargetMode="External"/><Relationship Id="rId122" Type="http://schemas.openxmlformats.org/officeDocument/2006/relationships/hyperlink" Target="https://www.sec.gov/Archives/edgar/data/1434621/000110465908054882/a08-22125_1ex10d2.htm" TargetMode="External"/><Relationship Id="rId123" Type="http://schemas.openxmlformats.org/officeDocument/2006/relationships/hyperlink" Target="https://www.sec.gov/Archives/edgar/data/1434621/000110465908054882/a08-22125_1ex10d3.htm" TargetMode="External"/><Relationship Id="rId124" Type="http://schemas.openxmlformats.org/officeDocument/2006/relationships/hyperlink" Target="https://www.sec.gov/Archives/edgar/data/1434621/000110465908054882/a08-22125_1ex10d4.htm" TargetMode="External"/><Relationship Id="rId125" Type="http://schemas.openxmlformats.org/officeDocument/2006/relationships/hyperlink" Target="https://www.sec.gov/Archives/edgar/data/1434621/000110465908054882/a08-22125_1ex10d6.htm" TargetMode="External"/><Relationship Id="rId126" Type="http://schemas.openxmlformats.org/officeDocument/2006/relationships/hyperlink" Target="https://www.sec.gov/Archives/edgar/data/1434621/000110465910058747/a10-21366_1ex2d1.htm" TargetMode="External"/><Relationship Id="rId127" Type="http://schemas.openxmlformats.org/officeDocument/2006/relationships/hyperlink" Target="https://www.sec.gov/Archives/edgar/data/1434621/000110465911015602/a11-8401_1ex2d1.htm" TargetMode="External"/><Relationship Id="rId128" Type="http://schemas.openxmlformats.org/officeDocument/2006/relationships/hyperlink" Target="https://www.sec.gov/Archives/edgar/data/1434621/000110465911015602/a11-8401_1ex2d2.htm" TargetMode="External"/><Relationship Id="rId131" Type="http://schemas.openxmlformats.org/officeDocument/2006/relationships/hyperlink" Target="https://www.sec.gov/Archives/edgar/data/1434621/000110465911029396/a11-12364_1ex2d1.htm" TargetMode="External"/><Relationship Id="rId132" Type="http://schemas.openxmlformats.org/officeDocument/2006/relationships/hyperlink" Target="https://www.sec.gov/Archives/edgar/data/1434621/000110465911052643/a11-26750_1ex2d1.htm" TargetMode="External"/><Relationship Id="rId133" Type="http://schemas.openxmlformats.org/officeDocument/2006/relationships/hyperlink" Target="https://www.sec.gov/Archives/edgar/data/1434621/000110465912007840/a12-4544_1ex2d1.htm" TargetMode="External"/><Relationship Id="rId134" Type="http://schemas.openxmlformats.org/officeDocument/2006/relationships/hyperlink" Target="https://www.sec.gov/Archives/edgar/data/1434621/000143462116000102/ex21ironhorsepurchaseagree.htm" TargetMode="External"/><Relationship Id="rId135" Type="http://schemas.openxmlformats.org/officeDocument/2006/relationships/hyperlink" Target="https://www.sec.gov/Archives/edgar/data/1355096/000110465917066108/a17-25170_1ex99d7d.htm" TargetMode="External"/><Relationship Id="rId136" Type="http://schemas.openxmlformats.org/officeDocument/2006/relationships/hyperlink" Target="https://www.sec.gov/Archives/edgar/data/1434621/000143462118000036/exhibit21-quotewizardpurch.htm" TargetMode="External"/><Relationship Id="rId137" Type="http://schemas.openxmlformats.org/officeDocument/2006/relationships/hyperlink" Target="https://www.sec.gov/Archives/edgar/data/1434621/000143462118000054/exhibit21-valuepenguinpurc.htm" TargetMode="External"/><Relationship Id="rId138" Type="http://schemas.openxmlformats.org/officeDocument/2006/relationships/hyperlink" Target="https://www.sec.gov/Archives/edgar/data/1434621/000110465908054882/a08-22125_1ex3d1.htm" TargetMode="External"/><Relationship Id="rId139" Type="http://schemas.openxmlformats.org/officeDocument/2006/relationships/hyperlink" Target="https://www.sec.gov/Archives/edgar/data/1434621/000143462117000080/fourthamendedandrestatedby.htm" TargetMode="External"/><Relationship Id="rId140" Type="http://schemas.openxmlformats.org/officeDocument/2006/relationships/hyperlink" Target="https://www.sec.gov/Archives/edgar/data/891103/000104746903023716/a2111938zex-99_4.htm" TargetMode="External"/><Relationship Id="rId141" Type="http://schemas.openxmlformats.org/officeDocument/2006/relationships/hyperlink" Target="https://www.sec.gov/Archives/edgar/data/1434621/000110465908054882/a08-22125_1ex10d5.htm" TargetMode="External"/><Relationship Id="rId142" Type="http://schemas.openxmlformats.org/officeDocument/2006/relationships/hyperlink" Target="https://www.sec.gov/Archives/edgar/data/1434621/000143462117000036/exhibit41-indenture.htm" TargetMode="External"/><Relationship Id="rId143" Type="http://schemas.openxmlformats.org/officeDocument/2006/relationships/hyperlink" Target="https://www.sec.gov/Archives/edgar/data/1434621/000143462117000036/exhibit991-purchaseagreeme.htm" TargetMode="External"/><Relationship Id="rId144" Type="http://schemas.openxmlformats.org/officeDocument/2006/relationships/hyperlink" Target="https://www.sec.gov/Archives/edgar/data/1434621/000143462117000036/exhibit994-basewarrantconf.htm" TargetMode="External"/><Relationship Id="rId145" Type="http://schemas.openxmlformats.org/officeDocument/2006/relationships/hyperlink" Target="https://www.sec.gov/Archives/edgar/data/1434621/000143462117000036/exhibit995-additionalwarra.htm" TargetMode="External"/><Relationship Id="rId146" Type="http://schemas.openxmlformats.org/officeDocument/2006/relationships/hyperlink" Target="https://www.sec.gov/Archives/edgar/data/1434621/000143462120000015/tree-12312019xex47.htm" TargetMode="External"/><Relationship Id="rId147" Type="http://schemas.openxmlformats.org/officeDocument/2006/relationships/hyperlink" Target="https://www.sec.gov/Archives/edgar/data/1434621/000095010320014161/dp132751_ex0401.htm" TargetMode="External"/><Relationship Id="rId148" Type="http://schemas.openxmlformats.org/officeDocument/2006/relationships/hyperlink" Target="https://www.sec.gov/Archives/edgar/data/1434621/000143462121000002/tree-12312020xex102.htm" TargetMode="External"/><Relationship Id="rId149" Type="http://schemas.openxmlformats.org/officeDocument/2006/relationships/hyperlink" Target="https://www.sec.gov/Archives/edgar/data/1434621/000143462117000039/exhibit44a-2017inducementg.htm" TargetMode="External"/><Relationship Id="rId152" Type="http://schemas.openxmlformats.org/officeDocument/2006/relationships/hyperlink" Target="https://www.sec.gov/Archives/edgar/data/1434621/000143462117000039/exhibit44b-formofnoticeofr.htm" TargetMode="External"/><Relationship Id="rId153" Type="http://schemas.openxmlformats.org/officeDocument/2006/relationships/hyperlink" Target="https://www.sec.gov/Archives/edgar/data/1434621/000143462117000039/exhibit44c-formofnoticeofr.htm" TargetMode="External"/><Relationship Id="rId154" Type="http://schemas.openxmlformats.org/officeDocument/2006/relationships/hyperlink" Target="https://www.sec.gov/Archives/edgar/data/1434621/000143462115000024/tree-deferredcompplanbodex.htm" TargetMode="External"/><Relationship Id="rId155" Type="http://schemas.openxmlformats.org/officeDocument/2006/relationships/hyperlink" Target="https://www.sec.gov/Archives/edgar/data/1434621/000104746908008622/a2187113zex-10_15.htm" TargetMode="External"/><Relationship Id="rId156" Type="http://schemas.openxmlformats.org/officeDocument/2006/relationships/hyperlink" Target="https://www.sec.gov/Archives/edgar/data/1434621/000110465911004845/a11-5223_1ex10d2.htm" TargetMode="External"/><Relationship Id="rId157" Type="http://schemas.openxmlformats.org/officeDocument/2006/relationships/hyperlink" Target="https://www.sec.gov/Archives/edgar/data/1434621/000143462117000036/exhibit992-formofbasebondh.htm" TargetMode="External"/><Relationship Id="rId158" Type="http://schemas.openxmlformats.org/officeDocument/2006/relationships/hyperlink" Target="https://www.sec.gov/Archives/edgar/data/1434621/000143462117000036/exhibit993-additionalbondh.htm" TargetMode="External"/><Relationship Id="rId159" Type="http://schemas.openxmlformats.org/officeDocument/2006/relationships/hyperlink" Target="https://www.sec.gov/Archives/edgar/data/1434621/000095010321014050/dp157935_ex9901.htm" TargetMode="External"/><Relationship Id="rId160" Type="http://schemas.openxmlformats.org/officeDocument/2006/relationships/hyperlink" Target="https://www.sec.gov/Archives/edgar/data/1434621/000143462117000017/tree-12312016xex1031.htm" TargetMode="External"/><Relationship Id="rId161" Type="http://schemas.openxmlformats.org/officeDocument/2006/relationships/hyperlink" Target="https://www.sec.gov/Archives/edgar/data/1434621/000143462117000017/tree-12312016xex1032.htm" TargetMode="External"/><Relationship Id="rId162" Type="http://schemas.openxmlformats.org/officeDocument/2006/relationships/hyperlink" Target="https://www.sec.gov/Archives/edgar/data/1434621/000143462118000017/tree-2018331x10qexx101.htm" TargetMode="External"/><Relationship Id="rId163" Type="http://schemas.openxmlformats.org/officeDocument/2006/relationships/hyperlink" Target="https://www.sec.gov/Archives/edgar/data/1434621/000114036121014919/nc10023359x1_def14a.htm" TargetMode="External"/><Relationship Id="rId164" Type="http://schemas.openxmlformats.org/officeDocument/2006/relationships/hyperlink" Target="https://www.sec.gov/Archives/edgar/data/1434621/000143462120000030/tree-2020630x10qexx101.htm" TargetMode="External"/><Relationship Id="rId165" Type="http://schemas.openxmlformats.org/officeDocument/2006/relationships/hyperlink" Target="https://www.sec.gov/Archives/edgar/data/1434621/000143462123000003/tree-12312022xex1016.htm" TargetMode="External"/><Relationship Id="rId166" Type="http://schemas.openxmlformats.org/officeDocument/2006/relationships/hyperlink" Target="https://www.sec.gov/Archives/edgar/data/1434621/000143462120000030/tree-2020630x10qexx103.htm" TargetMode="External"/><Relationship Id="rId167" Type="http://schemas.openxmlformats.org/officeDocument/2006/relationships/hyperlink" Target="https://www.sec.gov/Archives/edgar/data/1434621/000143462120000030/tree-2020630x10qexx104.htm" TargetMode="External"/><Relationship Id="rId168" Type="http://schemas.openxmlformats.org/officeDocument/2006/relationships/hyperlink" Target="https://www.sec.gov/Archives/edgar/data/1434621/000095010320014161/dp132751_ex9902.htm" TargetMode="External"/><Relationship Id="rId169" Type="http://schemas.openxmlformats.org/officeDocument/2006/relationships/hyperlink" Target="https://www.sec.gov/Archives/edgar/data/1434621/000095010320014161/dp132751_ex9903.htm" TargetMode="External"/><Relationship Id="rId170" Type="http://schemas.openxmlformats.org/officeDocument/2006/relationships/hyperlink" Target="https://www.sec.gov/Archives/edgar/data/1434621/000095010320014161/dp132751_ex9904.htm" TargetMode="External"/><Relationship Id="rId171" Type="http://schemas.openxmlformats.org/officeDocument/2006/relationships/hyperlink" Target="https://www.sec.gov/Archives/edgar/data/1434621/000095010320014161/dp132751_ex9905.htm" TargetMode="External"/><Relationship Id="rId172" Type="http://schemas.openxmlformats.org/officeDocument/2006/relationships/hyperlink" Target="https://www.sec.gov/Archives/edgar/data/1434621/000143462121000002/tree-12312020xex1041.htm" TargetMode="External"/><Relationship Id="rId173" Type="http://schemas.openxmlformats.org/officeDocument/2006/relationships/hyperlink" Target="https://www.sec.gov/Archives/edgar/data/0001434621/000143462121000019/tree-20210630x10qexx101.htm" TargetMode="External"/><Relationship Id="rId175" Type="http://schemas.openxmlformats.org/officeDocument/2006/relationships/hyperlink" Target="https://www.sec.gov/Archives/edgar/data/1434621/000095010321011752/dp155487_ex9903.htm" TargetMode="External"/><Relationship Id="rId176" Type="http://schemas.openxmlformats.org/officeDocument/2006/relationships/hyperlink" Target="https://www.sec.gov/Archives/edgar/data/1434621/000114036123022080/ny20007139x1_def14a.htm" TargetMode="External"/><Relationship Id="rId177" Type="http://schemas.openxmlformats.org/officeDocument/2006/relationships/hyperlink" Target="https://www.sec.gov/Archives/edgar/data/1434621/000143462123000017/tree-2023630x10qexx101.htm" TargetMode="External"/><Relationship Id="rId178" Type="http://schemas.openxmlformats.org/officeDocument/2006/relationships/hyperlink" Target="https://www.sec.gov/Archives/edgar/data/1434621/000168316823005177/lendingtree_ex1003.htm" TargetMode="External"/><Relationship Id="rId179" Type="http://schemas.openxmlformats.org/officeDocument/2006/relationships/hyperlink" Target="https://www.sec.gov/Archives/edgar/data/1434621/000168316823005177/lendingtree_ex1004.htm" TargetMode="External"/><Relationship Id="rId180" Type="http://schemas.openxmlformats.org/officeDocument/2006/relationships/hyperlink" Target="https://www.sec.gov/Archives/edgar/data/1434621/000143462123000017/tree-2023630x10qexx103.htm" TargetMode="External"/><Relationship Id="rId181" Type="http://schemas.openxmlformats.org/officeDocument/2006/relationships/hyperlink" Target="https://www.sec.gov/Archives/edgar/data/1434621/000143462123000017/tree-2023630x10qexx102.htm" TargetMode="External"/><Relationship Id="rId182" Type="http://schemas.openxmlformats.org/officeDocument/2006/relationships/hyperlink" Target="https://www.sec.gov/Archives/edgar/data/1434621/000143462122000009/tree-123121xex1039.htm" TargetMode="External"/><Relationship Id="rId183" Type="http://schemas.openxmlformats.org/officeDocument/2006/relationships/hyperlink" Target="https://www.sec.gov/Archives/edgar/data/1434621/000143462122000009/tree-123121xex1040.htm" TargetMode="External"/><Relationship Id="rId184" Type="http://schemas.openxmlformats.org/officeDocument/2006/relationships/hyperlink" Target="https://www.sec.gov/Archives/edgar/data/1434621/000168316823001381/lendingtree_ex1001.htm" TargetMode="External"/><Relationship Id="rId185" Type="http://schemas.openxmlformats.org/officeDocument/2006/relationships/hyperlink" Target="https://www.sec.gov/Archives/edgar/data/1434621/000143462124000006/tree-12312023xex1036.htm" TargetMode="External"/><Relationship Id="rId186" Type="http://schemas.openxmlformats.org/officeDocument/2006/relationships/hyperlink" Target="https://www.sec.gov/Archives/edgar/data/1434621/000143462124000006/tree-12312023xex1037.htm" TargetMode="External"/><Relationship Id="rId187" Type="http://schemas.openxmlformats.org/officeDocument/2006/relationships/hyperlink" Target="https://www.sec.gov/Archives/edgar/data/1434621/000143462124000006/tree-12312023xex1038.htm" TargetMode="External"/><Relationship Id="rId188" Type="http://schemas.openxmlformats.org/officeDocument/2006/relationships/hyperlink" Target="https://www.sec.gov/Archives/edgar/data/1434621/000143462124000006/tree-12312023xex1039.htm" TargetMode="External"/><Relationship Id="rId189" Type="http://schemas.openxmlformats.org/officeDocument/2006/relationships/hyperlink" Target="https://www.sec.gov/Archives/edgar/data/1434621/000143462124000013/tree-2024331x10qexx102.htm" TargetMode="External"/><Relationship Id="rId190" Type="http://schemas.openxmlformats.org/officeDocument/2006/relationships/hyperlink" Target="https://www.sec.gov/Archives/edgar/data/1434621/000143462124000026/lendingtree-firstamendme.htm" TargetMode="External"/><Relationship Id="rId193" Type="http://schemas.openxmlformats.org/officeDocument/2006/relationships/hyperlink" Target="https://www.sec.gov/Archives/edgar/data/1434621/000143462124000006/tree-12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2025-03-07T05:13:05Z</dcterms:created>
  <dcterms:modified xsi:type="dcterms:W3CDTF">2025-03-07T05:13:05Z</dcterms:modified>
</cp:coreProperties>
</file>