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80" w:right="46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44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3" w:right="279" w:bottom="0" w:gutter="0" w:footer="0" w:header="0"/>
        </w:sectPr>
      </w:pPr>
    </w:p>
    <w:p>
      <w:pPr>
        <w:spacing w:after="0" w:line="17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200" w:space="720"/>
            <w:col w:w="4460"/>
          </w:cols>
          <w:pgMar w:left="240" w:top="233" w:right="27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233" w:right="27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11115 Rushmore Drive, Charlotte, North Carolina 28277</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ectPr>
          <w:pgSz w:w="11900" w:h="16838" w:orient="portrait"/>
          <w:cols w:equalWidth="0" w:num="1">
            <w:col w:w="11380"/>
          </w:cols>
          <w:pgMar w:left="240" w:top="233" w:right="279" w:bottom="0" w:gutter="0" w:footer="0" w:header="0"/>
          <w:type w:val="continuous"/>
        </w:sectPr>
      </w:pP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type w:val="continuous"/>
        </w:sectPr>
      </w:pP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37"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6" w:lineRule="exact"/>
        <w:rPr>
          <w:sz w:val="24"/>
          <w:szCs w:val="24"/>
          <w:color w:val="auto"/>
        </w:rPr>
      </w:pPr>
    </w:p>
    <w:p>
      <w:pPr>
        <w:sectPr>
          <w:pgSz w:w="11900" w:h="16838" w:orient="portrait"/>
          <w:cols w:equalWidth="0" w:num="2">
            <w:col w:w="6820" w:space="720"/>
            <w:col w:w="3840"/>
          </w:cols>
          <w:pgMar w:left="240" w:top="233" w:right="279" w:bottom="0" w:gutter="0" w:footer="0" w:header="0"/>
          <w:type w:val="continuous"/>
        </w:sect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August 12, 2013 there were 11,123,249 shares of the Registrant’s common stock, par value $.01 per share, outstanding, excluding treasury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60" w:type="dxa"/>
            <w:vAlign w:val="bottom"/>
            <w:gridSpan w:val="10"/>
            <w:vMerge w:val="restart"/>
          </w:tcPr>
          <w:p>
            <w:pPr>
              <w:jc w:val="right"/>
              <w:ind w:right="2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1300" w:type="dxa"/>
            <w:vAlign w:val="bottom"/>
            <w:gridSpan w:val="4"/>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60" w:type="dxa"/>
            <w:vAlign w:val="bottom"/>
            <w:gridSpan w:val="10"/>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300" w:type="dxa"/>
            <w:vAlign w:val="bottom"/>
            <w:gridSpan w:val="4"/>
            <w:vMerge w:val="continue"/>
          </w:tcPr>
          <w:p>
            <w:pPr>
              <w:spacing w:after="0"/>
              <w:rPr>
                <w:sz w:val="24"/>
                <w:szCs w:val="24"/>
                <w:color w:val="auto"/>
              </w:rPr>
            </w:pPr>
          </w:p>
        </w:tc>
        <w:tc>
          <w:tcPr>
            <w:tcW w:w="3040" w:type="dxa"/>
            <w:vAlign w:val="bottom"/>
            <w:gridSpan w:val="6"/>
          </w:tcPr>
          <w:p>
            <w:pPr>
              <w:spacing w:after="0"/>
              <w:rPr>
                <w:rFonts w:ascii="Arial" w:cs="Arial" w:eastAsia="Arial" w:hAnsi="Arial"/>
                <w:sz w:val="18"/>
                <w:szCs w:val="18"/>
                <w:b w:val="1"/>
                <w:bCs w:val="1"/>
                <w:i w:val="1"/>
                <w:iCs w:val="1"/>
                <w:color w:val="0000EE"/>
              </w:rPr>
            </w:pPr>
            <w:hyperlink w:anchor="page2">
              <w:r>
                <w:rPr>
                  <w:rFonts w:ascii="Arial" w:cs="Arial" w:eastAsia="Arial" w:hAnsi="Arial"/>
                  <w:sz w:val="18"/>
                  <w:szCs w:val="18"/>
                  <w:b w:val="1"/>
                  <w:bCs w:val="1"/>
                  <w:i w:val="1"/>
                  <w:iCs w:val="1"/>
                  <w:color w:val="0000EE"/>
                </w:rPr>
                <w:t>Financial Statements</w:t>
              </w:r>
            </w:hyperlink>
          </w:p>
        </w:tc>
        <w:tc>
          <w:tcPr>
            <w:tcW w:w="1500" w:type="dxa"/>
            <w:vAlign w:val="bottom"/>
            <w:tcBorders>
              <w:top w:val="single" w:sz="8" w:color="0000EE"/>
            </w:tcBorders>
            <w:gridSpan w:val="4"/>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w:t>
              </w:r>
            </w:hyperlink>
          </w:p>
        </w:tc>
        <w:tc>
          <w:tcPr>
            <w:tcW w:w="6920" w:type="dxa"/>
            <w:vAlign w:val="bottom"/>
            <w:gridSpan w:val="18"/>
          </w:tcPr>
          <w:p>
            <w:pPr>
              <w:spacing w:after="0" w:line="196" w:lineRule="exact"/>
              <w:rPr>
                <w:rFonts w:ascii="Arial" w:cs="Arial" w:eastAsia="Arial" w:hAnsi="Arial"/>
                <w:sz w:val="18"/>
                <w:szCs w:val="18"/>
                <w:b w:val="1"/>
                <w:bCs w:val="1"/>
                <w:i w:val="1"/>
                <w:iCs w:val="1"/>
                <w:color w:val="0000EE"/>
                <w:w w:val="90"/>
              </w:rPr>
            </w:pPr>
            <w:hyperlink w:anchor="page21">
              <w:r>
                <w:rPr>
                  <w:rFonts w:ascii="Arial" w:cs="Arial" w:eastAsia="Arial" w:hAnsi="Arial"/>
                  <w:sz w:val="18"/>
                  <w:szCs w:val="18"/>
                  <w:b w:val="1"/>
                  <w:bCs w:val="1"/>
                  <w:i w:val="1"/>
                  <w:iCs w:val="1"/>
                  <w:color w:val="0000EE"/>
                  <w:w w:val="90"/>
                </w:rPr>
                <w:t>Management’s Discussion and Analysis of Financial Condition and Results of Operations</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gridSpan w:val="2"/>
            <w:shd w:val="clear" w:color="auto" w:fill="0000EE"/>
          </w:tcPr>
          <w:p>
            <w:pPr>
              <w:spacing w:after="0" w:line="20" w:lineRule="exact"/>
              <w:rPr>
                <w:sz w:val="1"/>
                <w:szCs w:val="1"/>
                <w:color w:val="auto"/>
              </w:rPr>
            </w:pPr>
          </w:p>
        </w:tc>
        <w:tc>
          <w:tcPr>
            <w:tcW w:w="1320" w:type="dxa"/>
            <w:vAlign w:val="bottom"/>
            <w:tcBorders>
              <w:bottom w:val="single" w:sz="8" w:color="0000EE"/>
            </w:tcBorders>
            <w:gridSpan w:val="2"/>
            <w:shd w:val="clear" w:color="auto" w:fill="0000EE"/>
          </w:tcPr>
          <w:p>
            <w:pPr>
              <w:spacing w:after="0" w:line="20" w:lineRule="exact"/>
              <w:rPr>
                <w:sz w:val="1"/>
                <w:szCs w:val="1"/>
                <w:color w:val="auto"/>
              </w:rPr>
            </w:pPr>
          </w:p>
        </w:tc>
        <w:tc>
          <w:tcPr>
            <w:tcW w:w="1280" w:type="dxa"/>
            <w:vAlign w:val="bottom"/>
            <w:tcBorders>
              <w:bottom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52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68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6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gridSpan w:val="4"/>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w:t>
              </w:r>
            </w:hyperlink>
          </w:p>
        </w:tc>
        <w:tc>
          <w:tcPr>
            <w:tcW w:w="4540" w:type="dxa"/>
            <w:vAlign w:val="bottom"/>
            <w:gridSpan w:val="10"/>
          </w:tcPr>
          <w:p>
            <w:pPr>
              <w:spacing w:after="0" w:line="176" w:lineRule="exact"/>
              <w:rPr>
                <w:rFonts w:ascii="Arial" w:cs="Arial" w:eastAsia="Arial" w:hAnsi="Arial"/>
                <w:sz w:val="18"/>
                <w:szCs w:val="18"/>
                <w:b w:val="1"/>
                <w:bCs w:val="1"/>
                <w:i w:val="1"/>
                <w:iCs w:val="1"/>
                <w:color w:val="0000EE"/>
                <w:w w:val="88"/>
              </w:rPr>
            </w:pPr>
            <w:hyperlink w:anchor="page29">
              <w:r>
                <w:rPr>
                  <w:rFonts w:ascii="Arial" w:cs="Arial" w:eastAsia="Arial" w:hAnsi="Arial"/>
                  <w:sz w:val="18"/>
                  <w:szCs w:val="18"/>
                  <w:b w:val="1"/>
                  <w:bCs w:val="1"/>
                  <w:i w:val="1"/>
                  <w:iCs w:val="1"/>
                  <w:color w:val="0000EE"/>
                  <w:w w:val="88"/>
                </w:rPr>
                <w:t>Quantitative and Qualitative Disclosures About Market Risk</w:t>
              </w:r>
            </w:hyperlink>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5"/>
          </w:tcPr>
          <w:p>
            <w:pPr>
              <w:jc w:val="right"/>
              <w:ind w:right="4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gridSpan w:val="2"/>
            <w:shd w:val="clear" w:color="auto" w:fill="0000EE"/>
          </w:tcPr>
          <w:p>
            <w:pPr>
              <w:spacing w:after="0" w:line="20" w:lineRule="exact"/>
              <w:rPr>
                <w:sz w:val="1"/>
                <w:szCs w:val="1"/>
                <w:color w:val="auto"/>
              </w:rPr>
            </w:pPr>
          </w:p>
        </w:tc>
        <w:tc>
          <w:tcPr>
            <w:tcW w:w="1320" w:type="dxa"/>
            <w:vAlign w:val="bottom"/>
            <w:tcBorders>
              <w:bottom w:val="single" w:sz="8" w:color="0000EE"/>
            </w:tcBorders>
            <w:gridSpan w:val="2"/>
            <w:shd w:val="clear" w:color="auto" w:fill="0000EE"/>
          </w:tcPr>
          <w:p>
            <w:pPr>
              <w:spacing w:after="0" w:line="20" w:lineRule="exact"/>
              <w:rPr>
                <w:sz w:val="1"/>
                <w:szCs w:val="1"/>
                <w:color w:val="auto"/>
              </w:rPr>
            </w:pPr>
          </w:p>
        </w:tc>
        <w:tc>
          <w:tcPr>
            <w:tcW w:w="1280" w:type="dxa"/>
            <w:vAlign w:val="bottom"/>
            <w:tcBorders>
              <w:bottom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gridSpan w:val="4"/>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4540" w:type="dxa"/>
            <w:vAlign w:val="bottom"/>
            <w:gridSpan w:val="1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Controls and Procedures</w:t>
              </w:r>
            </w:hyperlink>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5"/>
          </w:tcPr>
          <w:p>
            <w:pPr>
              <w:jc w:val="right"/>
              <w:ind w:right="4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w:t>
              </w:r>
            </w:hyperlink>
          </w:p>
        </w:tc>
        <w:tc>
          <w:tcPr>
            <w:tcW w:w="3180" w:type="dxa"/>
            <w:vAlign w:val="bottom"/>
            <w:gridSpan w:val="7"/>
          </w:tcPr>
          <w:p>
            <w:pPr>
              <w:spacing w:after="0"/>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Legal Proceedings</w:t>
              </w:r>
            </w:hyperlink>
          </w:p>
        </w:tc>
        <w:tc>
          <w:tcPr>
            <w:tcW w:w="1360" w:type="dxa"/>
            <w:vAlign w:val="bottom"/>
            <w:tcBorders>
              <w:top w:val="single" w:sz="8" w:color="0000EE"/>
            </w:tcBorders>
            <w:gridSpan w:val="3"/>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Item 1A.</w:t>
              </w:r>
            </w:hyperlink>
          </w:p>
        </w:tc>
        <w:tc>
          <w:tcPr>
            <w:tcW w:w="620" w:type="dxa"/>
            <w:vAlign w:val="bottom"/>
            <w:gridSpan w:val="2"/>
          </w:tcPr>
          <w:p>
            <w:pPr>
              <w:spacing w:after="0"/>
              <w:rPr>
                <w:sz w:val="17"/>
                <w:szCs w:val="17"/>
                <w:color w:val="auto"/>
              </w:rPr>
            </w:pPr>
          </w:p>
        </w:tc>
        <w:tc>
          <w:tcPr>
            <w:tcW w:w="4540" w:type="dxa"/>
            <w:vAlign w:val="bottom"/>
            <w:gridSpan w:val="10"/>
          </w:tcPr>
          <w:p>
            <w:pPr>
              <w:spacing w:after="0" w:line="19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Risk Factors</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w:t>
              </w:r>
            </w:hyperlink>
          </w:p>
        </w:tc>
        <w:tc>
          <w:tcPr>
            <w:tcW w:w="620" w:type="dxa"/>
            <w:vAlign w:val="bottom"/>
            <w:gridSpan w:val="2"/>
          </w:tcPr>
          <w:p>
            <w:pPr>
              <w:spacing w:after="0"/>
              <w:rPr>
                <w:sz w:val="17"/>
                <w:szCs w:val="17"/>
                <w:color w:val="auto"/>
              </w:rPr>
            </w:pPr>
          </w:p>
        </w:tc>
        <w:tc>
          <w:tcPr>
            <w:tcW w:w="4540" w:type="dxa"/>
            <w:vAlign w:val="bottom"/>
            <w:gridSpan w:val="10"/>
          </w:tcPr>
          <w:p>
            <w:pPr>
              <w:spacing w:after="0" w:line="196" w:lineRule="exact"/>
              <w:rPr>
                <w:rFonts w:ascii="Arial" w:cs="Arial" w:eastAsia="Arial" w:hAnsi="Arial"/>
                <w:sz w:val="18"/>
                <w:szCs w:val="18"/>
                <w:b w:val="1"/>
                <w:bCs w:val="1"/>
                <w:i w:val="1"/>
                <w:iCs w:val="1"/>
                <w:color w:val="0000EE"/>
                <w:w w:val="87"/>
              </w:rPr>
            </w:pPr>
            <w:hyperlink w:anchor="page30">
              <w:r>
                <w:rPr>
                  <w:rFonts w:ascii="Arial" w:cs="Arial" w:eastAsia="Arial" w:hAnsi="Arial"/>
                  <w:sz w:val="18"/>
                  <w:szCs w:val="18"/>
                  <w:b w:val="1"/>
                  <w:bCs w:val="1"/>
                  <w:i w:val="1"/>
                  <w:iCs w:val="1"/>
                  <w:color w:val="0000EE"/>
                  <w:w w:val="87"/>
                </w:rPr>
                <w:t>Unregistered Sales of Equity Securities and Use of Proceeds</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4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4"/>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6.</w:t>
              </w:r>
            </w:hyperlink>
          </w:p>
        </w:tc>
        <w:tc>
          <w:tcPr>
            <w:tcW w:w="4540" w:type="dxa"/>
            <w:vAlign w:val="bottom"/>
            <w:gridSpan w:val="10"/>
          </w:tcPr>
          <w:p>
            <w:pPr>
              <w:spacing w:after="0" w:line="196" w:lineRule="exact"/>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Exhibits</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40" w:type="dxa"/>
            <w:vAlign w:val="bottom"/>
            <w:gridSpan w:val="8"/>
          </w:tcPr>
          <w:p>
            <w:pPr>
              <w:jc w:val="center"/>
              <w:ind w:left="36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jc w:val="center"/>
              <w:ind w:left="650"/>
              <w:spacing w:after="0"/>
              <w:rPr>
                <w:sz w:val="20"/>
                <w:szCs w:val="20"/>
                <w:color w:val="auto"/>
              </w:rPr>
            </w:pPr>
            <w:r>
              <w:rPr>
                <w:rFonts w:ascii="Arial" w:cs="Arial" w:eastAsia="Arial" w:hAnsi="Arial"/>
                <w:sz w:val="18"/>
                <w:szCs w:val="18"/>
                <w:b w:val="1"/>
                <w:bCs w:val="1"/>
                <w:color w:val="auto"/>
              </w:rPr>
              <w:t>PART 1—FINANCIAL INFORMATION</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14"/>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jc w:val="center"/>
              <w:ind w:left="650"/>
              <w:spacing w:after="0"/>
              <w:rPr>
                <w:sz w:val="20"/>
                <w:szCs w:val="20"/>
                <w:color w:val="auto"/>
              </w:rPr>
            </w:pPr>
            <w:r>
              <w:rPr>
                <w:rFonts w:ascii="Arial" w:cs="Arial" w:eastAsia="Arial" w:hAnsi="Arial"/>
                <w:sz w:val="18"/>
                <w:szCs w:val="18"/>
                <w:b w:val="1"/>
                <w:bCs w:val="1"/>
                <w:color w:val="auto"/>
                <w:w w:val="99"/>
              </w:rPr>
              <w:t>TREE.COM, INC. AND SUBSIDIARIES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10"/>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(In thousands, except per share amounts)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4460" w:type="dxa"/>
            <w:vAlign w:val="bottom"/>
            <w:gridSpan w:val="9"/>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37,406</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16,970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65,486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30,205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gridSpan w:val="14"/>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revenue (exclusive of depreciation shown separately</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below)</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w:t>
            </w:r>
          </w:p>
        </w:tc>
        <w:tc>
          <w:tcPr>
            <w:tcW w:w="4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ind w:left="180"/>
              <w:spacing w:after="0"/>
              <w:rPr>
                <w:sz w:val="20"/>
                <w:szCs w:val="20"/>
                <w:color w:val="auto"/>
              </w:rPr>
            </w:pPr>
            <w:r>
              <w:rPr>
                <w:rFonts w:ascii="Arial" w:cs="Arial" w:eastAsia="Arial" w:hAnsi="Arial"/>
                <w:sz w:val="18"/>
                <w:szCs w:val="18"/>
                <w:color w:val="auto"/>
              </w:rPr>
              <w:t>Selling and marketing expense</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26,386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10,969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43,641</w:t>
            </w:r>
          </w:p>
        </w:tc>
        <w:tc>
          <w:tcPr>
            <w:tcW w:w="4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21,621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12,207</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ind w:left="180"/>
              <w:spacing w:after="0"/>
              <w:rPr>
                <w:sz w:val="20"/>
                <w:szCs w:val="20"/>
                <w:color w:val="auto"/>
              </w:rPr>
            </w:pPr>
            <w:r>
              <w:rPr>
                <w:rFonts w:ascii="Arial" w:cs="Arial" w:eastAsia="Arial" w:hAnsi="Arial"/>
                <w:sz w:val="18"/>
                <w:szCs w:val="18"/>
                <w:color w:val="auto"/>
              </w:rPr>
              <w:t>Product development</w:t>
            </w:r>
          </w:p>
        </w:tc>
        <w:tc>
          <w:tcPr>
            <w:tcW w:w="520" w:type="dxa"/>
            <w:vAlign w:val="bottom"/>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2,697</w:t>
            </w:r>
          </w:p>
        </w:tc>
        <w:tc>
          <w:tcPr>
            <w:tcW w:w="4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1,757</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ind w:left="180"/>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4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ind w:left="180"/>
              <w:spacing w:after="0"/>
              <w:rPr>
                <w:sz w:val="20"/>
                <w:szCs w:val="20"/>
                <w:color w:val="auto"/>
              </w:rPr>
            </w:pPr>
            <w:r>
              <w:rPr>
                <w:rFonts w:ascii="Arial" w:cs="Arial" w:eastAsia="Arial" w:hAnsi="Arial"/>
                <w:sz w:val="18"/>
                <w:szCs w:val="18"/>
                <w:color w:val="auto"/>
              </w:rPr>
              <w:t>Litigation settlements and contingencies (Note 10)</w:t>
            </w:r>
          </w:p>
        </w:tc>
        <w:tc>
          <w:tcPr>
            <w:tcW w:w="520" w:type="dxa"/>
            <w:vAlign w:val="bottom"/>
          </w:tcPr>
          <w:p>
            <w:pPr>
              <w:jc w:val="right"/>
              <w:spacing w:after="0"/>
              <w:rPr>
                <w:sz w:val="20"/>
                <w:szCs w:val="20"/>
                <w:color w:val="auto"/>
              </w:rPr>
            </w:pPr>
            <w:r>
              <w:rPr>
                <w:rFonts w:ascii="Arial" w:cs="Arial" w:eastAsia="Arial" w:hAnsi="Arial"/>
                <w:sz w:val="18"/>
                <w:szCs w:val="18"/>
                <w:color w:val="auto"/>
              </w:rPr>
              <w:t>2,909</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3,937</w:t>
            </w:r>
          </w:p>
        </w:tc>
        <w:tc>
          <w:tcPr>
            <w:tcW w:w="4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12"/>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39,451</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19,730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12"/>
          </w:tcPr>
          <w:p>
            <w:pPr>
              <w:ind w:left="360"/>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(2,045)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(8,039)</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(2,052)</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(2,896)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4"/>
          </w:tcPr>
          <w:p>
            <w:pPr>
              <w:spacing w:after="0"/>
              <w:rPr>
                <w:sz w:val="20"/>
                <w:szCs w:val="20"/>
                <w:color w:val="auto"/>
              </w:rPr>
            </w:pPr>
            <w:r>
              <w:rPr>
                <w:rFonts w:ascii="Arial" w:cs="Arial" w:eastAsia="Arial" w:hAnsi="Arial"/>
                <w:sz w:val="18"/>
                <w:szCs w:val="18"/>
                <w:color w:val="auto"/>
              </w:rPr>
              <w:t>Income tax benefit (provision)</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3,274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(2,033)</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12"/>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10,003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24,313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gridSpan w:val="14"/>
            <w:shd w:val="clear" w:color="auto" w:fill="CCEEFF"/>
          </w:tcPr>
          <w:p>
            <w:pPr>
              <w:spacing w:after="0" w:line="201" w:lineRule="exact"/>
              <w:rPr>
                <w:sz w:val="20"/>
                <w:szCs w:val="20"/>
                <w:color w:val="auto"/>
              </w:rPr>
            </w:pPr>
            <w:r>
              <w:rPr>
                <w:rFonts w:ascii="Arial" w:cs="Arial" w:eastAsia="Arial" w:hAnsi="Arial"/>
                <w:sz w:val="18"/>
                <w:szCs w:val="18"/>
                <w:color w:val="auto"/>
              </w:rPr>
              <w:t>Income (loss) from operations of discontinued operations, net of</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(3,433)</w:t>
            </w:r>
          </w:p>
        </w:tc>
        <w:tc>
          <w:tcPr>
            <w:tcW w:w="4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20,633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gridSpan w:val="12"/>
          </w:tcPr>
          <w:p>
            <w:pPr>
              <w:spacing w:after="0"/>
              <w:rPr>
                <w:sz w:val="20"/>
                <w:szCs w:val="20"/>
                <w:color w:val="auto"/>
              </w:rPr>
            </w:pPr>
            <w:r>
              <w:rPr>
                <w:rFonts w:ascii="Arial" w:cs="Arial" w:eastAsia="Arial" w:hAnsi="Arial"/>
                <w:sz w:val="18"/>
                <w:szCs w:val="18"/>
                <w:color w:val="auto"/>
              </w:rPr>
              <w:t>Income from discontinued operations</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3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27,528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44,946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3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25,774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12"/>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bottom w:val="single" w:sz="8" w:color="CCEEFF"/>
            </w:tcBorders>
            <w:gridSpan w:val="12"/>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11,133</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0"/>
              </w:rPr>
              <w:t>10,685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11,050</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10,620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Borders>
              <w:bottom w:val="single" w:sz="8" w:color="CCEEFF"/>
            </w:tcBorders>
            <w:gridSpan w:val="12"/>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shares outstanding</w:t>
            </w: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tcBorders>
              <w:left w:val="single" w:sz="8" w:color="CCEEFF"/>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11,133</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10,685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11,050</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10,620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12"/>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gridSpan w:val="1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60" w:type="dxa"/>
            <w:vAlign w:val="bottom"/>
            <w:gridSpan w:val="9"/>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gridSpan w:val="4"/>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Borders>
              <w:bottom w:val="single" w:sz="8" w:color="CCEEFF"/>
            </w:tcBorders>
            <w:gridSpan w:val="4"/>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30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494"/>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(0.16)</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000" w:type="dxa"/>
            <w:vAlign w:val="bottom"/>
            <w:gridSpan w:val="12"/>
            <w:shd w:val="clear" w:color="auto" w:fill="CCEEFF"/>
          </w:tcPr>
          <w:p>
            <w:pPr>
              <w:spacing w:after="0" w:line="170" w:lineRule="exact"/>
              <w:rPr>
                <w:sz w:val="20"/>
                <w:szCs w:val="20"/>
                <w:color w:val="auto"/>
              </w:rPr>
            </w:pPr>
            <w:r>
              <w:rPr>
                <w:rFonts w:ascii="Arial" w:cs="Arial" w:eastAsia="Arial" w:hAnsi="Arial"/>
                <w:sz w:val="18"/>
                <w:szCs w:val="18"/>
                <w:color w:val="auto"/>
              </w:rPr>
              <w:t>Net income per share from discontinued operations</w:t>
            </w:r>
          </w:p>
        </w:tc>
        <w:tc>
          <w:tcPr>
            <w:tcW w:w="7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00" w:type="dxa"/>
            <w:vAlign w:val="bottom"/>
            <w:gridSpan w:val="4"/>
          </w:tcPr>
          <w:p>
            <w:pPr>
              <w:ind w:left="180"/>
              <w:spacing w:after="0"/>
              <w:rPr>
                <w:sz w:val="20"/>
                <w:szCs w:val="20"/>
                <w:color w:val="auto"/>
              </w:rPr>
            </w:pPr>
            <w:r>
              <w:rPr>
                <w:rFonts w:ascii="Arial" w:cs="Arial" w:eastAsia="Arial" w:hAnsi="Arial"/>
                <w:sz w:val="18"/>
                <w:szCs w:val="18"/>
                <w:color w:val="auto"/>
              </w:rPr>
              <w:t>Basic</w:t>
            </w:r>
          </w:p>
        </w:tc>
        <w:tc>
          <w:tcPr>
            <w:tcW w:w="4460" w:type="dxa"/>
            <w:vAlign w:val="bottom"/>
            <w:gridSpan w:val="9"/>
          </w:tcPr>
          <w:p>
            <w:pPr>
              <w:jc w:val="right"/>
              <w:ind w:right="60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0.82</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2.58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0.60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300" w:type="dxa"/>
            <w:vAlign w:val="bottom"/>
            <w:tcBorders>
              <w:top w:val="single" w:sz="8" w:color="CCEEFF"/>
              <w:bottom w:val="single" w:sz="8" w:color="CCEEFF"/>
            </w:tcBorders>
            <w:gridSpan w:val="4"/>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494"/>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12"/>
            <w:vMerge w:val="restart"/>
          </w:tcPr>
          <w:p>
            <w:pPr>
              <w:spacing w:after="0"/>
              <w:rPr>
                <w:sz w:val="20"/>
                <w:szCs w:val="20"/>
                <w:color w:val="auto"/>
              </w:rPr>
            </w:pPr>
            <w:r>
              <w:rPr>
                <w:rFonts w:ascii="Arial" w:cs="Arial" w:eastAsia="Arial" w:hAnsi="Arial"/>
                <w:sz w:val="18"/>
                <w:szCs w:val="18"/>
                <w:color w:val="auto"/>
              </w:rPr>
              <w:t>Net income per share</w:t>
            </w: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gridSpan w:val="12"/>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60" w:type="dxa"/>
            <w:vAlign w:val="bottom"/>
            <w:gridSpan w:val="9"/>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0.64</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gridSpan w:val="4"/>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00" w:type="dxa"/>
            <w:vAlign w:val="bottom"/>
            <w:gridSpan w:val="4"/>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0.64</w:t>
            </w:r>
          </w:p>
        </w:tc>
        <w:tc>
          <w:tcPr>
            <w:tcW w:w="30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494"/>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2.41</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3.76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-7196455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-7196455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85,283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80,190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Accounts receivable, net of allowance of $554 and $503, respectively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17,778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5,591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10,745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assets of discontinued operations (Note 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32,068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liabilities of discontinued operations (Note 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 par value; authorized 50,000,000 shares; issued 12,472,335 and 12,195,209 shares,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11,201,129 and 11,006,730 shares, respectively</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905,408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903,692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(807,118)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(811,480)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Treasury stock 1,271,206 and 1,188,479 shares, respectively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(10,905)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154,938</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1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1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Revision (Note 1)</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3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December 31, 2012</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(Revised)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903,692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for the six months ended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2013</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(1,493)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(1,765)</w:t>
            </w:r>
          </w:p>
        </w:tc>
        <w:tc>
          <w:tcPr>
            <w:tcW w:w="10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(1,768)</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exercise of stock options and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vesting of restricted stock units, net</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3060" w:type="dxa"/>
            <w:vAlign w:val="bottom"/>
          </w:tcPr>
          <w:p>
            <w:pPr>
              <w:ind w:left="180"/>
              <w:spacing w:after="0"/>
              <w:rPr>
                <w:sz w:val="20"/>
                <w:szCs w:val="20"/>
                <w:color w:val="auto"/>
              </w:rPr>
            </w:pPr>
            <w:r>
              <w:rPr>
                <w:rFonts w:ascii="Arial" w:cs="Arial" w:eastAsia="Arial" w:hAnsi="Arial"/>
                <w:sz w:val="18"/>
                <w:szCs w:val="18"/>
                <w:color w:val="auto"/>
              </w:rPr>
              <w:t>of withholding taxes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3060" w:type="dxa"/>
            <w:vAlign w:val="bottom"/>
          </w:tcPr>
          <w:p>
            <w:pPr>
              <w:spacing w:after="0"/>
              <w:rPr>
                <w:sz w:val="20"/>
                <w:szCs w:val="20"/>
                <w:color w:val="auto"/>
              </w:rPr>
            </w:pPr>
            <w:r>
              <w:rPr>
                <w:rFonts w:ascii="Arial" w:cs="Arial" w:eastAsia="Arial" w:hAnsi="Arial"/>
                <w:sz w:val="18"/>
                <w:szCs w:val="18"/>
                <w:b w:val="1"/>
                <w:bCs w:val="1"/>
                <w:color w:val="auto"/>
              </w:rPr>
              <w:t>Balance as of June 30, 2013</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87,510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12,472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Pr>
          <w:p>
            <w:pPr>
              <w:jc w:val="right"/>
              <w:ind w:right="50"/>
              <w:spacing w:after="0"/>
              <w:rPr>
                <w:sz w:val="20"/>
                <w:szCs w:val="20"/>
                <w:color w:val="auto"/>
              </w:rPr>
            </w:pPr>
            <w:r>
              <w:rPr>
                <w:rFonts w:ascii="Arial" w:cs="Arial" w:eastAsia="Arial" w:hAnsi="Arial"/>
                <w:sz w:val="18"/>
                <w:szCs w:val="18"/>
                <w:u w:val="single" w:color="auto"/>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u w:val="single" w:color="auto"/>
                <w:color w:val="auto"/>
              </w:rPr>
              <w:t>905,408</w:t>
            </w:r>
          </w:p>
        </w:tc>
        <w:tc>
          <w:tcPr>
            <w:tcW w:w="360" w:type="dxa"/>
            <w:vAlign w:val="bottom"/>
          </w:tcPr>
          <w:p>
            <w:pPr>
              <w:jc w:val="right"/>
              <w:ind w:right="70"/>
              <w:spacing w:after="0"/>
              <w:rPr>
                <w:sz w:val="20"/>
                <w:szCs w:val="20"/>
                <w:color w:val="auto"/>
              </w:rPr>
            </w:pPr>
            <w:r>
              <w:rPr>
                <w:rFonts w:ascii="Arial" w:cs="Arial" w:eastAsia="Arial" w:hAnsi="Arial"/>
                <w:sz w:val="18"/>
                <w:szCs w:val="18"/>
                <w:u w:val="single" w:color="auto"/>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u w:val="single" w:color="auto"/>
                <w:color w:val="auto"/>
              </w:rPr>
              <w:t>(807,118</w:t>
            </w: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1,271</w:t>
            </w:r>
          </w:p>
        </w:tc>
        <w:tc>
          <w:tcPr>
            <w:tcW w:w="1060" w:type="dxa"/>
            <w:vAlign w:val="bottom"/>
          </w:tcPr>
          <w:p>
            <w:pPr>
              <w:jc w:val="right"/>
              <w:spacing w:after="0"/>
              <w:rPr>
                <w:sz w:val="20"/>
                <w:szCs w:val="20"/>
                <w:color w:val="auto"/>
              </w:rPr>
            </w:pPr>
            <w:r>
              <w:rPr>
                <w:rFonts w:ascii="Arial" w:cs="Arial" w:eastAsia="Arial" w:hAnsi="Arial"/>
                <w:sz w:val="18"/>
                <w:szCs w:val="18"/>
                <w:u w:val="single" w:color="auto"/>
                <w:color w:val="auto"/>
              </w:rPr>
              <w:t>$   (10,905</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7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4,362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39,924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income from discontinued operations, net of tax</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(6,668)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(44,946)</w:t>
            </w:r>
          </w:p>
        </w:tc>
      </w:tr>
      <w:tr>
        <w:trPr>
          <w:trHeight w:val="210"/>
        </w:trPr>
        <w:tc>
          <w:tcPr>
            <w:tcW w:w="792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3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(2,306)</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net loss from continuing operations to net cash provided by (used in) operating</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attributable to continuing operations: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1,757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 (benefit)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(6,871)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(6,033)</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attributable to continuing operations</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(1,217)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Increase in restricted cash</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(4,647)</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net of withholding taxes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(1,452)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(Increase) decrease in restricted cash</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 attributable to continuing operations</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3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(3,440)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attributable to discontinued operations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225,824</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10,000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29,651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attributable to discontinued operations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(197,311)</w:t>
            </w:r>
          </w:p>
        </w:tc>
      </w:tr>
      <w:tr>
        <w:trPr>
          <w:trHeight w:val="21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provided by discontinued operations</w:t>
            </w:r>
          </w:p>
        </w:tc>
        <w:tc>
          <w:tcPr>
            <w:tcW w:w="3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58,164</w:t>
            </w:r>
          </w:p>
        </w:tc>
        <w:tc>
          <w:tcPr>
            <w:tcW w:w="100" w:type="dxa"/>
            <w:vAlign w:val="bottom"/>
            <w:tcBorders>
              <w:bottom w:val="single" w:sz="8" w:color="CCEEFF"/>
            </w:tcBorders>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49,141</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80,190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45,541</w:t>
            </w:r>
          </w:p>
        </w:tc>
      </w:tr>
      <w:tr>
        <w:trPr>
          <w:trHeight w:val="210"/>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85,283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ectPr>
          <w:pgSz w:w="11900" w:h="16838" w:orient="portrait"/>
          <w:cols w:equalWidth="0" w:num="1">
            <w:col w:w="11420"/>
          </w:cols>
          <w:pgMar w:left="240" w:top="125" w:right="239" w:bottom="50" w:gutter="0" w:footer="0" w:header="0"/>
        </w:sectPr>
      </w:pPr>
    </w:p>
    <w:bookmarkStart w:id="4" w:name="page5"/>
    <w:bookmarkEnd w:id="4"/>
    <w:p>
      <w:pPr>
        <w:spacing w:after="0" w:line="27" w:lineRule="exact"/>
        <w:rPr>
          <w:sz w:val="20"/>
          <w:szCs w:val="20"/>
          <w:color w:val="auto"/>
        </w:rPr>
      </w:pPr>
    </w:p>
    <w:p>
      <w:pPr>
        <w:ind w:right="40" w:firstLine="648"/>
        <w:spacing w:after="0" w:line="260" w:lineRule="auto"/>
        <w:rPr>
          <w:sz w:val="20"/>
          <w:szCs w:val="20"/>
          <w:color w:val="auto"/>
        </w:rPr>
      </w:pPr>
      <w:r>
        <w:rPr>
          <w:rFonts w:ascii="Arial" w:cs="Arial" w:eastAsia="Arial" w:hAnsi="Arial"/>
          <w:sz w:val="16"/>
          <w:szCs w:val="16"/>
          <w:color w:val="auto"/>
        </w:rPr>
        <w:t>Tree.com, Inc.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20"/>
          <w:szCs w:val="20"/>
          <w:color w:val="auto"/>
          <w:vertAlign w:val="superscript"/>
        </w:rPr>
        <w:t>®</w:t>
      </w:r>
      <w:r>
        <w:rPr>
          <w:rFonts w:ascii="Arial" w:cs="Arial" w:eastAsia="Arial" w:hAnsi="Arial"/>
          <w:sz w:val="16"/>
          <w:szCs w:val="16"/>
          <w:color w:val="auto"/>
        </w:rPr>
        <w:t>, GetSmart</w:t>
      </w:r>
      <w:r>
        <w:rPr>
          <w:rFonts w:ascii="Arial" w:cs="Arial" w:eastAsia="Arial" w:hAnsi="Arial"/>
          <w:sz w:val="20"/>
          <w:szCs w:val="20"/>
          <w:color w:val="auto"/>
          <w:vertAlign w:val="superscript"/>
        </w:rPr>
        <w:t>®</w:t>
      </w:r>
      <w:r>
        <w:rPr>
          <w:rFonts w:ascii="Arial" w:cs="Arial" w:eastAsia="Arial" w:hAnsi="Arial"/>
          <w:sz w:val="16"/>
          <w:szCs w:val="16"/>
          <w:color w:val="auto"/>
        </w:rPr>
        <w:t>, DegreeTree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LendingTreeAutos, DoneRight! </w:t>
      </w:r>
      <w:r>
        <w:rPr>
          <w:rFonts w:ascii="Arial" w:cs="Arial" w:eastAsia="Arial" w:hAnsi="Arial"/>
          <w:sz w:val="20"/>
          <w:szCs w:val="20"/>
          <w:color w:val="auto"/>
          <w:vertAlign w:val="superscript"/>
        </w:rPr>
        <w:t>®</w:t>
      </w:r>
      <w:r>
        <w:rPr>
          <w:rFonts w:ascii="Arial" w:cs="Arial" w:eastAsia="Arial" w:hAnsi="Arial"/>
          <w:sz w:val="16"/>
          <w:szCs w:val="16"/>
          <w:color w:val="auto"/>
        </w:rPr>
        <w:t>, ServiceTree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InsuranceTree</w:t>
      </w:r>
      <w:r>
        <w:rPr>
          <w:rFonts w:ascii="Arial" w:cs="Arial" w:eastAsia="Arial" w:hAnsi="Arial"/>
          <w:sz w:val="20"/>
          <w:szCs w:val="20"/>
          <w:color w:val="auto"/>
          <w:vertAlign w:val="superscript"/>
        </w:rPr>
        <w:t>®</w:t>
      </w:r>
      <w:r>
        <w:rPr>
          <w:rFonts w:ascii="Arial" w:cs="Arial" w:eastAsia="Arial" w:hAnsi="Arial"/>
          <w:sz w:val="16"/>
          <w:szCs w:val="16"/>
          <w:color w:val="auto"/>
        </w:rPr>
        <w:t>. Together, these brands serve as an ally for consumers who are looking to comparison-shop for loans, education programs, home services providers and other services from multiple businesses and professionals that will compete for their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and other operating segments, which are not yet mature businesses and have been aggregated. Prior period results have been reclassified to conform with the change in reportable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as amended on February 7, 2012, for the sale of substantially all of the operating assets of our LendingTree Loans business. We completed the sale on June 6, 2012.</w:t>
      </w:r>
    </w:p>
    <w:p>
      <w:pPr>
        <w:spacing w:after="0" w:line="181"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in the second quarter of 2013 and recognized as a gain from sale of discontinued operations.</w:t>
      </w:r>
    </w:p>
    <w:p>
      <w:pPr>
        <w:spacing w:after="0" w:line="166"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$18.1 million is being held in escrow pending resolution of certain actual and/or contingent liabilities that remain with us following the sale, as of June 30, 2013. The escrowed amount is recorded as restricted cash at June 30, 2013.</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The services have been satisfactorily completed as of June 30, 2013. Discover remains a network lender on our mortgage exchange following completion of the services.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accompanying unaudited interim consolidated financial statements as of June 30, 2013 and for the six months ended June 30, 2013 and 2012, respectively,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GAAP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and six months ended June 30, 2013 are not necessarily indicative of the results to be expected for the year ending December 31, 2013, or any other period. These financial statements and notes should be read in conjunction with the audited financial statements and notes thereto included in our annual report on Form 10-K for the year ended December 31,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preparation of our consolidated financial statements for the first quarter of 2013, we determined that the number of outstanding shares had been overstated in prior periods due to issuances of unrestricted shares upon satisfaction of vesting conditions on restricted shares from 2009 to 2012, without canceling the original restricted share certificates. This resulted in double counting of certain vested restricted shares in the calculation of shares outstanding. Management has determined that unrestricted shares issued upon vesting of restricted shares should not have been considered validly issued or outstanding until the associated restricted shares were canceled. All of the restricted stock awards that were double-counted were issued to our Chairman and CEO. The error in shares noted above was not reflected in our Chairman and CEO’s filings made under Section 13(d) or Section 16 of the Securities Exchange Act of 1934 or in our disclosures of his holdings in public filings. In addition, our weighted average share calculation had erroneously included restricted shares, resulting in errors in the previously reported weighted average shares and earnings per share.</w:t>
      </w:r>
    </w:p>
    <w:p>
      <w:pPr>
        <w:sectPr>
          <w:pgSz w:w="11900" w:h="16865" w:orient="portrait"/>
          <w:cols w:equalWidth="0" w:num="1">
            <w:col w:w="11400"/>
          </w:cols>
          <w:pgMar w:left="240" w:top="125" w:right="259" w:bottom="0" w:gutter="0" w:footer="0" w:header="0"/>
        </w:sectPr>
      </w:pPr>
    </w:p>
    <w:bookmarkStart w:id="5" w:name="page6"/>
    <w:bookmarkEnd w:id="5"/>
    <w:p>
      <w:pPr>
        <w:ind w:right="120"/>
        <w:spacing w:after="0" w:line="272" w:lineRule="auto"/>
        <w:rPr>
          <w:sz w:val="20"/>
          <w:szCs w:val="20"/>
          <w:color w:val="auto"/>
        </w:rPr>
      </w:pPr>
      <w:r>
        <w:rPr>
          <w:rFonts w:ascii="Arial" w:cs="Arial" w:eastAsia="Arial" w:hAnsi="Arial"/>
          <w:sz w:val="17"/>
          <w:szCs w:val="17"/>
          <w:color w:val="auto"/>
        </w:rPr>
        <w:t>On December 26, 2012, we paid a special dividend of $1.00 per share to our shareholders of record on December 17, 2012. The dividend was paid on all shares shown as outstanding in our records, including the shares granted to our Chairman and CEO for which management has determined should not have been considered issued or outstanding. As a result, we unintentionally overpaid $0.4 million in dividends to our Chairman and CEO, which was presented as a financing cash outflow for the year ended December 31, 2012. Such amount was repaid to the Company during the second quarter of 2013 and is presented as a financing cash inflow in the six months ended June 30, 2013. Other than that special dividend, we have not declared or paid any cash dividends on our common stock. There was also a related error in the dividend accrual recorded for unvested shares entitled to the special dividend upon vesting, resulting in an over accrual of $0.2 million at December 31, 2012.</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ASC 250-10, we assessed materiality of the errors and concluded that the errors were not material to any of our previously issued financial statements. Accordingly, we corrected the dividend errors in the first quarter of 2013 and we are revising our previously issued financial statements prospectively to correct share errors.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effect of these corrections on the Company’s Consolidated Statements of Operations for the years ended December 31, 2012 and December 31, 2011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 2012</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 2011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Adjustment</w:t>
            </w:r>
          </w:p>
        </w:tc>
        <w:tc>
          <w:tcPr>
            <w:tcW w:w="200" w:type="dxa"/>
            <w:vAlign w:val="bottom"/>
          </w:tcPr>
          <w:p>
            <w:pPr>
              <w:spacing w:after="0"/>
              <w:rPr>
                <w:sz w:val="10"/>
                <w:szCs w:val="10"/>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As Revised</w:t>
            </w:r>
          </w:p>
        </w:tc>
        <w:tc>
          <w:tcPr>
            <w:tcW w:w="200" w:type="dxa"/>
            <w:vAlign w:val="bottom"/>
          </w:tcPr>
          <w:p>
            <w:pPr>
              <w:spacing w:after="0"/>
              <w:rPr>
                <w:sz w:val="10"/>
                <w:szCs w:val="10"/>
                <w:color w:val="auto"/>
              </w:rPr>
            </w:pPr>
          </w:p>
        </w:tc>
        <w:tc>
          <w:tcPr>
            <w:tcW w:w="11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0"/>
                <w:szCs w:val="10"/>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As Revised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basic shares outstanding</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Weighted average diluted shares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10,695</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from continuing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income (loss) per share from</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discontinuing operations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(0.89)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(loss) per share attributable to</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years ended December 31, 2012 and 2011,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tables present the effect of these corrections on the Company’s Consolidated Statements of Operations for each of the quarters in the year ended December 31, 2012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jc w:val="right"/>
              <w:ind w:right="752"/>
              <w:spacing w:after="0"/>
              <w:rPr>
                <w:sz w:val="20"/>
                <w:szCs w:val="20"/>
                <w:color w:val="auto"/>
              </w:rPr>
            </w:pPr>
            <w:r>
              <w:rPr>
                <w:rFonts w:ascii="Arial" w:cs="Arial" w:eastAsia="Arial" w:hAnsi="Arial"/>
                <w:sz w:val="14"/>
                <w:szCs w:val="14"/>
                <w:b w:val="1"/>
                <w:bCs w:val="1"/>
                <w:color w:val="auto"/>
              </w:rPr>
              <w:t>Three months ended March 31, 2012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8"/>
          </w:tcPr>
          <w:p>
            <w:pPr>
              <w:jc w:val="right"/>
              <w:ind w:right="772"/>
              <w:spacing w:after="0"/>
              <w:rPr>
                <w:sz w:val="20"/>
                <w:szCs w:val="20"/>
                <w:color w:val="auto"/>
              </w:rPr>
            </w:pPr>
            <w:r>
              <w:rPr>
                <w:rFonts w:ascii="Arial" w:cs="Arial" w:eastAsia="Arial" w:hAnsi="Arial"/>
                <w:sz w:val="14"/>
                <w:szCs w:val="14"/>
                <w:b w:val="1"/>
                <w:bCs w:val="1"/>
                <w:color w:val="auto"/>
              </w:rPr>
              <w:t>Three months ended June 30,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Adjustment</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As Revised</w:t>
            </w:r>
          </w:p>
        </w:tc>
        <w:tc>
          <w:tcPr>
            <w:tcW w:w="200" w:type="dxa"/>
            <w:vAlign w:val="bottom"/>
          </w:tcPr>
          <w:p>
            <w:pPr>
              <w:spacing w:after="0"/>
              <w:rPr>
                <w:sz w:val="10"/>
                <w:szCs w:val="10"/>
                <w:color w:val="auto"/>
              </w:rPr>
            </w:pPr>
          </w:p>
        </w:tc>
        <w:tc>
          <w:tcPr>
            <w:tcW w:w="11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basic shares outstanding</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Weighted average diluted shares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10,555</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from continuing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income per share from discontinuing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attributable to</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correction of an error of 241 shares and $0.03 per share made during the first quarter of 2012 related to the control number utilized for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3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220" w:type="dxa"/>
            <w:vAlign w:val="bottom"/>
          </w:tcPr>
          <w:p>
            <w:pPr>
              <w:spacing w:after="0"/>
              <w:rPr>
                <w:sz w:val="14"/>
                <w:szCs w:val="14"/>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As</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Adjustment</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As</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3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3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basic shares outstanding</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6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12,003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11,385</w:t>
            </w:r>
          </w:p>
        </w:tc>
        <w:tc>
          <w:tcPr>
            <w:tcW w:w="5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12,175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11,557</w:t>
            </w: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from continuing</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0.22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Net income (loss) per share from</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discontinuing operations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attributable to</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0.20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these errors had on the Consolidated Balance Sheet at December 31, 2012:</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66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Adjustment</w:t>
            </w:r>
          </w:p>
        </w:tc>
        <w:tc>
          <w:tcPr>
            <w:tcW w:w="136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shares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12,625,678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0"/>
              </w:rPr>
              <w:t>(430,469)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12,195,209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Outstanding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11,437,199</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(430,469)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11,006,730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and short-term, highly liquid money market investments with original maturities of three months or less.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sale of LTL (Note 13)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in escrow for earnout related to an acquisition</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for loan loss obligations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29"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Our business is subject to certain risks and concentrations including dependence on third-party technology providers, exposure to risks associated with online commerce security and credit card fraud.</w:t>
      </w:r>
    </w:p>
    <w:p>
      <w:pPr>
        <w:spacing w:after="0" w:line="170"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Financial instruments, which potentially subject us to concentration of credit risk, consist primarily of cash and cash equivalents. Cash and cash equivalents are in excess of Federal Deposit Insurance Corporation insurance limits, but are maintained with quality financial institutions of high credit.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lender network.</w:t>
      </w:r>
    </w:p>
    <w:p>
      <w:pPr>
        <w:spacing w:after="0" w:line="225" w:lineRule="exact"/>
        <w:rPr>
          <w:sz w:val="20"/>
          <w:szCs w:val="20"/>
          <w:color w:val="auto"/>
        </w:rPr>
      </w:pPr>
    </w:p>
    <w:p>
      <w:pPr>
        <w:ind w:right="20" w:firstLine="450"/>
        <w:spacing w:after="0" w:line="312" w:lineRule="auto"/>
        <w:rPr>
          <w:sz w:val="20"/>
          <w:szCs w:val="20"/>
          <w:color w:val="auto"/>
        </w:rPr>
      </w:pPr>
      <w:r>
        <w:rPr>
          <w:rFonts w:ascii="Arial" w:cs="Arial" w:eastAsia="Arial" w:hAnsi="Arial"/>
          <w:sz w:val="16"/>
          <w:szCs w:val="16"/>
          <w:color w:val="auto"/>
        </w:rPr>
        <w:t>Lenders participating on our lender network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w:t>
      </w:r>
    </w:p>
    <w:p>
      <w:pPr>
        <w:sectPr>
          <w:pgSz w:w="11900" w:h="16838" w:orient="portrait"/>
          <w:cols w:equalWidth="0" w:num="1">
            <w:col w:w="11420"/>
          </w:cols>
          <w:pgMar w:left="240" w:top="125" w:right="239" w:bottom="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is effective on a retrospective basis for all comparative periods presented beginning on January 1, 2013. The adoption of this guidance did not have a material impact on our consolidated financial statements.</w:t>
      </w:r>
    </w:p>
    <w:p>
      <w:pPr>
        <w:spacing w:after="0" w:line="15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July 2012, the FASB issued new guidance which allows an entity to first assess qualitative factors to determine whether the existence of events and circumstances indicates that it is more likely than not that an indefinite-lived intangible asset is impaired. This assessment should be used as a basis for determining whether it is necessary to perform the quantitative impairment test. 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The adoption of this guidance did not have a material impact on our consolidated financial statements.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2013, the FASB issued ASU No. 2013-04, “Liabilities.” ASU No. 2013-04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in this ASU also requires an entity to disclose the nature and amount of the obligation as well as other information about those obligations. The amendments in this ASU are effective for fiscal years, and interim periods within those years, beginning after December 15, 2013. We are evaluating the impact that the adoption will have on our consolidated financial statements in fiscal 2014.</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July 2013, the FASB issued guidance on the financial statement presentation of an unrecognized tax benefit when a net operating loss carryforward, a similar tax loss, or a tax credit carryforward exists. The new accounting guidance is effective for interim and annual reporting periods beginning after December 15, 2013, with early adoption permitted. Prospective or retrospective application is permitted. The adoption of this guidance is not expected to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(483,088)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goodwill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with indefinite lives relate to our trademarks.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2013, intangible assets with definite lives relate to the following ($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Technology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25,194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(25,189)</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(6,136)</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(1,513)</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33,629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9"/>
          </w:tcPr>
          <w:p>
            <w:pPr>
              <w:jc w:val="right"/>
              <w:ind w:right="59"/>
              <w:spacing w:after="0"/>
              <w:rPr>
                <w:sz w:val="20"/>
                <w:szCs w:val="20"/>
                <w:color w:val="auto"/>
              </w:rPr>
            </w:pPr>
            <w:r>
              <w:rPr>
                <w:rFonts w:ascii="Arial" w:cs="Arial" w:eastAsia="Arial" w:hAnsi="Arial"/>
                <w:sz w:val="18"/>
                <w:szCs w:val="18"/>
                <w:color w:val="auto"/>
                <w:w w:val="91"/>
              </w:rPr>
              <w:t>At December 31, 2012, intangible assets with definite lives relate to the following ($ in thousands):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Life (Years)</w:t>
            </w:r>
          </w:p>
        </w:tc>
        <w:tc>
          <w:tcPr>
            <w:tcW w:w="13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Technology</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25,194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(25,158)</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(1,511)</w:t>
            </w: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83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June 30, 2013 balances, such amortization for the next five years is estimated to be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ending December 31, 2013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Year ending December 31, 2014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Year ending December 31, 2016</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4—PROPERTY AND EQUIPMENT</w:t>
            </w: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660"/>
              <w:spacing w:after="0"/>
              <w:rPr>
                <w:sz w:val="20"/>
                <w:szCs w:val="20"/>
                <w:color w:val="auto"/>
              </w:rPr>
            </w:pPr>
            <w:r>
              <w:rPr>
                <w:rFonts w:ascii="Arial" w:cs="Arial" w:eastAsia="Arial" w:hAnsi="Arial"/>
                <w:sz w:val="18"/>
                <w:szCs w:val="18"/>
                <w:color w:val="auto"/>
              </w:rPr>
              <w:t>The balance of property and equipment, net is as follows (in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Projects in progress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660"/>
              <w:spacing w:after="0"/>
              <w:rPr>
                <w:sz w:val="20"/>
                <w:szCs w:val="20"/>
                <w:color w:val="auto"/>
              </w:rPr>
            </w:pPr>
            <w:r>
              <w:rPr>
                <w:rFonts w:ascii="Arial" w:cs="Arial" w:eastAsia="Arial" w:hAnsi="Arial"/>
                <w:sz w:val="18"/>
                <w:szCs w:val="18"/>
                <w:color w:val="auto"/>
                <w:w w:val="99"/>
              </w:rPr>
              <w:t>Accrued expenses and other current liabilities consist of the following (in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 additional $0.3 million and $0.5 million of accrued restructuring liability is classified in other non-current liabilities at June 30, 2013 and December 31,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Basic</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Basic</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(2,033)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9,112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27,528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27,528</w:t>
            </w:r>
          </w:p>
        </w:tc>
      </w:tr>
      <w:tr>
        <w:trPr>
          <w:trHeight w:val="250"/>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Borders>
              <w:bottom w:val="single" w:sz="8" w:color="CCEEFF"/>
            </w:tcBorders>
          </w:tcPr>
          <w:p>
            <w:pPr>
              <w:spacing w:after="0"/>
              <w:rPr>
                <w:sz w:val="21"/>
                <w:szCs w:val="2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Denominator:</w:t>
            </w:r>
          </w:p>
        </w:tc>
        <w:tc>
          <w:tcPr>
            <w:tcW w:w="1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11,133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10,685</w:t>
            </w:r>
          </w:p>
        </w:tc>
        <w:tc>
          <w:tcPr>
            <w:tcW w:w="2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10,685</w:t>
            </w:r>
          </w:p>
        </w:tc>
      </w:tr>
      <w:tr>
        <w:trPr>
          <w:trHeight w:val="170"/>
        </w:trPr>
        <w:tc>
          <w:tcPr>
            <w:tcW w:w="38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Income (loss) per share:</w:t>
            </w:r>
          </w:p>
        </w:tc>
        <w:tc>
          <w:tcPr>
            <w:tcW w:w="1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continuing operations</w:t>
            </w:r>
          </w:p>
        </w:tc>
        <w:tc>
          <w:tcPr>
            <w:tcW w:w="1460" w:type="dxa"/>
            <w:vAlign w:val="bottom"/>
            <w:tcBorders>
              <w:bottom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(0.18)</w:t>
            </w:r>
          </w:p>
        </w:tc>
        <w:tc>
          <w:tcPr>
            <w:tcW w:w="40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(0.16)</w:t>
            </w:r>
          </w:p>
        </w:tc>
      </w:tr>
    </w:tbl>
    <w:p>
      <w:pPr>
        <w:sectPr>
          <w:pgSz w:w="11900" w:h="16900" w:orient="portrait"/>
          <w:cols w:equalWidth="0" w:num="1">
            <w:col w:w="11460"/>
          </w:cols>
          <w:pgMar w:left="240" w:top="104"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discontinued operations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30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0.64</w:t>
            </w:r>
          </w:p>
        </w:tc>
        <w:tc>
          <w:tcPr>
            <w:tcW w:w="9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8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12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44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w w:val="99"/>
              </w:rPr>
              <w:t>TREE.COM, INC. AND SUBSIDIARIES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0" w:type="dxa"/>
            <w:vAlign w:val="bottom"/>
            <w:gridSpan w:val="9"/>
          </w:tcPr>
          <w:p>
            <w:pPr>
              <w:jc w:val="center"/>
              <w:ind w:right="459"/>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w w:val="97"/>
              </w:rPr>
              <w:t>Net loss from continuing operations</w:t>
            </w:r>
          </w:p>
        </w:tc>
        <w:tc>
          <w:tcPr>
            <w:tcW w:w="30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(2,306)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(2,306)</w:t>
            </w:r>
          </w:p>
        </w:tc>
        <w:tc>
          <w:tcPr>
            <w:tcW w:w="9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(5,022)</w:t>
            </w:r>
          </w:p>
        </w:tc>
        <w:tc>
          <w:tcPr>
            <w:tcW w:w="4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discontinued operations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44,946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44,946</w:t>
            </w:r>
          </w:p>
        </w:tc>
        <w:tc>
          <w:tcPr>
            <w:tcW w:w="40" w:type="dxa"/>
            <w:vAlign w:val="bottom"/>
          </w:tcPr>
          <w:p>
            <w:pPr>
              <w:spacing w:after="0"/>
              <w:rPr>
                <w:sz w:val="18"/>
                <w:szCs w:val="18"/>
                <w:color w:val="auto"/>
              </w:rPr>
            </w:pPr>
          </w:p>
        </w:tc>
      </w:tr>
      <w:tr>
        <w:trPr>
          <w:trHeight w:val="250"/>
        </w:trPr>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22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39,924</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27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Denominator:</w:t>
            </w:r>
          </w:p>
        </w:tc>
        <w:tc>
          <w:tcPr>
            <w:tcW w:w="2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2780" w:type="dxa"/>
            <w:vAlign w:val="bottom"/>
            <w:gridSpan w:val="2"/>
          </w:tcPr>
          <w:p>
            <w:pPr>
              <w:spacing w:after="0"/>
              <w:rPr>
                <w:sz w:val="20"/>
                <w:szCs w:val="20"/>
                <w:color w:val="auto"/>
              </w:rPr>
            </w:pPr>
            <w:r>
              <w:rPr>
                <w:rFonts w:ascii="Arial" w:cs="Arial" w:eastAsia="Arial" w:hAnsi="Arial"/>
                <w:sz w:val="18"/>
                <w:szCs w:val="18"/>
                <w:color w:val="auto"/>
                <w:w w:val="98"/>
              </w:rPr>
              <w:t>Weighted average common shares</w:t>
            </w:r>
          </w:p>
        </w:tc>
        <w:tc>
          <w:tcPr>
            <w:tcW w:w="2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11,050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10,620</w:t>
            </w:r>
          </w:p>
        </w:tc>
        <w:tc>
          <w:tcPr>
            <w:tcW w:w="2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10,620</w:t>
            </w:r>
          </w:p>
        </w:tc>
        <w:tc>
          <w:tcPr>
            <w:tcW w:w="40" w:type="dxa"/>
            <w:vAlign w:val="bottom"/>
          </w:tcPr>
          <w:p>
            <w:pPr>
              <w:spacing w:after="0"/>
              <w:rPr>
                <w:sz w:val="22"/>
                <w:szCs w:val="22"/>
                <w:color w:val="auto"/>
              </w:rPr>
            </w:pPr>
          </w:p>
        </w:tc>
      </w:tr>
      <w:tr>
        <w:trPr>
          <w:trHeight w:val="170"/>
        </w:trPr>
        <w:tc>
          <w:tcPr>
            <w:tcW w:w="27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Income (loss) per share:</w:t>
            </w:r>
          </w:p>
        </w:tc>
        <w:tc>
          <w:tcPr>
            <w:tcW w:w="2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w w:val="97"/>
              </w:rPr>
              <w:t>Net loss from continuing operations</w:t>
            </w:r>
          </w:p>
        </w:tc>
        <w:tc>
          <w:tcPr>
            <w:tcW w:w="30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9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discontinued operations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30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9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-2883535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-2883535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the three and six months ended June 30, 2013 and 2012,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 For the three months ended June 30, 2013 and 2012, approximately 0.6 million and 0.5 million shares, respectively, related to potentially dilutive securities were excluded from the calculation of diluted earnings per share, because their inclusion would have been anti-dilutive. For the six months ended June 30, 2013 and 2012, approximately 0.7 million and 0.3 million shares, respectively, related to potentially dilutive securities were excluded from the calculation of diluted earnings per share, because their inclusion would have been anti-dilutive.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Commom Stock Repurchases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January 11, 2010, our board of directors authorized the repurchase of up to $10 million of our common stock. During the second quarter of 2013, we purchased 44,142 shares of our common stock for aggregate consideration of $0.8 million. At June 30, 2013 we had approximately $2.6 million remaining in our share repurchase authorization.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six months ended June 30, 2013 and 2012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3"/>
              </w:rPr>
              <w:t>Six Months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left="298"/>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market condition vesting, where certain market conditions must be achieved before an award vests. Tree.com recognizes expense for all stock-based awards for which vesting is considered probable. For stock-based awards, the accounting charge is measured at the grant date as the fair value of Tree.com common stock awarded and expensed ratably as non-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compensation over the vesting term.</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w:t>
      </w:r>
    </w:p>
    <w:p>
      <w:pPr>
        <w:sectPr>
          <w:pgSz w:w="11900" w:h="16838" w:orient="portrait"/>
          <w:cols w:equalWidth="0" w:num="1">
            <w:col w:w="11460"/>
          </w:cols>
          <w:pgMar w:left="240" w:top="140" w:right="19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necessary, in subsequent periods if the actual forfeiture rate differs from the estimated rate.</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During February 2013, our Chairman and CEO was granted 62,500 shares of restricted stock with a fair value of $1.1 million and a three year vesting period. The fair value of the restricted stock is based upon the market price of the underlying common stock as of the date of grant. Compensation expense is recognized on a straight-line basis over the vesting period. He was also granted 62,500 shares of restricted stock which vest based on a market condition, but not earlier than one year from the grant date, and will be forfeited if the market-based performance target is not achieved within three years. The fair value of the market-based performance restricted stock was determined to be $0.9 million using a Monte Carlo simulation model. The fair value on grant date is recognized over the requisite service period and will not change regardless of the Company’s actual performance versus the market-based performance target.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outstanding stock options for the six months ended June 30, 2013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1,072,503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8.97</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7.87</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10.37</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Outstanding at June 30, 2013</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1,051,237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8.99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8,712,665</w:t>
            </w: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at June 30, 2013</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310,095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10.97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2,056,274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June 30,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Options Outstanding</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Life in Years</w:t>
            </w: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140" w:type="dxa"/>
            <w:vAlign w:val="bottom"/>
          </w:tcPr>
          <w:p>
            <w:pPr>
              <w:jc w:val="right"/>
              <w:spacing w:after="0"/>
              <w:rPr>
                <w:sz w:val="20"/>
                <w:szCs w:val="20"/>
                <w:color w:val="auto"/>
              </w:rPr>
            </w:pPr>
            <w:r>
              <w:rPr>
                <w:rFonts w:ascii="Arial" w:cs="Arial" w:eastAsia="Arial" w:hAnsi="Arial"/>
                <w:sz w:val="18"/>
                <w:szCs w:val="18"/>
                <w:color w:val="auto"/>
              </w:rPr>
              <w:t>304,352</w:t>
            </w:r>
          </w:p>
        </w:tc>
        <w:tc>
          <w:tcPr>
            <w:tcW w:w="12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153,060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608,949</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10,517</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10,517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80,391</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80,391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46,663</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46,663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Nonvested RSUs, restricted stock and restricted stock with a market condition as of June 30, 2013 and changes during the six months ended June 30, 2013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RSUs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Restricted Stock</w:t>
            </w:r>
          </w:p>
        </w:tc>
        <w:tc>
          <w:tcPr>
            <w:tcW w:w="26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Restricted Stock</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Market Condition</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9"/>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9"/>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232,831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(187,501)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(61,041)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June 30, 2013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919"/>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For the three months ended June 30, 2013 and 2012, we recorded tax benefits of $(19) thousand and $(1.1) million, respectively, which represent effective tax rates of 0.9% and 39.4%, respectively. For the six months ended June 30, 2013 and 2012, we recorded a tax provision (benefit) of $1 thousand and $(3.3) million, respectively, which represent effective tax rates of 0.04% and 39.5%, respectively. The Company established a valuation allowance of approximately $55 million during the year ended December 31, 2012 to offset its US net deferred tax assets, after excluding deferred tax liabilities related to indefinite-lived intangible assets that are not anticipated to provide a source of taxable income in the foreseeable future. For the three and six months ended June 30, 2013, the effective income tax rates were impacted by the indefinite-lived intangible assets which are amortized for tax purposes but not amortized for book purposes, as well as a discrete state tax liability occurring during the periods. For the three and six months ended June 30, 2012, our effective tax rates were higher than the federal statutory rate of 35%, primarily due to the impact of state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9—DISCRETIONARY CASH BONUS</w:t>
      </w:r>
    </w:p>
    <w:p>
      <w:pPr>
        <w:sectPr>
          <w:pgSz w:w="11900" w:h="16838" w:orient="portrait"/>
          <w:cols w:equalWidth="0" w:num="1">
            <w:col w:w="11460"/>
          </w:cols>
          <w:pgMar w:left="240" w:top="125" w:right="199" w:bottom="185" w:gutter="0" w:footer="0" w:header="0"/>
        </w:sectPr>
      </w:pPr>
    </w:p>
    <w:bookmarkStart w:id="11" w:name="page12"/>
    <w:bookmarkEnd w:id="11"/>
    <w:p>
      <w:pPr>
        <w:spacing w:after="0" w:line="2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February 2013, the Company incurred a compensation charge of $0.9 million related to a discretionary cash bonus payment to employee stock option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 For those proceedings in which an unfavorable outcome is reasonably possible but not probable, we have disclosed an estimate of the reasonably possible loss or range of losses or we have concluded that an estimate of the reasonably possible loss or range of losses arising directly from the proceeding (i.e., monetary damages or amounts paid in judgment or settlement) is not material.</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assessing the materiality of a legal proceeding, we evaluate, among other factors, the amount of monetary damages claimed, as well as the potential impact of non-monetary remedies sought by plaintiffs (e.g., injunctive relief) that may require us to change our business practices in a manner that could have a material adverse impact on our business. With respect to the matters disclosed in this Note 10, unless otherwise indicated, we are unable to estimate the possible loss or range of losses that could potentially result from the application of such non-monetary remedies.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Zillow</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LendingTree v. Zillow, Inc., et al. Civil Action No. 3:10-cv-439</w:t>
      </w:r>
      <w:r>
        <w:rPr>
          <w:rFonts w:ascii="Arial" w:cs="Arial" w:eastAsia="Arial" w:hAnsi="Arial"/>
          <w:sz w:val="17"/>
          <w:szCs w:val="17"/>
          <w:color w:val="auto"/>
        </w:rPr>
        <w:t>. On September 8, 2010, the Company filed an action for patent infringement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the Company, including the assertion by certain of the defendants of counterclaims alleging illegal monopolization via our maintenance of the asserted patents. In July 2011, the Company reached a settlement agreement with Leadpoint, Inc. On July 20, 2011, all claims against Leadpoint, Inc. and all counter-claims against the Company by Leadpoint, Inc. were dismissed. In November 2012, the Company reached a settlement agreement with Quinstreet, Inc. and Quinstreet Media, Inc. (collectively, the Quinstreet Parties); all claims against the QuinStreet Parties and all counterclaims against the Company by the Quinstreet Parties were dismissed. Trial is currently expected in early 2014. The Company intends to vigorously defend all such counterclaims.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Internet Patents Corporation f/k/a InsWeb v. Tree.com, Inc., No. C-12-6505 (U.S. Dist. Ct., N.D. Cal.). </w:t>
      </w:r>
      <w:r>
        <w:rPr>
          <w:rFonts w:ascii="Arial" w:cs="Arial" w:eastAsia="Arial" w:hAnsi="Arial"/>
          <w:sz w:val="18"/>
          <w:szCs w:val="18"/>
          <w:color w:val="auto"/>
        </w:rPr>
        <w:t>In December 2012, Plaintiff filed a patent</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lawsuit against us seeking a judgment that we had infringed a patent held by Plaintiff. Process was formally served with respect to this matter in April 2013. Plaintiff seeks injunctive relief, damages, costs, expenses, pre- and post-judgment interest, punitive damages and attorneys’ fees. The complaint alleges that we infringe U.S. Patent No. 7,707,505, entitled “Dynamic Tabs for a Graphical User Interface”. We believe the Plaintiff’s allegations lack merit and intend to defend against this action vigorously.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Money Suite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The Money Suite Company v. Lending Tree, LLC, No. 1:13-ev-00986 (U.S. Dist. Ct, D Del.). </w:t>
      </w:r>
      <w:r>
        <w:rPr>
          <w:rFonts w:ascii="Arial" w:cs="Arial" w:eastAsia="Arial" w:hAnsi="Arial"/>
          <w:sz w:val="18"/>
          <w:szCs w:val="18"/>
          <w:color w:val="auto"/>
        </w:rPr>
        <w:t>In June 2013, Plaintiff filed a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lawsuit against us seeking a judgement that we infringed a patent held by Plaintiff. The complaint alleges that we infringe U.S. Patent no. 6,685,189 for “an apparatus and method using front end network gateways and search criteria for efficient quoting at a remote location”. Plaintiff seeks damages (including pre- and post- judgment interest thereon), costs and attorneys’ fees. We believe Plaintiff’s allegations lack merit and intend to defend against this action vigorously.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Boschma</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violations of the Unfair Competition Law,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Unfair Competition</w:t>
      </w:r>
    </w:p>
    <w:p>
      <w:pPr>
        <w:sectPr>
          <w:pgSz w:w="11900" w:h="16865" w:orient="portrait"/>
          <w:cols w:equalWidth="0" w:num="1">
            <w:col w:w="11380"/>
          </w:cols>
          <w:pgMar w:left="240" w:top="125" w:right="279" w:bottom="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Law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 case was remanded to superior court. During the second quarter of 2013, the parties reached a tentative settlement agreement with respect to this matter. A preliminary settlement approval hearing is scheduled for August 2013. A provision is included in current liabilities of discontinued operations as of June 30, 2013. The impact of the settlement was not material.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Store, Inc.</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w:t>
      </w:r>
      <w:r>
        <w:rPr>
          <w:rFonts w:ascii="Arial" w:cs="Arial" w:eastAsia="Arial" w:hAnsi="Arial"/>
          <w:sz w:val="16"/>
          <w:szCs w:val="16"/>
          <w:i w:val="1"/>
          <w:iCs w:val="1"/>
          <w:color w:val="auto"/>
        </w:rPr>
        <w:t xml:space="preserve"> </w:t>
      </w:r>
      <w:r>
        <w:rPr>
          <w:rFonts w:ascii="Arial" w:cs="Arial" w:eastAsia="Arial" w:hAnsi="Arial"/>
          <w:sz w:val="16"/>
          <w:szCs w:val="16"/>
          <w:color w:val="auto"/>
        </w:rPr>
        <w:t>The Mortgage Store, Inc. and Castleview Home Loans, Inc. filed this putative class action against Home Loan Center, Inc. in the California Superior Court for Orange County. Plaintiffs, two former network lenders, alleged that HLC interfered with LendingTree’s contracts with network lenders by taking referrals from LendingTree without adequately disclosing the relationship between them and that HLC charged Plaintiffs higher rates and fees than they otherwise would have been charged. Based upon these factual allegations, Plaintiffs assert claims for intentional interference with contractual relations, intentional interference with prospective economic advantage, and violation of the California Unfair Competition Law and California Business and Professions</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Code § 17500. Plaintiffs purport to represent all network lenders from December 14, 2004 to date, and seek damages, restitution, attorneys’ fees and punitive damages.</w:t>
      </w:r>
    </w:p>
    <w:p>
      <w:pPr>
        <w:spacing w:after="0" w:line="184"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Plaintiffs’ motion for class certification was granted April 29, 2010. On October 17, 2011, the Court granted HLC’s motion for summary judgment. Judgment was entered in favor of HLC on April 9, 2012. On June 15, 2012, Plaintiffs filed a Notice of Appeal. Plaintiffs filed their opening appellate brief on December 17, 2012. We filed our opposition to Plaintiffs’ appellate brief in April 2013. We believe Plaintiffs’ allegations lack merit and we intend to defend against this action vigorously.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Dijkstra</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Lijkel Dijkstra v. Harry Carenbauer, Home Loan Center, Inc. et al., No. 5:11-cv-152-JPB (U.S. Dist. Ct., N.D.WV). </w:t>
      </w:r>
      <w:r>
        <w:rPr>
          <w:rFonts w:ascii="Arial" w:cs="Arial" w:eastAsia="Arial" w:hAnsi="Arial"/>
          <w:sz w:val="17"/>
          <w:szCs w:val="17"/>
          <w:color w:val="auto"/>
        </w:rPr>
        <w:t>On November 7, 2008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filed this putative class action in Circuit Court of Ohio County, West Virginia against Harry Carenbauer, Home Loan Center, Inc.,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A trial is expected in December 2013. We believe that Plaintiffs’ allegations lack merit and we intend to defend against this action vigorously.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LendingTree, LLC to adopt various new procedures and practices. We have commenced negotiations toward an acceptable Consent Agreement and Order. We do not believe our mortgage exchange business violated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$6.5 million, and a reserve of $0.5 million has been established for this matter as of June 30,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home services and other operating segments, which are not yet mature businesses and have been aggregated. Prior period results have been reclassified to conform with the change in reportable segments.</w:t>
      </w:r>
    </w:p>
    <w:p>
      <w:pPr>
        <w:spacing w:after="0" w:line="173"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The expenses presented below for each segment include allocations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ectPr>
          <w:pgSz w:w="11900" w:h="16838" w:orient="portrait"/>
          <w:cols w:equalWidth="0" w:num="1">
            <w:col w:w="11420"/>
          </w:cols>
          <w:pgMar w:left="240" w:top="125" w:right="239" w:bottom="0" w:gutter="0" w:footer="0" w:header="0"/>
        </w:sectPr>
      </w:pPr>
    </w:p>
    <w:bookmarkStart w:id="13" w:name="page14"/>
    <w:bookmarkEnd w:id="13"/>
    <w:p>
      <w:pPr>
        <w:spacing w:after="0" w:line="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Adjusted EBITDA is the primary metric by which the chief operating decision maker evaluates the performance of our businesses, on which our internal budgets are based and by which management is compensated. Adjusted EBITDA is defined as operating income or loss (which excludes interest expense and taxes) adjusted to exclude amortization of intangibles and depreciation, and excluding (1) non-cash compensation expense, (2) non-cash intangible asset impairment charges, (3) gain/loss on disposal of assets, (4) restructuring and severance expenses, (5) litigation settlements and contingencies, (6) adjustments for significant acquisitions or dispositions, and (7) one-time items.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Summarized information by segment and reconciliations to Adjusted EBITDA and income (loss) before income taxes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7"/>
              </w:rPr>
              <w:t>For the Three Months Ended June 30, 2013: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Non-Mortgage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Cost of revenue (exclusive of depreciation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26,386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39,451</w:t>
            </w:r>
          </w:p>
        </w:tc>
        <w:tc>
          <w:tcPr>
            <w:tcW w:w="10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Adjustments to reconcile to Adjusted EBITDA: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2,909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w w:val="97"/>
              </w:rPr>
              <w:t>Adjustments to reconcile to income/loss before taxes: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7"/>
              </w:rPr>
              <w:t>For the Three Months Ended June 30, 2012:</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Non-Mortgage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Cost of revenue (exclusive of depreciation shown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10,969</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5,831</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0"/>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 to reconcile to Adjusted EBITDA: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50"/>
        </w:trPr>
        <w:tc>
          <w:tcPr>
            <w:tcW w:w="4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bl>
    <w:p>
      <w:pPr>
        <w:sectPr>
          <w:pgSz w:w="11900" w:h="16900" w:orient="portrait"/>
          <w:cols w:equalWidth="0" w:num="1">
            <w:col w:w="11460"/>
          </w:cols>
          <w:pgMar w:left="240" w:top="125" w:right="199" w:bottom="0" w:gutter="0" w:footer="0" w:header="0"/>
        </w:sectPr>
      </w:pPr>
    </w:p>
    <w:bookmarkStart w:id="14" w:name="page15"/>
    <w:bookmarkEnd w:id="14"/>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Adjustments to reconcile to income/loss before taxes: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7"/>
            <w:vMerge w:val="restart"/>
          </w:tcPr>
          <w:p>
            <w:pPr>
              <w:jc w:val="right"/>
              <w:ind w:right="240"/>
              <w:spacing w:after="0"/>
              <w:rPr>
                <w:sz w:val="20"/>
                <w:szCs w:val="20"/>
                <w:color w:val="auto"/>
              </w:rPr>
            </w:pPr>
            <w:r>
              <w:rPr>
                <w:rFonts w:ascii="Arial" w:cs="Arial" w:eastAsia="Arial" w:hAnsi="Arial"/>
                <w:sz w:val="14"/>
                <w:szCs w:val="14"/>
                <w:b w:val="1"/>
                <w:bCs w:val="1"/>
                <w:color w:val="auto"/>
                <w:w w:val="93"/>
              </w:rPr>
              <w:t>For the Six Months Ended June 30, 2013:</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Non-Mortgage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Cost of revenue (exclusive of depreciation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43,641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12,207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67,777</w:t>
            </w:r>
          </w:p>
        </w:tc>
        <w:tc>
          <w:tcPr>
            <w:tcW w:w="10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Adjustments to reconcile to Adjusted EBITDA: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7"/>
              </w:rPr>
              <w:t>Adjustments to reconcile to income/loss before taxes: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3"/>
              </w:rPr>
              <w:t>For the Six Months Ended June 30, 2012:</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Non-Mortgage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Cost of revenue (exclusive of depreciation shown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 to reconcile to Adjusted EBITDA: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w w:val="97"/>
              </w:rPr>
              <w:t>Adjustments to reconcile to income/loss before taxes: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 EXPENSE</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liabilities at June 30, 2013 and December 31, 2012 are primarily related to lease obligations for call center and corporate office leases exited in 2010, which are expected to be completed by 2015. Restructuring expense and payments against liabilities are as follows (in thousands):</w:t>
      </w:r>
    </w:p>
    <w:p>
      <w:pPr>
        <w:sectPr>
          <w:pgSz w:w="11900" w:h="16849" w:orient="portrait"/>
          <w:cols w:equalWidth="0" w:num="1">
            <w:col w:w="11460"/>
          </w:cols>
          <w:pgMar w:left="240" w:top="140" w:right="199" w:bottom="0" w:gutter="0" w:footer="0" w:header="0"/>
        </w:sectPr>
      </w:pPr>
    </w:p>
    <w:p>
      <w:pPr>
        <w:spacing w:after="0" w:line="138"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auto"/>
        </w:rPr>
        <w:t>For The Six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4339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49" w:orient="portrait"/>
          <w:cols w:equalWidth="0" w:num="1">
            <w:col w:w="11460"/>
          </w:cols>
          <w:pgMar w:left="240" w:top="140" w:right="199" w:bottom="0" w:gutter="0" w:footer="0" w:header="0"/>
          <w:type w:val="continuous"/>
        </w:sectPr>
      </w:pPr>
    </w:p>
    <w:bookmarkStart w:id="15" w:name="page16"/>
    <w:bookmarkEnd w:id="15"/>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60" w:type="dxa"/>
            <w:vAlign w:val="bottom"/>
          </w:tcPr>
          <w:p>
            <w:pPr>
              <w:jc w:val="center"/>
              <w:ind w:left="107"/>
              <w:spacing w:after="0"/>
              <w:rPr>
                <w:sz w:val="20"/>
                <w:szCs w:val="20"/>
                <w:color w:val="auto"/>
              </w:rPr>
            </w:pPr>
            <w:r>
              <w:rPr>
                <w:rFonts w:ascii="Arial" w:cs="Arial" w:eastAsia="Arial" w:hAnsi="Arial"/>
                <w:sz w:val="14"/>
                <w:szCs w:val="14"/>
                <w:b w:val="1"/>
                <w:bCs w:val="1"/>
                <w:color w:val="auto"/>
                <w:w w:val="93"/>
              </w:rPr>
              <w:t>Employee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Continuing</w:t>
            </w:r>
          </w:p>
        </w:tc>
        <w:tc>
          <w:tcPr>
            <w:tcW w:w="18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49"/>
        </w:trPr>
        <w:tc>
          <w:tcPr>
            <w:tcW w:w="4480" w:type="dxa"/>
            <w:vAlign w:val="bottom"/>
          </w:tcPr>
          <w:p>
            <w:pPr>
              <w:spacing w:after="0"/>
              <w:rPr>
                <w:sz w:val="12"/>
                <w:szCs w:val="12"/>
                <w:color w:val="auto"/>
              </w:rPr>
            </w:pPr>
          </w:p>
        </w:tc>
        <w:tc>
          <w:tcPr>
            <w:tcW w:w="96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Write-offs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4480" w:type="dxa"/>
            <w:vAlign w:val="bottom"/>
          </w:tcPr>
          <w:p>
            <w:pPr>
              <w:spacing w:after="0"/>
              <w:rPr>
                <w:sz w:val="14"/>
                <w:szCs w:val="14"/>
                <w:color w:val="auto"/>
              </w:rPr>
            </w:pPr>
          </w:p>
        </w:tc>
        <w:tc>
          <w:tcPr>
            <w:tcW w:w="960" w:type="dxa"/>
            <w:vAlign w:val="bottom"/>
          </w:tcPr>
          <w:p>
            <w:pPr>
              <w:jc w:val="center"/>
              <w:ind w:left="107"/>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Obligations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9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At June 30, 2013, restructuring liabilities of $0.3 million are included in accrued expenses and other current liabilities and $0.3 million are included in other non-current liabilities in the accompanying consolidated balance sheet. At December 31, 2012, restructuring liabilities of $0.4 million are included in accrued expenses and other current liabilities and $0.5 million are included in other non-current liabilities in the accompanying consolidated balance sheet. We do not expect to incur significant additional costs related to the restructurings noted above.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13—DISCONTINUED OPERATIONS</w:t>
      </w:r>
    </w:p>
    <w:p>
      <w:pPr>
        <w:spacing w:after="0" w:line="22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transaction on June 6, 2012. Discover has participated as a network lender on our mortgage exchange since the closing of the transaction.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18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Subsequent to closing of the transaction, Discover submitted a claim for indemnification relating to our sale prior to the closing of certain loans that were listed in the asset purchase agreement as to be conveyed to Discover at closing. In May 2013, we settled this indemnification claim and other miscellaneous items by agreeing to credit Discover for $1.3 million in future services. The liability for these future services is included in Current liabilities of discontinued operations in the accompanying consolidated balance sheet at June 30, 2013.</w:t>
      </w:r>
    </w:p>
    <w:p>
      <w:pPr>
        <w:spacing w:after="0" w:line="16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revenue and net loss for the Real Estate businesses that are reported as discontinued operations for the applicable periods are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gridSpan w:val="3"/>
          </w:tcPr>
          <w:p>
            <w:pPr>
              <w:jc w:val="right"/>
              <w:ind w:right="714"/>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300" w:type="dxa"/>
            <w:vAlign w:val="bottom"/>
            <w:vMerge w:val="continue"/>
          </w:tcPr>
          <w:p>
            <w:pPr>
              <w:spacing w:after="0"/>
              <w:rPr>
                <w:sz w:val="17"/>
                <w:szCs w:val="17"/>
                <w:color w:val="auto"/>
              </w:rPr>
            </w:pPr>
          </w:p>
        </w:tc>
        <w:tc>
          <w:tcPr>
            <w:tcW w:w="840" w:type="dxa"/>
            <w:vAlign w:val="bottom"/>
          </w:tcPr>
          <w:p>
            <w:pPr>
              <w:jc w:val="right"/>
              <w:ind w:right="654"/>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(86)</w:t>
            </w:r>
          </w:p>
        </w:tc>
        <w:tc>
          <w:tcPr>
            <w:tcW w:w="300" w:type="dxa"/>
            <w:vAlign w:val="bottom"/>
            <w:vMerge w:val="continue"/>
          </w:tcPr>
          <w:p>
            <w:pPr>
              <w:spacing w:after="0"/>
              <w:rPr>
                <w:sz w:val="17"/>
                <w:szCs w:val="17"/>
                <w:color w:val="auto"/>
              </w:rPr>
            </w:pPr>
          </w:p>
        </w:tc>
        <w:tc>
          <w:tcPr>
            <w:tcW w:w="840" w:type="dxa"/>
            <w:vAlign w:val="bottom"/>
          </w:tcPr>
          <w:p>
            <w:pPr>
              <w:jc w:val="right"/>
              <w:ind w:right="654"/>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spacing w:after="0"/>
              <w:rPr>
                <w:sz w:val="19"/>
                <w:szCs w:val="19"/>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revenue and net income for LendingTree Loans that are reported as discontinued operations for the applicable periods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center"/>
              <w:ind w:left="458"/>
              <w:spacing w:after="0"/>
              <w:rPr>
                <w:sz w:val="20"/>
                <w:szCs w:val="20"/>
                <w:color w:val="auto"/>
              </w:rPr>
            </w:pPr>
            <w:r>
              <w:rPr>
                <w:rFonts w:ascii="Arial" w:cs="Arial" w:eastAsia="Arial" w:hAnsi="Arial"/>
                <w:sz w:val="14"/>
                <w:szCs w:val="14"/>
                <w:b w:val="1"/>
                <w:bCs w:val="1"/>
                <w:color w:val="auto"/>
                <w:w w:val="93"/>
              </w:rPr>
              <w:t>Six Months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center"/>
              <w:ind w:left="437"/>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8"/>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30,529</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81,395</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66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(869)</w:t>
            </w:r>
          </w:p>
        </w:tc>
        <w:tc>
          <w:tcPr>
            <w:tcW w:w="28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3,467</w:t>
            </w:r>
          </w:p>
        </w:tc>
        <w:tc>
          <w:tcPr>
            <w:tcW w:w="28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(3,367)</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23,189</w:t>
            </w:r>
          </w:p>
        </w:tc>
        <w:tc>
          <w:tcPr>
            <w:tcW w:w="1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10,003</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24,313</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24,313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77"/>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83" w:orient="portrait"/>
          <w:cols w:equalWidth="0" w:num="1">
            <w:col w:w="11460"/>
          </w:cols>
          <w:pgMar w:left="240" w:top="104" w:right="199" w:bottom="0" w:gutter="0" w:footer="0" w:header="0"/>
        </w:sectPr>
      </w:pPr>
    </w:p>
    <w:bookmarkStart w:id="16" w:name="page17"/>
    <w:bookmarkEnd w:id="16"/>
    <w:p>
      <w:pPr>
        <w:spacing w:after="0" w:line="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assets and liabilities of Real Estate that are reported as discontinued operations as of June 30, 2013 and December 31, 2012 are as follows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jc w:val="center"/>
              <w:ind w:left="299"/>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560" w:type="dxa"/>
            <w:vAlign w:val="bottom"/>
          </w:tcPr>
          <w:p>
            <w:pPr>
              <w:spacing w:after="0"/>
              <w:rPr>
                <w:sz w:val="14"/>
                <w:szCs w:val="14"/>
                <w:color w:val="auto"/>
              </w:rPr>
            </w:pPr>
          </w:p>
        </w:tc>
        <w:tc>
          <w:tcPr>
            <w:tcW w:w="33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Net liabilities</w:t>
            </w:r>
          </w:p>
        </w:tc>
        <w:tc>
          <w:tcPr>
            <w:tcW w:w="23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(132)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June 30, 2013 and December 31, 2012 are as follows (in thousands):</w:t>
      </w:r>
    </w:p>
    <w:p>
      <w:pPr>
        <w:sectPr>
          <w:pgSz w:w="11900" w:h="16886"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Non-current liabilities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Assets and Liabilities of LendingTree Loans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-3175</wp:posOffset>
            </wp:positionV>
            <wp:extent cx="569404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4045" cy="146050"/>
                    </a:xfrm>
                    <a:prstGeom prst="rect">
                      <a:avLst/>
                    </a:prstGeom>
                    <a:noFill/>
                  </pic:spPr>
                </pic:pic>
              </a:graphicData>
            </a:graphic>
          </wp:anchor>
        </w:drawing>
      </w:r>
    </w:p>
    <w:p>
      <w:pPr>
        <w:ind w:left="1180" w:hanging="117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w:t>
      </w:r>
    </w:p>
    <w:p>
      <w:pPr>
        <w:spacing w:after="0" w:line="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-130810</wp:posOffset>
            </wp:positionV>
            <wp:extent cx="569404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(174)</w:t>
      </w:r>
    </w:p>
    <w:p>
      <w:pPr>
        <w:spacing w:after="0" w:line="9" w:lineRule="exact"/>
        <w:rPr>
          <w:sz w:val="20"/>
          <w:szCs w:val="20"/>
          <w:color w:val="auto"/>
        </w:rPr>
      </w:pPr>
    </w:p>
    <w:p>
      <w:pPr>
        <w:ind w:left="820" w:hanging="814"/>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(31,958)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-116205</wp:posOffset>
            </wp:positionV>
            <wp:extent cx="569404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404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253"/>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1253"/>
        <w:spacing w:after="0"/>
        <w:rPr>
          <w:sz w:val="20"/>
          <w:szCs w:val="20"/>
          <w:color w:val="auto"/>
        </w:rPr>
      </w:pPr>
      <w:r>
        <w:rPr>
          <w:rFonts w:ascii="Arial" w:cs="Arial" w:eastAsia="Arial" w:hAnsi="Arial"/>
          <w:sz w:val="14"/>
          <w:szCs w:val="14"/>
          <w:b w:val="1"/>
          <w:bCs w:val="1"/>
          <w:color w:val="auto"/>
        </w:rPr>
        <w:t>2012</w:t>
      </w:r>
    </w:p>
    <w:p>
      <w:pPr>
        <w:spacing w:after="0" w:line="9" w:lineRule="exact"/>
        <w:rPr>
          <w:sz w:val="20"/>
          <w:szCs w:val="20"/>
          <w:color w:val="auto"/>
        </w:rPr>
      </w:pPr>
    </w:p>
    <w:p>
      <w:pPr>
        <w:ind w:left="1087" w:hanging="1087"/>
        <w:spacing w:after="0"/>
        <w:tabs>
          <w:tab w:leader="none" w:pos="1087" w:val="left"/>
        </w:tabs>
        <w:numPr>
          <w:ilvl w:val="0"/>
          <w:numId w:val="6"/>
        </w:numPr>
        <w:rPr>
          <w:rFonts w:ascii="Arial" w:cs="Arial" w:eastAsia="Arial" w:hAnsi="Arial"/>
          <w:sz w:val="18"/>
          <w:szCs w:val="18"/>
          <w:color w:val="auto"/>
        </w:rPr>
      </w:pPr>
      <w:r>
        <w:rPr>
          <w:rFonts w:ascii="Arial" w:cs="Arial" w:eastAsia="Arial" w:hAnsi="Arial"/>
          <w:sz w:val="18"/>
          <w:szCs w:val="18"/>
          <w:color w:val="auto"/>
        </w:rPr>
        <w:t>407</w:t>
      </w:r>
    </w:p>
    <w:p>
      <w:pPr>
        <w:spacing w:after="0" w:line="7"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color w:val="auto"/>
        </w:rPr>
        <w:t>129</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(30,811)</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(253)</w:t>
      </w:r>
    </w:p>
    <w:p>
      <w:pPr>
        <w:spacing w:after="0" w:line="9" w:lineRule="exact"/>
        <w:rPr>
          <w:sz w:val="20"/>
          <w:szCs w:val="20"/>
          <w:color w:val="auto"/>
        </w:rPr>
      </w:pPr>
    </w:p>
    <w:p>
      <w:pPr>
        <w:ind w:left="787" w:hanging="787"/>
        <w:spacing w:after="0"/>
        <w:tabs>
          <w:tab w:leader="none" w:pos="787" w:val="left"/>
        </w:tabs>
        <w:numPr>
          <w:ilvl w:val="0"/>
          <w:numId w:val="7"/>
        </w:numPr>
        <w:rPr>
          <w:rFonts w:ascii="Arial" w:cs="Arial" w:eastAsia="Arial" w:hAnsi="Arial"/>
          <w:sz w:val="16"/>
          <w:szCs w:val="16"/>
          <w:color w:val="auto"/>
        </w:rPr>
      </w:pPr>
      <w:r>
        <w:rPr>
          <w:rFonts w:ascii="Arial" w:cs="Arial" w:eastAsia="Arial" w:hAnsi="Arial"/>
          <w:sz w:val="16"/>
          <w:szCs w:val="16"/>
          <w:color w:val="auto"/>
        </w:rPr>
        <w:t>(30,528)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857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81" w:lineRule="exact"/>
        <w:rPr>
          <w:sz w:val="20"/>
          <w:szCs w:val="20"/>
          <w:color w:val="auto"/>
        </w:rPr>
      </w:pPr>
    </w:p>
    <w:p>
      <w:pPr>
        <w:sectPr>
          <w:pgSz w:w="11900" w:h="16886" w:orient="portrait"/>
          <w:cols w:equalWidth="0" w:num="3">
            <w:col w:w="6440" w:space="720"/>
            <w:col w:w="1420" w:space="233"/>
            <w:col w:w="2607"/>
          </w:cols>
          <w:pgMar w:left="240" w:top="341" w:right="239" w:bottom="0" w:gutter="0" w:footer="0" w:header="0"/>
          <w:type w:val="continuous"/>
        </w:sectPr>
      </w:pPr>
    </w:p>
    <w:p>
      <w:pPr>
        <w:spacing w:after="0" w:line="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on June 6, 2012, LendingTree Loans ceased to originate consumer loans. The remaining operations are being wound down. These wind-down activities have included, among other things, selling the balance of loans held for sale to investors, which has been completed, paying off and then terminating the warehouse lines of credit, which occurred on</w:t>
      </w:r>
    </w:p>
    <w:p>
      <w:pPr>
        <w:ind w:right="460"/>
        <w:spacing w:after="0" w:line="261" w:lineRule="auto"/>
        <w:rPr>
          <w:sz w:val="20"/>
          <w:szCs w:val="20"/>
          <w:color w:val="auto"/>
        </w:rPr>
      </w:pPr>
      <w:r>
        <w:rPr>
          <w:rFonts w:ascii="Arial" w:cs="Arial" w:eastAsia="Arial" w:hAnsi="Arial"/>
          <w:sz w:val="18"/>
          <w:szCs w:val="18"/>
          <w:color w:val="auto"/>
        </w:rPr>
        <w:t>July 21, 2012, and settling derivative obligations, which has been completed. Liability for losses on previously sold loans will remain with LendingTree Loans. Below is a discussion of these significant items.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LendingTree Loans originated all of its residential real estate loans with the intent to sell them in the secondary market. Loans held for sale consisted primarily of residential first mortgage loans that were secured by residential real estate throughout the United States.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Loans held for sale were recorded at fair value, with the exception of any loans that had been repurchased from investors or loans originated prior to January 1, 2008 on which we did not elect the fair value option. The fair value of loans held for sale was determined using current secondary market prices for loans with similar coupons, maturities and credit quality.</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Interest on mortgage loans held for sale was recognized as earned and was only accrued if deemed collectible. Interest was generally deemed uncollectible when a loan became three months or more delinquent or when a loan had a defect affecting its salability. Delinquency was calculated based on the contractual due date of the loan. Loans were written off when deemed uncollectible.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loans held for sale as of June 30, 2013 and December 31, 2012.</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June 30, 2013 and December 31, 2012, LendingTree Loans maintained one loan with a principal amount of $0.4 million, which has a full offsetting reserve for uncollectibility.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No loans were repurchased during the six months ended June 30, 2013. During the six months ended June 30, 2012, LendingTree Loans repurchased two loans with an unpaid principal balance of $0.7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LendingTree Loans entered into commitments with consumers to originate loans at specified interest rates (interest rate lock commitments —“IRLCs”).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servicing-release premium and loan pricing adjustments specific to each loan. Effective January 1, 2012, LendingTree Loans began valuing IRLCs for loans sold to investors on a best-efforts basis using quantitative risk models on a loan-level basis. The decision to modify the valuation calculation for IRLCs for loans sold on a best-efforts basis evolved from a desire to achieve principally two goals: 1) to include this</w:t>
      </w:r>
    </w:p>
    <w:p>
      <w:pPr>
        <w:sectPr>
          <w:pgSz w:w="11900" w:h="16886" w:orient="portrait"/>
          <w:cols w:equalWidth="0" w:num="1">
            <w:col w:w="11420"/>
          </w:cols>
          <w:pgMar w:left="240" w:top="341" w:right="239" w:bottom="0" w:gutter="0" w:footer="0" w:header="0"/>
          <w:type w:val="continuous"/>
        </w:sectPr>
      </w:pPr>
    </w:p>
    <w:bookmarkStart w:id="17" w:name="page18"/>
    <w:bookmarkEnd w:id="17"/>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portion of the IRLCs into the main operating system we used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June 30, 2013 and December 31, 2012, there were no IRLCs outstanding.</w:t>
      </w:r>
    </w:p>
    <w:p>
      <w:pPr>
        <w:spacing w:after="0" w:line="1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by product, note rate and term, adjusted for current market conditions. Loans held for sale, excluding impaired loans, were classified as Level 2. Loans held for sale measured at fair value that become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assets and liabilities that are measured at fair value on a recurring basis at June 30, 2013 and December 31, 2012.</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presents the changes in our assets and liabilities that were measured at fair value on a recurring basis using significant unobservable inputs (Level 3) for the three and six months ended June 30, 2012 (in thousands):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1"/>
          </w:tcPr>
          <w:p>
            <w:pPr>
              <w:jc w:val="right"/>
              <w:ind w:right="65"/>
              <w:spacing w:after="0"/>
              <w:rPr>
                <w:sz w:val="20"/>
                <w:szCs w:val="20"/>
                <w:color w:val="auto"/>
              </w:rPr>
            </w:pPr>
            <w:r>
              <w:rPr>
                <w:rFonts w:ascii="Arial" w:cs="Arial" w:eastAsia="Arial" w:hAnsi="Arial"/>
                <w:sz w:val="14"/>
                <w:szCs w:val="14"/>
                <w:b w:val="1"/>
                <w:bCs w:val="1"/>
                <w:color w:val="auto"/>
              </w:rPr>
              <w:t>Three Months Ended June 30, 2012</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Interest Rate Lock</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Forward Delivery</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Loans Held</w:t>
            </w:r>
          </w:p>
        </w:tc>
        <w:tc>
          <w:tcPr>
            <w:tcW w:w="100" w:type="dxa"/>
            <w:vAlign w:val="bottom"/>
          </w:tcPr>
          <w:p>
            <w:pPr>
              <w:spacing w:after="0"/>
              <w:rPr>
                <w:sz w:val="10"/>
                <w:szCs w:val="10"/>
                <w:color w:val="auto"/>
              </w:rPr>
            </w:pPr>
          </w:p>
        </w:tc>
      </w:tr>
      <w:tr>
        <w:trPr>
          <w:trHeight w:val="171"/>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Commitments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Sale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9"/>
              </w:rPr>
              <w:t>Total net gains (losses) included in earnings (realized and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unrealized)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30,991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Six Months Ended June 30, 2012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Interest Rate Lock</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Forward Delivery</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w w:val="99"/>
              </w:rPr>
              <w:t>Loans Held</w:t>
            </w:r>
          </w:p>
        </w:tc>
        <w:tc>
          <w:tcPr>
            <w:tcW w:w="100" w:type="dxa"/>
            <w:vAlign w:val="bottom"/>
          </w:tcPr>
          <w:p>
            <w:pPr>
              <w:spacing w:after="0"/>
              <w:rPr>
                <w:sz w:val="10"/>
                <w:szCs w:val="10"/>
                <w:color w:val="auto"/>
              </w:rPr>
            </w:pPr>
          </w:p>
        </w:tc>
      </w:tr>
      <w:tr>
        <w:trPr>
          <w:trHeight w:val="171"/>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Commitments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for Sale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9"/>
              </w:rPr>
              <w:t>Total net gains (losses) included in earnings (realized and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unrealized)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73,378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51"/>
        </w:trPr>
        <w:tc>
          <w:tcPr>
            <w:tcW w:w="4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380"/>
          </w:cols>
          <w:pgMar w:left="240" w:top="125" w:right="27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(5,640)</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(3,401)</w:t>
            </w:r>
          </w:p>
        </w:tc>
        <w:tc>
          <w:tcPr>
            <w:tcW w:w="6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(73,459)</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1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presents the gains (losses) included in earnings for the three and six months ended June 30, 2012 relating to our assets and liabilities that were measured at fair value on a recurring basis using significant unobservable inputs (Level 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center"/>
              <w:ind w:left="603"/>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4"/>
              </w:rPr>
              <w:t>June 30, 2012</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0"/>
              </w:rPr>
              <w:t>June 30, 2012</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Interest Rate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Forward</w:t>
            </w:r>
          </w:p>
        </w:tc>
        <w:tc>
          <w:tcPr>
            <w:tcW w:w="120" w:type="dxa"/>
            <w:vAlign w:val="bottom"/>
          </w:tcPr>
          <w:p>
            <w:pPr>
              <w:spacing w:after="0"/>
              <w:rPr>
                <w:sz w:val="10"/>
                <w:szCs w:val="10"/>
                <w:color w:val="auto"/>
              </w:rPr>
            </w:pPr>
          </w:p>
        </w:tc>
        <w:tc>
          <w:tcPr>
            <w:tcW w:w="68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9"/>
              </w:rPr>
              <w:t>Loans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Interest Rate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Forward</w:t>
            </w:r>
          </w:p>
        </w:tc>
        <w:tc>
          <w:tcPr>
            <w:tcW w:w="120" w:type="dxa"/>
            <w:vAlign w:val="bottom"/>
          </w:tcPr>
          <w:p>
            <w:pPr>
              <w:spacing w:after="0"/>
              <w:rPr>
                <w:sz w:val="10"/>
                <w:szCs w:val="10"/>
                <w:color w:val="auto"/>
              </w:rPr>
            </w:pPr>
          </w:p>
        </w:tc>
        <w:tc>
          <w:tcPr>
            <w:tcW w:w="66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9"/>
              </w:rPr>
              <w:t>Loans</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Lock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Delivery</w:t>
            </w: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Delivery</w:t>
            </w:r>
          </w:p>
        </w:tc>
        <w:tc>
          <w:tcPr>
            <w:tcW w:w="12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Held</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4"/>
              </w:rPr>
              <w:t>Commitments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for Sale</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2"/>
              </w:rPr>
              <w:t>Commitments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Contracts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for Sale</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net gains (losses) included in earnings, which are included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30,991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73,378</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discontinued operations</w:t>
            </w: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Change in unrealized gains (losses) relating to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w w:val="98"/>
              </w:rPr>
              <w:t>and liabilities still held at June 30, 2012, which are included</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in discontinued operations</w:t>
            </w:r>
          </w:p>
        </w:tc>
        <w:tc>
          <w:tcPr>
            <w:tcW w:w="1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gain (loss) recognized in the consolidated statements of operations for derivatives for the three and six months ended June 30, 2012 was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 Recognized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Income on Derivative</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Discontinued operations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Discontinued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(2,510)</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under the fair value option</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June 30, 2013 and December 31, 2012, there were no loans held for sale or carried at the lower of cost or market (“LOCOM”) value assessed on an individual loan basis.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six months ended June 30, 2012, the change in fair value of loans held for sale for which the fair value option was elected was a gain of $3.1 million, and is included in discontinued operations in the accompanying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Home Loan Center, Inc. subsidiary continues to be liable for these indemnification obligations, repurchase obligations and premium repayment obligations following the sale of substantially all of the operating assets of our LendingTree Loans business in the second quarter of 2012. Approximately $18.1 million of the purchase price paid at closing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w:t>
      </w:r>
    </w:p>
    <w:p>
      <w:pPr>
        <w:sectPr>
          <w:pgSz w:w="11900" w:h="16838" w:orient="portrait"/>
          <w:cols w:equalWidth="0" w:num="1">
            <w:col w:w="11460"/>
          </w:cols>
          <w:pgMar w:left="240" w:top="140" w:right="199" w:bottom="76" w:gutter="0" w:footer="0" w:header="0"/>
        </w:sectPr>
      </w:pPr>
    </w:p>
    <w:bookmarkStart w:id="19" w:name="page20"/>
    <w:bookmarkEnd w:id="19"/>
    <w:p>
      <w:pPr>
        <w:ind w:right="40" w:firstLine="648"/>
        <w:spacing w:after="0" w:line="257" w:lineRule="auto"/>
        <w:rPr>
          <w:sz w:val="20"/>
          <w:szCs w:val="20"/>
          <w:color w:val="auto"/>
        </w:rPr>
      </w:pPr>
      <w:r>
        <w:rPr>
          <w:rFonts w:ascii="Arial" w:cs="Arial" w:eastAsia="Arial" w:hAnsi="Arial"/>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purchased such loans.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 Each of these segments typically has a different loss experience, with full documentation, first lien position loans generally having the lowest loss ratios, and limited documentation, second lien position loans generally having the highest loss ratios.</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investors and (b) our own recent investor bulk settlement experience. The historical model described above was weighted 50% in the revised analysis, and each of the other factors were weighted 25% to estimate the range of remaining loan losses, which was determined to be $18 million to $37 million at June 30, 2013. The reserve balance recorded as of June 30, 2013 was $28.7 million. 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the balance sheet date or the range estimated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Additionally, Tree.com has guaranteed certain loans sold to two investors in the event that LendingTree Loans is unable to satisfy its repurchase and warranty obligations related to such loans. The original principal balance of the loans sold to one of these investors is approximately $1.8 billion.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June 30,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8"/>
              </w:rPr>
              <w:t>As of June 30, 2013</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Original</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balance of</w:t>
            </w: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of Loan Sales</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principal</w:t>
            </w:r>
          </w:p>
        </w:tc>
        <w:tc>
          <w:tcPr>
            <w:tcW w:w="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loans with</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loans with</w:t>
            </w: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sold</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w:t>
            </w:r>
          </w:p>
        </w:tc>
        <w:tc>
          <w:tcPr>
            <w:tcW w:w="18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142"/>
        </w:trPr>
        <w:tc>
          <w:tcPr>
            <w:tcW w:w="4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3"/>
              </w:rPr>
              <w:t>(in billions)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235,900</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pipeline increased from 398 requests at December 31, 2012 to 442 requests at June 30, 2013 for loan repurchases and indemnifications which were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An indemnification obligation may have a specific term, thereby limiting the exposure to LendingTree Loans. The original principal amount of these loans is approximately $88.0 million, comprised of approximately 74% full documentation first liens, 2% full documentation second liens, 21% limited documentation first liens and 3% limited documentation second liens.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ectPr>
          <w:pgSz w:w="11900" w:h="16838" w:orient="portrait"/>
          <w:cols w:equalWidth="0" w:num="1">
            <w:col w:w="11420"/>
          </w:cols>
          <w:pgMar w:left="240" w:top="125"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The activity related to loss reserves on previously sold loans for the three and six months ended June 30, 2013 and 2012, is as follows (in thousands):</w:t>
      </w:r>
    </w:p>
    <w:p>
      <w:pPr>
        <w:spacing w:after="0" w:line="22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3,918</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1,493</w:t>
            </w: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6,384</w:t>
            </w:r>
          </w:p>
        </w:tc>
        <w:tc>
          <w:tcPr>
            <w:tcW w:w="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Charge offs to reserves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(4,800)</w:t>
            </w: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28,675</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28,675</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June 30, 2013 and December 31, 2012.</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Home Loan Center, Inc. continues to be liable for indemnification obligations, repurchase obligations and premium repayment obligations following the sale of substantially all of the operating assets of the LendingTree Loans business to Discover. A portion of the initial purchase price paid by Discover is being held in escrow pending resolution of certain of these contingent liabilities. We have been negotiating with certain secondary market purchasers to settle any existing and future contingent liabilities, but may not be able to complete such negotiations on acceptable terms, or at all.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a result of the closing of the sale of substantially all of the operating assets of our LendingTree Loans business on June 6, 2012, all three then-existing warehouse lines of credit totaling $325.0 million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8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29"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23"/>
          <w:szCs w:val="23"/>
          <w:color w:val="auto"/>
          <w:vertAlign w:val="superscript"/>
        </w:rPr>
        <w:t>®</w:t>
      </w:r>
      <w:r>
        <w:rPr>
          <w:rFonts w:ascii="Arial" w:cs="Arial" w:eastAsia="Arial" w:hAnsi="Arial"/>
          <w:sz w:val="18"/>
          <w:szCs w:val="18"/>
          <w:color w:val="auto"/>
        </w:rPr>
        <w:t>, GetSmart</w:t>
      </w:r>
      <w:r>
        <w:rPr>
          <w:rFonts w:ascii="Arial" w:cs="Arial" w:eastAsia="Arial" w:hAnsi="Arial"/>
          <w:sz w:val="23"/>
          <w:szCs w:val="23"/>
          <w:color w:val="auto"/>
          <w:vertAlign w:val="superscript"/>
        </w:rPr>
        <w:t>®</w:t>
      </w:r>
      <w:r>
        <w:rPr>
          <w:rFonts w:ascii="Arial" w:cs="Arial" w:eastAsia="Arial" w:hAnsi="Arial"/>
          <w:sz w:val="18"/>
          <w:szCs w:val="18"/>
          <w:color w:val="auto"/>
        </w:rPr>
        <w:t>, DegreeTree</w:t>
      </w:r>
      <w:r>
        <w:rPr>
          <w:rFonts w:ascii="Arial" w:cs="Arial" w:eastAsia="Arial" w:hAnsi="Arial"/>
          <w:sz w:val="23"/>
          <w:szCs w:val="23"/>
          <w:color w:val="auto"/>
          <w:vertAlign w:val="superscript"/>
        </w:rPr>
        <w:t>®</w:t>
      </w:r>
      <w:r>
        <w:rPr>
          <w:rFonts w:ascii="Arial" w:cs="Arial" w:eastAsia="Arial" w:hAnsi="Arial"/>
          <w:sz w:val="18"/>
          <w:szCs w:val="18"/>
          <w:color w:val="auto"/>
        </w:rPr>
        <w:t>, LendingTreeAutos, DoneRight!</w:t>
      </w:r>
      <w:r>
        <w:rPr>
          <w:rFonts w:ascii="Arial" w:cs="Arial" w:eastAsia="Arial" w:hAnsi="Arial"/>
          <w:sz w:val="23"/>
          <w:szCs w:val="23"/>
          <w:color w:val="auto"/>
          <w:vertAlign w:val="superscript"/>
        </w:rPr>
        <w:t>®</w:t>
      </w:r>
      <w:r>
        <w:rPr>
          <w:rFonts w:ascii="Arial" w:cs="Arial" w:eastAsia="Arial" w:hAnsi="Arial"/>
          <w:sz w:val="18"/>
          <w:szCs w:val="18"/>
          <w:color w:val="auto"/>
        </w:rPr>
        <w:t>, ServiceTree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InsuranceTree</w:t>
      </w:r>
      <w:r>
        <w:rPr>
          <w:rFonts w:ascii="Arial" w:cs="Arial" w:eastAsia="Arial" w:hAnsi="Arial"/>
          <w:sz w:val="23"/>
          <w:szCs w:val="23"/>
          <w:color w:val="auto"/>
          <w:vertAlign w:val="superscript"/>
        </w:rPr>
        <w:t>®</w:t>
      </w:r>
      <w:r>
        <w:rPr>
          <w:rFonts w:ascii="Arial" w:cs="Arial" w:eastAsia="Arial" w:hAnsi="Arial"/>
          <w:sz w:val="18"/>
          <w:szCs w:val="18"/>
          <w:color w:val="auto"/>
        </w:rPr>
        <w:t>. Together, these brands serve as an ally for consumers who are looking to comparison-shop for loans and other services from multiple businesses and professionals that will compete for their business.</w:t>
      </w:r>
    </w:p>
    <w:p>
      <w:pPr>
        <w:spacing w:after="0" w:line="20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6"/>
          <w:szCs w:val="16"/>
          <w:color w:val="auto"/>
        </w:rPr>
        <w:t>The businesses of RealEstate.com and RealEstate.com, REALTORS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LendingTree Loans are presented as discontinued operations in the accompanying consolidated balance sheets and consolidated statements of operations and cash flows for all periods presented. The analysis within Management’s Discussion and Analysis of Financial Condition and Results of Operations reflects our continuing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According to Freddie Mac, the year 2012 began at what were then record low mortgage interest rates of approximately 3.9% on 30-year fixed rate mortgages and continued to decline throughout the year to new lows, reaching an average 3.35% in December. In 2013, rates rose slightly in the first quarter but more significantly in the second quarter, to an average of 4.07% in June, which was</w:t>
      </w:r>
    </w:p>
    <w:p>
      <w:pPr>
        <w:sectPr>
          <w:pgSz w:w="11900" w:h="16838" w:orient="portrait"/>
          <w:cols w:equalWidth="0" w:num="1">
            <w:col w:w="11400"/>
          </w:cols>
          <w:pgMar w:left="240" w:top="125" w:right="259" w:bottom="28"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8" w:gutter="0" w:footer="0" w:header="0"/>
          <w:type w:val="continuous"/>
        </w:sectPr>
      </w:pPr>
    </w:p>
    <w:bookmarkStart w:id="21" w:name="page22"/>
    <w:bookmarkEnd w:id="21"/>
    <w:p>
      <w:pPr>
        <w:spacing w:after="0" w:line="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higher than the same period in 2012. Despite the increase in interest rates, according to Mortgage Bankers Association data, mortgage originations are estimated to have increased by 25% in the second quarter of 2013 and by 27% in the first six months of 2013, as compared with the same periods of 2012. However, Mortgage Bankers Association is projecting mortgage originations to decline by 38% in the second half of 2013 compared to the first half of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2013, the average seasonally adjusted annual rate nationwide of sales of existing homes increased by 12.6% over the same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period in 2012, according to the National Association of Realtors, with sale prices increasing year-over-year for sixteen consecutive months,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2013. The demand for homes remains higher than the supply in the current market, with inventory at the end of June 2013 representing an 8% decline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compared with the same point a year prior. However, notwithstanding recent improvements, average home prices are still down substantially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market’s peak in the summer of 2006 and, according to the S&amp;P/Case-Shiller U.S. National Home Price Index, are currently similar to levels last seen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Spring 2004. While distressed homes continue to account for a significant portion of overall home sales, accounting for 15% of sales in June 2013, this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down from 26% in the same period in 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Assets of LendingTree Loans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which was amended on February 7, 2012, for the sale of substantially all of the operating assets of our LendingTree Loans business. We completed the sale on June 6, 2012.</w:t>
      </w:r>
    </w:p>
    <w:p>
      <w:pPr>
        <w:spacing w:after="0" w:line="18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in the second quarter of 2013 and recognized as a gain from sale of discontinued operations.</w:t>
      </w:r>
    </w:p>
    <w:p>
      <w:pPr>
        <w:spacing w:after="0" w:line="166"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$18.1 million is being held in escrow pending resolution of certain actual and/or contingent liabilities that remain with us following the sale. The escrowed amount is recorded as restricted cash at June 30, 2013.</w:t>
      </w:r>
    </w:p>
    <w:p>
      <w:pPr>
        <w:spacing w:after="0" w:line="14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also agreed to provide certain services to Discover over a term ending approximately seventeen months following the closing, or such earlier point as the agreed-upon services are satisfactorily completed. Those services have been fully completed as June 30, 2013. Discover remains a network lender on our mortgage exchange following completion of the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home services, and other operating segments, which are not yet mature businesses and have been aggregated. Prior period results have been reclassified to conform with the change in reportable segments.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2013 and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2013 compared to the three and six months ended June 30,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right"/>
              <w:ind w:right="58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520" w:type="dxa"/>
            <w:vAlign w:val="bottom"/>
          </w:tcPr>
          <w:p>
            <w:pPr>
              <w:jc w:val="right"/>
              <w:ind w:right="777"/>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520" w:type="dxa"/>
            <w:vAlign w:val="bottom"/>
          </w:tcPr>
          <w:p>
            <w:pPr>
              <w:jc w:val="right"/>
              <w:ind w:right="617"/>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3"/>
          </w:tcPr>
          <w:p>
            <w:pPr>
              <w:jc w:val="right"/>
              <w:ind w:right="9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1920" w:type="dxa"/>
            <w:vAlign w:val="bottom"/>
            <w:gridSpan w:val="2"/>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33,528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22,122</w:t>
            </w: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194%</w:t>
            </w:r>
          </w:p>
        </w:tc>
        <w:tc>
          <w:tcPr>
            <w:tcW w:w="3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Non-mortgage</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(1,228)</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Total revenue</w:t>
            </w:r>
          </w:p>
        </w:tc>
        <w:tc>
          <w:tcPr>
            <w:tcW w:w="1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380" w:type="dxa"/>
            <w:vAlign w:val="bottom"/>
          </w:tcPr>
          <w:p>
            <w:pPr>
              <w:spacing w:after="0"/>
              <w:rPr>
                <w:sz w:val="18"/>
                <w:szCs w:val="18"/>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ind w:left="38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540" w:type="dxa"/>
            <w:vAlign w:val="bottom"/>
          </w:tcPr>
          <w:p>
            <w:pPr>
              <w:jc w:val="right"/>
              <w:ind w:right="817"/>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3"/>
          </w:tcPr>
          <w:p>
            <w:pPr>
              <w:jc w:val="right"/>
              <w:ind w:right="10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166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59,048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38,650</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Non-mortgage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5,816</w:t>
            </w:r>
          </w:p>
        </w:tc>
        <w:tc>
          <w:tcPr>
            <w:tcW w:w="2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(3,131)</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65,486</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35,281</w:t>
            </w:r>
          </w:p>
        </w:tc>
        <w:tc>
          <w:tcPr>
            <w:tcW w:w="40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Following the closing of the sale on June 6, 2012, of our LendingTree Loans business to Discover, leads that would previously have been provided to LendingTree Loans became available for sale on our mortgage exchange and such leads, therefore, added to revenue in our mortgage exchange business, with an associated increase in selling and marketing expense. Prior to the sale of our LendingTree Loans business, we did not record revenue in our mortgage exchange business for leads provided to LendingTree Loans. Instead, we used a cost-sharing approach for marketing expenses, whereby the mortgage exchange business and LendingTree Loans shared marketing expenses on a pro rata basis, based on the quantity of leads provided to network lenders versus matched with LendingTree Loans.</w:t>
      </w:r>
    </w:p>
    <w:p>
      <w:pPr>
        <w:sectPr>
          <w:pgSz w:w="11900" w:h="16920" w:orient="portrait"/>
          <w:cols w:equalWidth="0" w:num="1">
            <w:col w:w="11460"/>
          </w:cols>
          <w:pgMar w:left="240" w:top="368" w:right="199" w:bottom="0" w:gutter="0" w:footer="0" w:header="0"/>
        </w:sectPr>
      </w:pPr>
    </w:p>
    <w:bookmarkStart w:id="22" w:name="page23"/>
    <w:bookmarkEnd w:id="22"/>
    <w:p>
      <w:pPr>
        <w:spacing w:after="0" w:line="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Consumers matched on our mortgage exchange increased by 131% in the second quarter of 2013 compared to the second quarter of 2012 and by 101% in the first six months of 2013 compared to the first six months of 2012. Additionally, our average revenue earned from network lenders per matched consumer increased by 29% in the second quarter of 2013 compared to the second quarter of 2012, and by 45% in the first six months of 2013 compared to the first six months of 2012. The increases in both the number of consumers matched and the revenue per matched consumer in our mortgage segment are primarily attributable to selling leads at market prices on our mortgage exchange in the 2013 periods that would have been provided to Lending Tree Loans in the 2012 periods.</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 from our non-mortgage segment, which includes our auto, education, home services and other businesses, decreased in the second quarter and first six months of 2013 compared to the second quarter and first six months of 2012. The decrease in revenue in our non-mortgage segment is due to our education and home services businesses. Our education business was impacted by the increased regulation affecting clients engaged in for-profit post-secondary education services which, in turn, affected their marketing practices. Revenue in our home services business was negatively impacted by our decision to discontinue printed directories of home service providers in 2013.</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Corporate revenue is primarily related to fees for certain marketing-related services provided in connection with the sale of our LendingTree Loans business. We have completed these services and therefore do not anticipate additional such revenue in future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2013 compared to the three and six months ended June 30, 2012:</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44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340" w:type="dxa"/>
            <w:vAlign w:val="bottom"/>
          </w:tcPr>
          <w:p>
            <w:pPr>
              <w:jc w:val="right"/>
              <w:ind w:right="657"/>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3"/>
          </w:tcPr>
          <w:p>
            <w:pPr>
              <w:jc w:val="right"/>
              <w:ind w:right="7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1,395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7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1,950</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44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320" w:type="dxa"/>
            <w:vAlign w:val="bottom"/>
          </w:tcPr>
          <w:p>
            <w:pPr>
              <w:jc w:val="right"/>
              <w:ind w:right="61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3"/>
          </w:tcPr>
          <w:p>
            <w:pPr>
              <w:jc w:val="right"/>
              <w:ind w:right="71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2,550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7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3,306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3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Mortgage cost of revenue increased in the second quarter of 2013 from the second quarter of 2012, primarily due to increases of $0.3 million in third-party customer service fees, $0.2 million in credit card fees and $0.2 million in compensation and other employee-related costs. Mortgage cost of revenue increased in the first six months of 2013 from the same period of 2012, primarily due to increases of $0.4 million in third-party customer service fees, $0.4 million in credit card fees and $0.3 million in compensation and other employee-related costs.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Non-mortgage cost of revenue increased slightly in the first six months of 2013 compared to the same period of 2012, primarily due to increases in compensation and other employee-related costs, lead verification service fees and server fees.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Corporate cost of revenue increased in the second quarter and first six months of 2013 due to the costs associated with the marketing-related services provided in connection with the sale of our LendingTree Loans business.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Cost of revenue as a percentage of revenue for the second quarter and first six months of 2013 is consistent with the second quarter and first six months of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2013 compared to the three and six months ended June 30, 2012:</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8"/>
              </w:rPr>
              <w:t>Three Months Ended 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0"/>
                <w:szCs w:val="10"/>
                <w:color w:val="auto"/>
              </w:rPr>
            </w:pPr>
          </w:p>
        </w:tc>
        <w:tc>
          <w:tcPr>
            <w:tcW w:w="1240" w:type="dxa"/>
            <w:vAlign w:val="bottom"/>
          </w:tcPr>
          <w:p>
            <w:pPr>
              <w:jc w:val="right"/>
              <w:ind w:right="783"/>
              <w:spacing w:after="0" w:line="119" w:lineRule="exact"/>
              <w:rPr>
                <w:sz w:val="20"/>
                <w:szCs w:val="20"/>
                <w:color w:val="auto"/>
              </w:rPr>
            </w:pPr>
            <w:r>
              <w:rPr>
                <w:rFonts w:ascii="Arial" w:cs="Arial" w:eastAsia="Arial" w:hAnsi="Arial"/>
                <w:sz w:val="13"/>
                <w:szCs w:val="13"/>
                <w:b w:val="1"/>
                <w:bCs w:val="1"/>
                <w:color w:val="auto"/>
              </w:rPr>
              <w:t>$</w:t>
            </w:r>
          </w:p>
        </w:tc>
        <w:tc>
          <w:tcPr>
            <w:tcW w:w="1620" w:type="dxa"/>
            <w:vAlign w:val="bottom"/>
          </w:tcPr>
          <w:p>
            <w:pPr>
              <w:jc w:val="right"/>
              <w:ind w:right="940"/>
              <w:spacing w:after="0" w:line="119" w:lineRule="exact"/>
              <w:rPr>
                <w:sz w:val="20"/>
                <w:szCs w:val="20"/>
                <w:color w:val="auto"/>
              </w:rPr>
            </w:pPr>
            <w:r>
              <w:rPr>
                <w:rFonts w:ascii="Arial" w:cs="Arial" w:eastAsia="Arial" w:hAnsi="Arial"/>
                <w:sz w:val="13"/>
                <w:szCs w:val="13"/>
                <w:b w:val="1"/>
                <w:bCs w:val="1"/>
                <w:color w:val="auto"/>
              </w:rPr>
              <w:t>%</w:t>
            </w: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Change</w:t>
            </w:r>
          </w:p>
        </w:tc>
        <w:tc>
          <w:tcPr>
            <w:tcW w:w="162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gridSpan w:val="2"/>
          </w:tcPr>
          <w:p>
            <w:pPr>
              <w:jc w:val="right"/>
              <w:ind w:right="10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24,119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17,162</w:t>
            </w: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247%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Non-mortgage</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color w:val="auto"/>
              </w:rPr>
              <w:t>2,262</w:t>
            </w:r>
          </w:p>
        </w:tc>
        <w:tc>
          <w:tcPr>
            <w:tcW w:w="3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right"/>
              <w:ind w:right="203"/>
              <w:spacing w:after="0"/>
              <w:rPr>
                <w:sz w:val="20"/>
                <w:szCs w:val="20"/>
                <w:color w:val="auto"/>
              </w:rPr>
            </w:pPr>
            <w:r>
              <w:rPr>
                <w:rFonts w:ascii="Arial" w:cs="Arial" w:eastAsia="Arial" w:hAnsi="Arial"/>
                <w:sz w:val="18"/>
                <w:szCs w:val="18"/>
                <w:color w:val="auto"/>
              </w:rPr>
              <w:t>(1,740)</w:t>
            </w:r>
          </w:p>
        </w:tc>
        <w:tc>
          <w:tcPr>
            <w:tcW w:w="1620" w:type="dxa"/>
            <w:vAlign w:val="bottom"/>
            <w:tcBorders>
              <w:bottom w:val="single" w:sz="8" w:color="CCEEFF"/>
            </w:tcBorders>
          </w:tcPr>
          <w:p>
            <w:pPr>
              <w:jc w:val="right"/>
              <w:ind w:right="240"/>
              <w:spacing w:after="0"/>
              <w:rPr>
                <w:sz w:val="20"/>
                <w:szCs w:val="20"/>
                <w:color w:val="auto"/>
              </w:rPr>
            </w:pPr>
            <w:r>
              <w:rPr>
                <w:rFonts w:ascii="Arial" w:cs="Arial" w:eastAsia="Arial" w:hAnsi="Arial"/>
                <w:sz w:val="18"/>
                <w:szCs w:val="18"/>
                <w:color w:val="auto"/>
              </w:rPr>
              <w:t>(43)%</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4,002</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341" w:right="259" w:bottom="0" w:gutter="0" w:footer="0" w:header="0"/>
        </w:sectPr>
      </w:pPr>
    </w:p>
    <w:bookmarkStart w:id="23" w:name="page24"/>
    <w:bookmarkEnd w:id="23"/>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and marketing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15,417</w:t>
            </w:r>
          </w:p>
        </w:tc>
        <w:tc>
          <w:tcPr>
            <w:tcW w:w="3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141%</w:t>
            </w: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160" w:type="dxa"/>
            <w:vAlign w:val="bottom"/>
            <w:tcBorders>
              <w:bottom w:val="single" w:sz="8" w:color="CCEEFF"/>
            </w:tcBorders>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43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340" w:type="dxa"/>
            <w:vAlign w:val="bottom"/>
          </w:tcPr>
          <w:p>
            <w:pPr>
              <w:jc w:val="right"/>
              <w:ind w:right="655"/>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3"/>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25,326</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and marketing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3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21,621</w:t>
            </w:r>
          </w:p>
        </w:tc>
        <w:tc>
          <w:tcPr>
            <w:tcW w:w="160" w:type="dxa"/>
            <w:vAlign w:val="bottom"/>
            <w:tcBorders>
              <w:bottom w:val="single" w:sz="8" w:color="CCEEFF"/>
            </w:tcBorders>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Mortgage selling and marketing expense increased immediately following the sale of substantially all of the operating assets of our LendingTree Loans business on June 6, 2012, due to our no longer allocating portions of such expenses to LendingTree Loans. Selling and marketing expense of $1.5 million and $4.8 million was allocated to LendingTree Loans during the second quarter and first six months of 2012, respectively.</w:t>
      </w:r>
    </w:p>
    <w:p>
      <w:pPr>
        <w:spacing w:after="0" w:line="14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increases in mortgage selling and marketing expense in the second quarter of 2013 compared to the second quarter of 2012 and the first six months of 2013 compared to the first six months of 2012 are primarily due to increases of $16.2 million and $23.8 million, respectively, in advertising expense discussed below.</w:t>
      </w:r>
    </w:p>
    <w:p>
      <w:pPr>
        <w:spacing w:after="0" w:line="18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Non-mortgage selling and marketing expense decreased in the second quarter and first six months of 2013 from the second quarter and first six months of 2012, primarily due to $1.3 million and $4.3 million reductions in online advertising, respectively, related to our education and home services businesses.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Mortgage selling and marketing expense as a percentage of revenue increased in the second quarter of 2013 compared to the second quarter of 2012, primarily due to the new national advertising campaign for our LendingTree brand launched in the second quarter of 2013. Mortgage selling and marketing expense as a percentage of revenue decreased in the first six months of 2013, compared with the prior period, due to enhanced marketing efficiencies as well as the comparatively favorable interest rate environment for the first five months of the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expense is the largest component of mortgage selling and marketing expense, and is comprised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center"/>
              <w:ind w:right="437"/>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380" w:type="dxa"/>
            <w:vAlign w:val="bottom"/>
          </w:tcPr>
          <w:p>
            <w:pPr>
              <w:jc w:val="center"/>
              <w:ind w:right="237"/>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3"/>
              </w:rPr>
              <w:t>Change</w:t>
            </w:r>
          </w:p>
        </w:tc>
        <w:tc>
          <w:tcPr>
            <w:tcW w:w="13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3"/>
          </w:tcPr>
          <w:p>
            <w:pPr>
              <w:jc w:val="center"/>
              <w:ind w:right="457"/>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16,580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2,978</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1,670</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Total advertising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16,230</w:t>
            </w:r>
          </w:p>
        </w:tc>
        <w:tc>
          <w:tcPr>
            <w:tcW w:w="3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261%</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center"/>
              <w:ind w:right="457"/>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380" w:type="dxa"/>
            <w:vAlign w:val="bottom"/>
          </w:tcPr>
          <w:p>
            <w:pPr>
              <w:jc w:val="center"/>
              <w:ind w:right="237"/>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3"/>
              </w:rPr>
              <w:t>Change</w:t>
            </w:r>
          </w:p>
        </w:tc>
        <w:tc>
          <w:tcPr>
            <w:tcW w:w="13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3"/>
          </w:tcPr>
          <w:p>
            <w:pPr>
              <w:jc w:val="center"/>
              <w:ind w:right="457"/>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29,014</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19,490</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2,104</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2,186</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Total advertising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23,780</w:t>
            </w:r>
          </w:p>
        </w:tc>
        <w:tc>
          <w:tcPr>
            <w:tcW w:w="3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189%</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We recognized increased advertising expense in the second quarter and first six months of 2013 compared to the second quarter and first six months of 2012, in part due to the greater number of leads available to our mortgage exchange that were previously provided to LendingTree Loans. The increases in advertising expense correspond to 131% and 101% increases in consumers matched with network lenders in the second quarter 2013 compared to the second quarter 2012 and the first six months 2013 compared to the first six months 2012, respectively.</w:t>
      </w:r>
    </w:p>
    <w:p>
      <w:pPr>
        <w:spacing w:after="0" w:line="17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However, the increase in broadcast advertising during the second quarter and first six months of 2013 compared to the second quarter and first six months of 2012 was primarily due to the new national advertising campaign for our LendingTree brand launched in the second quarter of 2013.</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ectPr>
          <w:pgSz w:w="11900" w:h="16917" w:orient="portrait"/>
          <w:cols w:equalWidth="0" w:num="1">
            <w:col w:w="11460"/>
          </w:cols>
          <w:pgMar w:left="240" w:top="140" w:right="199" w:bottom="0" w:gutter="0" w:footer="0" w:header="0"/>
        </w:sectPr>
      </w:pPr>
    </w:p>
    <w:p>
      <w:pPr>
        <w:spacing w:after="0" w:line="173" w:lineRule="exact"/>
        <w:rPr>
          <w:sz w:val="20"/>
          <w:szCs w:val="20"/>
          <w:color w:val="auto"/>
        </w:rPr>
      </w:pPr>
    </w:p>
    <w:p>
      <w:pPr>
        <w:jc w:val="center"/>
        <w:ind w:left="37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6350</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ind w:left="5340"/>
        <w:spacing w:after="0"/>
        <w:tabs>
          <w:tab w:leader="none" w:pos="6580" w:val="left"/>
          <w:tab w:leader="none" w:pos="7960" w:val="left"/>
          <w:tab w:leader="none" w:pos="95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2012</w:t>
      </w:r>
    </w:p>
    <w:p>
      <w:pPr>
        <w:sectPr>
          <w:pgSz w:w="11900" w:h="16917" w:orient="portrait"/>
          <w:cols w:equalWidth="0" w:num="1">
            <w:col w:w="11460"/>
          </w:cols>
          <w:pgMar w:left="240" w:top="140" w:right="199" w:bottom="0" w:gutter="0" w:footer="0" w:header="0"/>
          <w:type w:val="continuous"/>
        </w:sectPr>
      </w:pPr>
    </w:p>
    <w:bookmarkStart w:id="24" w:name="page25"/>
    <w:bookmarkEnd w:id="24"/>
    <w:tbl>
      <w:tblPr>
        <w:tblLayout w:type="fixed"/>
        <w:tblInd w:w="130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1"/>
              </w:rPr>
              <w:t>(25)%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60" w:type="dxa"/>
            <w:vAlign w:val="bottom"/>
            <w:shd w:val="clear" w:color="auto" w:fill="CCEEFF"/>
          </w:tcPr>
          <w:p>
            <w:pPr>
              <w:spacing w:after="0"/>
              <w:rPr>
                <w:sz w:val="18"/>
                <w:szCs w:val="18"/>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160" w:type="dxa"/>
            <w:vAlign w:val="bottom"/>
            <w:tcBorders>
              <w:bottom w:val="single" w:sz="8" w:color="CCEEFF"/>
            </w:tcBorders>
          </w:tcPr>
          <w:p>
            <w:pPr>
              <w:spacing w:after="0"/>
              <w:rPr>
                <w:sz w:val="21"/>
                <w:szCs w:val="2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34%</w:t>
            </w:r>
          </w:p>
        </w:tc>
      </w:tr>
      <w:tr>
        <w:trPr>
          <w:trHeight w:val="365"/>
        </w:trPr>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91"/>
              </w:rPr>
              <w:t>% Change</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1"/>
              </w:rPr>
              <w:t>(14)%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60" w:type="dxa"/>
            <w:vAlign w:val="bottom"/>
            <w:shd w:val="clear" w:color="auto" w:fill="CCEEFF"/>
          </w:tcPr>
          <w:p>
            <w:pPr>
              <w:spacing w:after="0"/>
              <w:rPr>
                <w:sz w:val="18"/>
                <w:szCs w:val="18"/>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160" w:type="dxa"/>
            <w:vAlign w:val="bottom"/>
            <w:tcBorders>
              <w:bottom w:val="single" w:sz="8" w:color="CCEEFF"/>
            </w:tcBorders>
          </w:tcPr>
          <w:p>
            <w:pPr>
              <w:spacing w:after="0"/>
              <w:rPr>
                <w:sz w:val="21"/>
                <w:szCs w:val="2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Mortgage general and administrative expense increased in the second quarter of 2013 from the second quarter of 2012, primarily due to increases in bad debt expense and insurance expense. In contrast, non-mortgage and corporate general and administrative expense decreased during the same period, primarily due to increased efficiencies in non-mortgage expenses and decreases in franchise taxes and professional fees, offset by increased compensation and benefits in the corporate segment.</w:t>
      </w:r>
    </w:p>
    <w:p>
      <w:pPr>
        <w:spacing w:after="0" w:line="18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Mortgage general and administrative expense increased in the first six months of 2013 from the first six months of 2012, primarily due to increases in employee costs, bad debt expense and travel expense. Headcount increased during this time, as we have positioned the business for growth following the completion of the HLC transaction. Corporate general and administrative expense increased in the first six months primarily due a compensation charge of $0.9 million related to a discretionary cash bonus payment to employee stock option holders.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However, the increased general and administrative expense in the first six months of 2013 was spread over proportionately greater revenue during the period, resulting in an improvement in general and administrative expense as a percentage of revenue.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w w:val="91"/>
              </w:rPr>
              <w:t>Three Months Ended June 30,</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Change</w:t>
            </w:r>
          </w:p>
        </w:tc>
        <w:tc>
          <w:tcPr>
            <w:tcW w:w="13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 Change</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gridSpan w:val="3"/>
          </w:tcPr>
          <w:p>
            <w:pPr>
              <w:jc w:val="right"/>
              <w:ind w:right="7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1,226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Non-mortgage</w:t>
            </w:r>
          </w:p>
        </w:tc>
        <w:tc>
          <w:tcPr>
            <w:tcW w:w="7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 development</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1,492</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CEEFF"/>
            </w:tcBorders>
          </w:tcPr>
          <w:p>
            <w:pPr>
              <w:spacing w:after="0"/>
              <w:rPr>
                <w:sz w:val="21"/>
                <w:szCs w:val="2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w w:val="95"/>
              </w:rPr>
              <w:t>Six Months Ended June 30,</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Change</w:t>
            </w:r>
          </w:p>
        </w:tc>
        <w:tc>
          <w:tcPr>
            <w:tcW w:w="13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 Change</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gridSpan w:val="3"/>
          </w:tcPr>
          <w:p>
            <w:pPr>
              <w:jc w:val="right"/>
              <w:ind w:right="7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0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2,176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Non-mortgage</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50"/>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2,697</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80" w:type="dxa"/>
            <w:vAlign w:val="bottom"/>
            <w:tcBorders>
              <w:bottom w:val="single" w:sz="8" w:color="CCEEFF"/>
            </w:tcBorders>
          </w:tcPr>
          <w:p>
            <w:pPr>
              <w:spacing w:after="0"/>
              <w:rPr>
                <w:sz w:val="21"/>
                <w:szCs w:val="21"/>
                <w:color w:val="auto"/>
              </w:rPr>
            </w:pPr>
          </w:p>
        </w:tc>
      </w:tr>
      <w:tr>
        <w:trPr>
          <w:trHeight w:val="197"/>
        </w:trPr>
        <w:tc>
          <w:tcPr>
            <w:tcW w:w="36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7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Product development expense increased in the second quarter and first six months of 2013 from the second quarter and first six months of 2012, primarily due to increases in compensation and other employee-related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Depreciation expense decreased $0.1 million, to $0.9 million in the second quarter of 2013, from $1.0 million in the second quarter of 2012. Depreciation expense decreased $0.5 million, to $1.8 million in the first six months of 2013, from $2.3 million in the first six months of 2012. These decreases are primarily due to certain fixed assets that fully depreciated in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Litigation settlements and contingencies consists of expenses related to actual or anticipated litigation settlements, in addition to legal fees incurred in connection with various patent litigations we are pursuing. During the second quarter and first six months of 2013, we recorded $2.9 million and</w:t>
      </w:r>
    </w:p>
    <w:p>
      <w:pPr>
        <w:jc w:val="both"/>
        <w:ind w:right="340"/>
        <w:spacing w:after="0" w:line="255" w:lineRule="auto"/>
        <w:rPr>
          <w:sz w:val="20"/>
          <w:szCs w:val="20"/>
          <w:color w:val="auto"/>
        </w:rPr>
      </w:pPr>
      <w:r>
        <w:rPr>
          <w:rFonts w:ascii="Arial" w:cs="Arial" w:eastAsia="Arial" w:hAnsi="Arial"/>
          <w:sz w:val="18"/>
          <w:szCs w:val="18"/>
          <w:color w:val="auto"/>
        </w:rPr>
        <w:t>$3.9 million, respectively, for litigation settlements and contingencies. During the second quarter and first six months 2012, we recorded $0.2 million and $0.4 million, respectively, for litigation settlements and contingencies. The expenses in 2013 were due primarily to legal fees incurred in connection with various patent litigations we are currently pursuing</w:t>
      </w:r>
      <w:r>
        <w:rPr>
          <w:rFonts w:ascii="Arial" w:cs="Arial" w:eastAsia="Arial" w:hAnsi="Arial"/>
          <w:sz w:val="18"/>
          <w:szCs w:val="18"/>
          <w:b w:val="1"/>
          <w:bCs w:val="1"/>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loss</w:t>
      </w:r>
    </w:p>
    <w:p>
      <w:pPr>
        <w:sectPr>
          <w:pgSz w:w="11900" w:h="16838" w:orient="portrait"/>
          <w:cols w:equalWidth="0" w:num="1">
            <w:col w:w="11400"/>
          </w:cols>
          <w:pgMar w:left="240" w:top="120" w:right="259" w:bottom="0" w:gutter="0" w:footer="0" w:header="0"/>
        </w:sectPr>
      </w:pPr>
    </w:p>
    <w:p>
      <w:pPr>
        <w:spacing w:after="0" w:line="217" w:lineRule="exact"/>
        <w:rPr>
          <w:sz w:val="20"/>
          <w:szCs w:val="20"/>
          <w:color w:val="auto"/>
        </w:rPr>
      </w:pPr>
    </w:p>
    <w:p>
      <w:pPr>
        <w:jc w:val="center"/>
        <w:ind w:left="34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6350</wp:posOffset>
            </wp:positionV>
            <wp:extent cx="34302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140"/>
        <w:spacing w:after="0"/>
        <w:tabs>
          <w:tab w:leader="none" w:pos="6380" w:val="left"/>
          <w:tab w:leader="none" w:pos="7780" w:val="left"/>
          <w:tab w:leader="none" w:pos="93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wp:posOffset>
            </wp:positionV>
            <wp:extent cx="34302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ectPr>
          <w:pgSz w:w="11900" w:h="16838" w:orient="portrait"/>
          <w:cols w:equalWidth="0" w:num="1">
            <w:col w:w="11400"/>
          </w:cols>
          <w:pgMar w:left="240" w:top="120" w:right="259" w:bottom="0" w:gutter="0" w:footer="0" w:header="0"/>
          <w:type w:val="continuous"/>
        </w:sectPr>
      </w:pPr>
    </w:p>
    <w:bookmarkStart w:id="25" w:name="page26"/>
    <w:bookmarkEnd w:id="25"/>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3,309</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2,237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Non-mortgage</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743</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(1,192)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w:t>
            </w: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(3,337)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(3,805)</w:t>
            </w:r>
          </w:p>
        </w:tc>
      </w:tr>
      <w:tr>
        <w:trPr>
          <w:trHeight w:val="250"/>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320" w:type="dxa"/>
            <w:vAlign w:val="bottom"/>
            <w:tcBorders>
              <w:bottom w:val="single" w:sz="8" w:color="CCEEFF"/>
            </w:tcBorders>
          </w:tcPr>
          <w:p>
            <w:pPr>
              <w:spacing w:after="0"/>
              <w:rPr>
                <w:sz w:val="21"/>
                <w:szCs w:val="21"/>
                <w:color w:val="auto"/>
              </w:rPr>
            </w:pPr>
          </w:p>
        </w:tc>
      </w:tr>
      <w:tr>
        <w:trPr>
          <w:trHeight w:val="197"/>
        </w:trPr>
        <w:tc>
          <w:tcPr>
            <w:tcW w:w="34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Operating loss decreased in the second quarter of 2013 compared to the second quarter of 2012, primarily due to the increase in revenue of $20.4 million, partially offset by increases in cost of revenue of $1.1 million, selling and marketing expense of $15.4 million, product development expense of $0.7 million and litigation settlements and contingencies of $2.7 million.</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 Change</w:t>
            </w:r>
          </w:p>
        </w:tc>
        <w:tc>
          <w:tcPr>
            <w:tcW w:w="13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 Change</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gridSpan w:val="3"/>
          </w:tcPr>
          <w:p>
            <w:pPr>
              <w:jc w:val="right"/>
              <w:ind w:right="7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12,449</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10,472</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4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Non-mortgage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611</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(1,994)</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(8,022)</w:t>
            </w:r>
          </w:p>
        </w:tc>
      </w:tr>
      <w:tr>
        <w:trPr>
          <w:trHeight w:val="250"/>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5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3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72%</w:t>
            </w:r>
          </w:p>
        </w:tc>
        <w:tc>
          <w:tcPr>
            <w:tcW w:w="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(8,039)</w:t>
            </w:r>
          </w:p>
        </w:tc>
        <w:tc>
          <w:tcPr>
            <w:tcW w:w="400" w:type="dxa"/>
            <w:vAlign w:val="bottom"/>
            <w:tcBorders>
              <w:bottom w:val="single" w:sz="8" w:color="CCEEFF"/>
            </w:tcBorders>
          </w:tcPr>
          <w:p>
            <w:pPr>
              <w:spacing w:after="0"/>
              <w:rPr>
                <w:sz w:val="21"/>
                <w:szCs w:val="21"/>
                <w:color w:val="auto"/>
              </w:rPr>
            </w:pPr>
          </w:p>
        </w:tc>
      </w:tr>
      <w:tr>
        <w:trPr>
          <w:trHeight w:val="197"/>
        </w:trPr>
        <w:tc>
          <w:tcPr>
            <w:tcW w:w="28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Operating loss decreased significantly in the first six months of 2013, compared to the first six months of 2012, primarily due to the increase in revenue of $35.3 million, partially offset by increases in cost of revenue of $1.7 million, selling and marketing expense of $22.0 million, general and administrative expense of $1.6 million and litigation settlements and contingencies of $3.5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The following table is a reconciliation of Adjusted EBITDA to net income (loss) for continuing operations by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Non-Mortgage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Three months ended June 30, 2012:</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Non-Mortgage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24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Six months ended June 30, 2013:</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Non-Mortgage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(3,937)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9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Six months ended June 30, 2012:</w:t>
            </w: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24"/>
                <w:szCs w:val="2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Non-Mortgage</w:t>
            </w:r>
          </w:p>
        </w:tc>
        <w:tc>
          <w:tcPr>
            <w:tcW w:w="24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3,274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For the three months ended June 30, 2013 and 2012, we recorded tax benefits of $(19) thousand and $(1.1) million, respectively, which represent effective tax rates of 0.9% and 39.4%, respectively. For the six months ended June 30, 2013 and 2012, we recorded a tax provision (benefit) of $1 thousand and $(3.3) million, respectively, which represent effective tax rates of 0.04% and 39.5%, respectively. The Company established a valuation allowance of approximately $55 million during the year ended December 31, 2012 to offset its US net deferred tax assets, after excluding deferred tax liabilities related to indefinite-lived intangible assets that are not anticipated to provide a source of taxable income in the foreseeable future. For the three and six months ended June 30, 2013, the effective income tax rates were impacted by the indefinite-lived intangible assets which are amortized for tax purposes but not amortized for book purposes, as well as a discrete state tax liability occurring during the periods. For the three and six months ended June 30, 2012, our effective tax rates were higher than the federal statutory rate of 35%, primarily due to the impact of state income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Income from discontinued operations of $9.1 million in the second quarter of 2013 and $6.7 million in the first six months of 2013 is primarily due to a gain of $10 million recognized in the second quarter of 2013 for an additional purchase price payment from Discover related to the sale of the LendingTree Loans business, partially offset by operating losses. Income from discontinued operations of $27.5 million and $44.9 million in the second quarter and first six months of 2012 is primarily due to the gain recognized at the time of the sale of the LendingTree Loans business in the second quarter of 2012, partially offset by operating losses. We completed the sale of the Lending Tree Loans business on June 6, 2012.</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and beyond.</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As of June 30, 2013, we had $85.3 million of cash and cash equivalents and $30.0 million of restricted cash and cash equivalents, compared to $80.2 million of cash and cash equivalents and $29.4 million of restricted cash and cash equivalents as of December 31, 2012.</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19"/>
        </w:trPr>
        <w:tc>
          <w:tcPr>
            <w:tcW w:w="4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521"/>
              <w:spacing w:after="0" w:line="119" w:lineRule="exact"/>
              <w:rPr>
                <w:sz w:val="20"/>
                <w:szCs w:val="20"/>
                <w:color w:val="auto"/>
              </w:rPr>
            </w:pPr>
            <w:r>
              <w:rPr>
                <w:rFonts w:ascii="Arial" w:cs="Arial" w:eastAsia="Arial" w:hAnsi="Arial"/>
                <w:sz w:val="13"/>
                <w:szCs w:val="13"/>
                <w:b w:val="1"/>
                <w:bCs w:val="1"/>
                <w:color w:val="auto"/>
              </w:rPr>
              <w:t>June 30,</w:t>
            </w: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4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left="66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1,070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8"/>
                <w:szCs w:val="18"/>
                <w:color w:val="auto"/>
              </w:rPr>
              <w:t>(1,869)</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(6,106)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(2,641)</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Net cash provided by operating activities attributable to continuing operations in the first six months of 2013 was $1.1 million and consisted primarily of losses from continuing operations of $2.3 million, positive adjustments for non-cash items of $4.8 million and cash used for working capital of $1.4 million. Adjustments for non-cash items primarily consisted of $2.9 million in non-cash compensation expense and $1.8 million of depreciation. Accounts receivable increased $6.9 million due to increases in revenue. Accounts payable, accrued expenses and other current liabilities increased $6.9 million, primarily due to increased marketing efforts and a new branding campaign.</w:t>
      </w:r>
    </w:p>
    <w:p>
      <w:pPr>
        <w:spacing w:after="0" w:line="17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Net cash used in operating activities attributable to continuing operations in the first six months of 2012 was $6.6 million and consisted of losses from continuing operations of $5.0 million, positive adjustments for non-cash items of $4.9 million and cash used for working capital of $6.5 million. Adjustments for non-cash items primarily consisted of $2.3 million each of depreciation and non-</w:t>
      </w:r>
    </w:p>
    <w:p>
      <w:pPr>
        <w:sectPr>
          <w:pgSz w:w="11900" w:h="16838" w:orient="portrait"/>
          <w:cols w:equalWidth="0" w:num="1">
            <w:col w:w="11460"/>
          </w:cols>
          <w:pgMar w:left="240" w:top="140" w:right="199" w:bottom="69" w:gutter="0" w:footer="0" w:header="0"/>
        </w:sectPr>
      </w:pP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69"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cash compensation expense. Accounts receivable increased by $1.9 million in 2012 primarily due to leads that would formerly have been provided to LendingTree Loans becoming available for sale on our mortgage exchange. Accounts payable and other current liabilities decreased by $6.0 million as we paid previously incurred expenses from improved cash flow.</w:t>
      </w:r>
    </w:p>
    <w:p>
      <w:pPr>
        <w:spacing w:after="0" w:line="181"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Net cash used in investing activities attributable to continuing operations in the first six months of 2013 of $1.9 million consisted primarily of capital expenditures of $1.2 million and an increase in restricted cash of $0.7 million. Net cash used in investing activities attributable to continuing operations in the first six months of 2012 of $6.1 million resulted primarily from an increase in restricted cash of $4.6 million and capital expenditures of $1.5 million.</w:t>
      </w:r>
    </w:p>
    <w:p>
      <w:pPr>
        <w:ind w:right="500"/>
        <w:spacing w:after="0" w:line="255" w:lineRule="auto"/>
        <w:rPr>
          <w:sz w:val="20"/>
          <w:szCs w:val="20"/>
          <w:color w:val="auto"/>
        </w:rPr>
      </w:pPr>
      <w:r>
        <w:rPr>
          <w:rFonts w:ascii="Arial" w:cs="Arial" w:eastAsia="Arial" w:hAnsi="Arial"/>
          <w:sz w:val="18"/>
          <w:szCs w:val="18"/>
          <w:color w:val="auto"/>
        </w:rPr>
        <w:t>Restricted cash also increased in the first six months of 2012 by the approximately $17.1 million initially escrowed purchase price from the sale of substantially all of the operating assets of our LendingTree Loans business, which is reflected in net cash provided by investing activities attributable to discontinued operations.</w:t>
      </w:r>
    </w:p>
    <w:p>
      <w:pPr>
        <w:spacing w:after="0" w:line="19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Net cash used in financing activities attributable to continuing operations in the first six months of 2013 of $2.6 million consisted primarily of the vesting and issuance of stock to employees (less withholding taxes) of $1.5 million and the purchase of treasury stock of $1.5 million. Net cash provided by financing activities in the first six months of 2012 of $3.7 million was primarily due to the release of restricted cash formerly required by our warehouse lenders of $4.2 million following the closing of the sale of substantially all of the operating assets of our LendingTree Loans business on June 6,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the consolidated financial statements for a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Definition of Adjusted EBITDA</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ind w:right="22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 This non-GAAP measure may not be comparable to similarly titled measures used by other companies.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One-Time Items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have not occurred in the past two years and are not expected to recur in the next two years, in accordance with SEC rules. For the periods presented in this report, there are no adjustments for one-time items except for a compensation charge of $0.9 million in the six months ended June 30, 2013 related to a discretionary cash bonus payment to employee stock option 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ectPr>
          <w:pgSz w:w="11900" w:h="16838" w:orient="portrait"/>
          <w:cols w:equalWidth="0" w:num="1">
            <w:col w:w="11420"/>
          </w:cols>
          <w:pgMar w:left="240" w:top="368" w:right="239" w:bottom="34" w:gutter="0" w:footer="0" w:header="0"/>
        </w:sectPr>
      </w:pPr>
    </w:p>
    <w:bookmarkStart w:id="28" w:name="page29"/>
    <w:bookmarkEnd w:id="28"/>
    <w:p>
      <w:pPr>
        <w:ind w:right="120" w:firstLine="648"/>
        <w:spacing w:after="0" w:line="264"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due to the material weakness in our internal control over financial reporting that is described below, our disclosure controls and procedures were not effective as of June 30,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third-party tax advisors. This material weakness was identified in connection with our assessment of the effectiveness of internal control over financial reporting as of December 31, 2010, and was determined not to have been remediated as of June 30, 2013.</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Notwithstanding the identified material weakness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With the oversight of our management and the audit committee of our board of directors, we have taken steps and plan to take additional measures to remediate the underlying causes of the material weakness described above. We have undertaken an evaluation of our available resources to provide effective oversight of the work performed by our third-party tax advisors and are in the process of identifying necessary changes to our processes as required. Additionally, we are evaluating the resources available and provided to us by the third-party tax advisors and identifying changes as required.</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While we believe that these steps and measures will remediate the material weakness, there is a risk that these steps and measures will not be adequate to remediate the material weakness. Until we can provide reasonable assurance that the material weakness has been remediated, the material weakness could result in a misstatement in tax-related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See the risk factor contained in Part II, Item 1A—Risk Factors of this Quarterly Report under the heading “We have identified a material weakness in our internal control over financial reporting and we may be unable to develop, implement and maintain appropriate controls in future periods. If the material weakness is not remediated, then it could result in a material misstatement to the financial statements. For our year ending December 31, 2013, we will be required to include with our audited financial statements included in our Form 10-K an attestation of our independent auditor as to the effectiveness of our internal controls.”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second fiscal quarter that has materially affected, or is reasonably likely to materially affect, our internal control over financial reporting.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40" w:firstLine="450"/>
        <w:spacing w:after="0" w:line="264" w:lineRule="auto"/>
        <w:rPr>
          <w:sz w:val="20"/>
          <w:szCs w:val="20"/>
          <w:color w:val="auto"/>
        </w:rPr>
      </w:pPr>
      <w:r>
        <w:rPr>
          <w:rFonts w:ascii="Arial" w:cs="Arial" w:eastAsia="Arial" w:hAnsi="Arial"/>
          <w:sz w:val="17"/>
          <w:szCs w:val="17"/>
          <w:color w:val="auto"/>
        </w:rPr>
        <w:t>In the ordinary course of business, we are party to litigation involving property, contract, intellectual property and a variety of other claims. The amounts that may be recovered in such matters may be subject to insurance coverage. We included a discussion of certain legal proceedings in Part I, Item 3, of our Annual Report on Form 10-K for the year ended December 31, 2012 and in Part II, Item 1 of our Quarterly Report on Form 10-Q for the quarter ended March 31, 2013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Quarter 2013 10-Q”). During the three months ended June 30, 2013, there were no material developments to the legal proceedings disclosed in the 2012 Form 10-K or the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Quarter 2013 10-Q and no new material proceedings except as set forth below.</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The Money Suite Company v. Lending Tree, LLC, No. 1:13-ev-00986 (U.S. Dist. Ct. D. Del.) </w:t>
      </w:r>
      <w:r>
        <w:rPr>
          <w:rFonts w:ascii="Arial" w:cs="Arial" w:eastAsia="Arial" w:hAnsi="Arial"/>
          <w:sz w:val="18"/>
          <w:szCs w:val="18"/>
          <w:color w:val="auto"/>
        </w:rPr>
        <w:t>In June 2013, Plaintiff filed a patent infringement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lawsuit against us seeking a judgement that we infringed a patent held by Plaintiff. The complaint alleges that we infringe U.S. Patent no. 6,685,189 for “an apparatus and method using front end network gateways and search criteria for efficient quoting at a remote location”. Plaintiff seeks damages (including pre- and post- judgment interest thereon), costs and attorneys’ fees. We believe Plaintiff’s allegations lack merit and intend to defend against this action vigorously.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ectPr>
          <w:pgSz w:w="11900" w:h="16838" w:orient="portrait"/>
          <w:cols w:equalWidth="0" w:num="1">
            <w:col w:w="11400"/>
          </w:cols>
          <w:pgMar w:left="240" w:top="125" w:right="259" w:bottom="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2012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asset purchase agreement for the sale of substantially all of the operating assets of our LendingTree Loans business may expose us to contingent liabilities.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asset purchase agreement, 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While Discover’s initial claim for indemnification relating to our sale prior to the closing of certain loans has been resolved (see Note 13—Discontinued Operations to the consolidated financial statements included in this report), Discover may bring other claims in the future.</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cannot compete in the business of originating, funding or selling of mortgages until June 2015. These restrictions may prevent certain strategic transactions or discourage potential investors from purchasing our stock.</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Subject to specified exceptions, we have agreed we will not establish, own, manage, operate, control, invest in or otherwise engage in the business of origination, funding or sales of mortgages within the United States for three years from the closing of the sale of substantially all of the operating assets of our LendingTree Loans business. Should market conditions or our strategic direction change, we will not be able to re-establish mortgage lending as part of our business during the restricted period. This non-compete restriction may bind an acquirer of more than fifty percent of our total outstanding voting securities unless such acquirer derives less than fifty percent of its revenue from the business of origination, funding or sales of mortgages.</w:t>
      </w:r>
    </w:p>
    <w:p>
      <w:pPr>
        <w:spacing w:after="0" w:line="158" w:lineRule="exact"/>
        <w:rPr>
          <w:sz w:val="20"/>
          <w:szCs w:val="20"/>
          <w:color w:val="auto"/>
        </w:rPr>
      </w:pPr>
    </w:p>
    <w:p>
      <w:pPr>
        <w:jc w:val="both"/>
        <w:ind w:firstLine="466"/>
        <w:spacing w:after="0" w:line="264" w:lineRule="auto"/>
        <w:rPr>
          <w:sz w:val="20"/>
          <w:szCs w:val="20"/>
          <w:color w:val="auto"/>
        </w:rPr>
      </w:pPr>
      <w:r>
        <w:rPr>
          <w:rFonts w:ascii="Arial" w:cs="Arial" w:eastAsia="Arial" w:hAnsi="Arial"/>
          <w:sz w:val="18"/>
          <w:szCs w:val="18"/>
          <w:color w:val="auto"/>
        </w:rPr>
        <w:t>This non-compete restriction could delay, defer or prevent a change of control, merger, consolidation, takeover or other business combination involving us that our board of directors or our stockholders may otherwise support, and could also discourage a potential investor from acquiring our common stock and might harm the market price of our common stock.</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we may be unable to develop, implement and maintain appropriate controls in future periods. If the material weakness is not remediated, then it could result in a material misstatement to the financial statements. For our year ending December 31, 2013, we will be required to include with our audited financial statements included in our Form 10-K an attestation of our independent auditor as to the effectiveness of our internal controls.</w:t>
      </w:r>
    </w:p>
    <w:p>
      <w:pPr>
        <w:spacing w:after="0" w:line="171" w:lineRule="exact"/>
        <w:rPr>
          <w:sz w:val="20"/>
          <w:szCs w:val="20"/>
          <w:color w:val="auto"/>
        </w:rPr>
      </w:pPr>
    </w:p>
    <w:p>
      <w:pPr>
        <w:ind w:right="40" w:firstLine="466"/>
        <w:spacing w:after="0" w:line="255" w:lineRule="auto"/>
        <w:rPr>
          <w:sz w:val="20"/>
          <w:szCs w:val="20"/>
          <w:color w:val="auto"/>
        </w:rPr>
      </w:pPr>
      <w:r>
        <w:rPr>
          <w:rFonts w:ascii="Arial" w:cs="Arial" w:eastAsia="Arial" w:hAnsi="Arial"/>
          <w:sz w:val="18"/>
          <w:szCs w:val="18"/>
          <w:color w:val="auto"/>
        </w:rPr>
        <w:t>We have identified a material weakness in our internal control over financial reporting and, as a result of such weakness, our management, with the participation of our principal executive officer and principal financial officer, concluded that our disclosure controls and procedures and internal control over financial reporting were not effective as of June 30, 2013. The material weakness related to the maintenance of effective controls over the application and monitoring of our accounting for income taxes. This material weakness was identified in connection with our assessment of the effectiveness of internal control over financial reporting as of December 31, 2010, and was determined not to have been remediated as of June 30, 2013. Until remediated, this material weakness could result in material misstatements to our interim or annual consolidated financial statements and disclosures that may not be prevented or detected on a timely basis.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Under SEC rules and regulations, we will be an “accelerated filer” as of December 31, 2013.  Accordingly, we will need to comply with</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404(b) of the Sarbanes-Oxley Act of 2002 for our Form 10-K for the 2013 fiscal year, which will require us to obtain a report from our independent registered public accounting firm to attest to and report on management’s assessment of the effectiveness of our internal control over financial reporting. We will also be required to file our Form 10-K within 75 days after the end of the fiscal year and subsequent Form 10-Qs within 40 days after the end of the fiscal quarter. We are implementing additional procedures to support the requirements of Section 404(b) and the accelerated filing deadlines, which are expected to be costly and time consuming for our accounting department and senior management overseeing these procedures. In the processes of implementing additional procedures and obtaining the report called for by Section 404(b), we or our independent registered public accounting firm may identify control deficiencies not previously identified by management and may conclude that one or more of them is a material weakness.</w:t>
      </w:r>
    </w:p>
    <w:p>
      <w:pPr>
        <w:spacing w:after="0" w:line="169" w:lineRule="exact"/>
        <w:rPr>
          <w:sz w:val="20"/>
          <w:szCs w:val="20"/>
          <w:color w:val="auto"/>
        </w:rPr>
      </w:pPr>
    </w:p>
    <w:p>
      <w:pPr>
        <w:ind w:right="360" w:firstLine="466"/>
        <w:spacing w:after="0" w:line="264" w:lineRule="auto"/>
        <w:rPr>
          <w:sz w:val="20"/>
          <w:szCs w:val="20"/>
          <w:color w:val="auto"/>
        </w:rPr>
      </w:pPr>
      <w:r>
        <w:rPr>
          <w:rFonts w:ascii="Arial" w:cs="Arial" w:eastAsia="Arial" w:hAnsi="Arial"/>
          <w:sz w:val="18"/>
          <w:szCs w:val="18"/>
          <w:color w:val="auto"/>
        </w:rPr>
        <w:t>Material weaknesses may result in an inability to meet our reporting obligations or comply with SEC rules and regulations, which could result in delisting actions by the NASDAQ Stock Market and investigation and sanctions by regulatory authorities. Any of these results could adversely affect our business and the trading price of our common stock.</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70" w:lineRule="exact"/>
        <w:rPr>
          <w:sz w:val="20"/>
          <w:szCs w:val="20"/>
          <w:color w:val="auto"/>
        </w:rPr>
      </w:pPr>
    </w:p>
    <w:p>
      <w:pPr>
        <w:ind w:firstLine="466"/>
        <w:spacing w:after="0" w:line="259" w:lineRule="auto"/>
        <w:rPr>
          <w:sz w:val="20"/>
          <w:szCs w:val="20"/>
          <w:color w:val="auto"/>
        </w:rPr>
      </w:pPr>
      <w:r>
        <w:rPr>
          <w:rFonts w:ascii="Arial" w:cs="Arial" w:eastAsia="Arial" w:hAnsi="Arial"/>
          <w:sz w:val="18"/>
          <w:szCs w:val="18"/>
          <w:color w:val="auto"/>
        </w:rPr>
        <w:t>As of April 30, 2013, Douglas Lebda, our Chairman and Chief Executive Officer, and Liberty Interactive Corporation beneficially owned approximately 19.84% and 24.66%, respectively, of our outstanding common stock. Liberty Interactive also has the right to nominate 20% of the total number of directors serving on the board, rounded up. Liberty Interactive has nominated one director, Neal Dermer, and presently has the right to nominate a second director if it chooses to do so.</w:t>
      </w:r>
    </w:p>
    <w:p>
      <w:pPr>
        <w:spacing w:after="0" w:line="187" w:lineRule="exact"/>
        <w:rPr>
          <w:sz w:val="20"/>
          <w:szCs w:val="20"/>
          <w:color w:val="auto"/>
        </w:rPr>
      </w:pPr>
    </w:p>
    <w:p>
      <w:pPr>
        <w:ind w:right="80" w:firstLine="468"/>
        <w:spacing w:after="0" w:line="276" w:lineRule="auto"/>
        <w:rPr>
          <w:sz w:val="20"/>
          <w:szCs w:val="20"/>
          <w:color w:val="auto"/>
        </w:rPr>
      </w:pPr>
      <w:r>
        <w:rPr>
          <w:rFonts w:ascii="Arial" w:cs="Arial" w:eastAsia="Arial" w:hAnsi="Arial"/>
          <w:sz w:val="17"/>
          <w:szCs w:val="17"/>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2013.</w:t>
      </w:r>
    </w:p>
    <w:p>
      <w:pPr>
        <w:sectPr>
          <w:pgSz w:w="11900" w:h="16838" w:orient="portrait"/>
          <w:cols w:equalWidth="0" w:num="1">
            <w:col w:w="11400"/>
          </w:cols>
          <w:pgMar w:left="240" w:top="125" w:right="259" w:bottom="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8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Average Price</w:t>
            </w:r>
          </w:p>
        </w:tc>
        <w:tc>
          <w:tcPr>
            <w:tcW w:w="1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 Purchased(1)</w:t>
            </w:r>
          </w:p>
        </w:tc>
        <w:tc>
          <w:tcPr>
            <w:tcW w:w="280" w:type="dxa"/>
            <w:vAlign w:val="bottom"/>
          </w:tcPr>
          <w:p>
            <w:pPr>
              <w:spacing w:after="0"/>
              <w:rPr>
                <w:sz w:val="14"/>
                <w:szCs w:val="14"/>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Paid per Share</w:t>
            </w:r>
          </w:p>
        </w:tc>
        <w:tc>
          <w:tcPr>
            <w:tcW w:w="1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Programs(2)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04/01/13 - 04/30/13</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05/01/13 - 05/31/13</w:t>
            </w:r>
          </w:p>
        </w:tc>
        <w:tc>
          <w:tcPr>
            <w:tcW w:w="30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10,702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06/01/13 - 06/30/13</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18.02</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44,142</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141,771</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8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44,142</w:t>
            </w:r>
          </w:p>
        </w:tc>
        <w:tc>
          <w:tcPr>
            <w:tcW w:w="20" w:type="dxa"/>
            <w:vAlign w:val="bottom"/>
            <w:tcBorders>
              <w:bottom w:val="single" w:sz="8" w:color="auto"/>
            </w:tcBorders>
          </w:tcPr>
          <w:p>
            <w:pPr>
              <w:spacing w:after="0"/>
              <w:rPr>
                <w:sz w:val="18"/>
                <w:szCs w:val="18"/>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00" w:hanging="652"/>
        <w:spacing w:after="0" w:line="259"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quarter ended June 30, 2013, 97,629 shares of our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86" w:lineRule="exact"/>
        <w:rPr>
          <w:rFonts w:ascii="Arial" w:cs="Arial" w:eastAsia="Arial" w:hAnsi="Arial"/>
          <w:sz w:val="18"/>
          <w:szCs w:val="18"/>
          <w:color w:val="auto"/>
        </w:rPr>
      </w:pPr>
    </w:p>
    <w:p>
      <w:pPr>
        <w:ind w:left="660" w:right="80" w:hanging="652"/>
        <w:spacing w:after="0" w:line="257"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2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Location</w:t>
            </w:r>
          </w:p>
        </w:tc>
      </w:tr>
      <w:tr>
        <w:trPr>
          <w:trHeight w:val="411"/>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Executive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Financial Officer pursuant to Rule 13a-14(a) or Rule 15d-14(a) of the Securities Exchange Act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18"/>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c>
          <w:tcPr>
            <w:tcW w:w="1060" w:type="dxa"/>
            <w:vAlign w:val="bottom"/>
          </w:tcPr>
          <w:p>
            <w:pPr>
              <w:spacing w:after="0"/>
              <w:rPr>
                <w:sz w:val="20"/>
                <w:szCs w:val="20"/>
                <w:color w:val="auto"/>
              </w:rPr>
            </w:pP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00" w:hanging="99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000" w:hanging="992"/>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1350, and is not being filed for purposes of</w:t>
      </w:r>
    </w:p>
    <w:p>
      <w:pPr>
        <w:spacing w:after="0" w:line="35" w:lineRule="exact"/>
        <w:rPr>
          <w:sz w:val="20"/>
          <w:szCs w:val="20"/>
          <w:color w:val="auto"/>
        </w:rPr>
      </w:pPr>
    </w:p>
    <w:p>
      <w:pPr>
        <w:ind w:left="680"/>
        <w:spacing w:after="0" w:line="261" w:lineRule="auto"/>
        <w:rPr>
          <w:sz w:val="20"/>
          <w:szCs w:val="20"/>
          <w:color w:val="auto"/>
        </w:rPr>
      </w:pPr>
      <w:r>
        <w:rPr>
          <w:rFonts w:ascii="Arial" w:cs="Arial" w:eastAsia="Arial" w:hAnsi="Arial"/>
          <w:sz w:val="18"/>
          <w:szCs w:val="18"/>
          <w:color w:val="auto"/>
        </w:rPr>
        <w:t>Section 18 of the Securities Exchange Act of 1934 and is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both"/>
        <w:ind w:left="680" w:right="100" w:hanging="672"/>
        <w:spacing w:after="0" w:line="264" w:lineRule="auto"/>
        <w:tabs>
          <w:tab w:leader="none" w:pos="10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ind w:left="5720"/>
              <w:spacing w:after="0"/>
              <w:rPr>
                <w:sz w:val="20"/>
                <w:szCs w:val="20"/>
                <w:color w:val="auto"/>
              </w:rPr>
            </w:pPr>
            <w:r>
              <w:rPr>
                <w:rFonts w:ascii="Arial" w:cs="Arial" w:eastAsia="Arial" w:hAnsi="Arial"/>
                <w:sz w:val="18"/>
                <w:szCs w:val="18"/>
                <w:color w:val="auto"/>
              </w:rPr>
              <w:t>TREE.COM, INC.</w:t>
            </w:r>
          </w:p>
        </w:tc>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38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1110"/>
              <w:spacing w:after="0"/>
              <w:rPr>
                <w:sz w:val="20"/>
                <w:szCs w:val="20"/>
                <w:color w:val="auto"/>
              </w:rPr>
            </w:pPr>
            <w:r>
              <w:rPr>
                <w:rFonts w:ascii="Arial" w:cs="Arial" w:eastAsia="Arial" w:hAnsi="Arial"/>
                <w:sz w:val="18"/>
                <w:szCs w:val="18"/>
                <w:color w:val="auto"/>
                <w:w w:val="92"/>
              </w:rPr>
              <w:t>/s/ Alexander Mandel</w:t>
            </w:r>
          </w:p>
        </w:tc>
        <w:tc>
          <w:tcPr>
            <w:tcW w:w="4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jc w:val="center"/>
              <w:ind w:right="1090"/>
              <w:spacing w:after="0" w:line="195" w:lineRule="exact"/>
              <w:rPr>
                <w:sz w:val="20"/>
                <w:szCs w:val="20"/>
                <w:color w:val="auto"/>
              </w:rPr>
            </w:pPr>
            <w:r>
              <w:rPr>
                <w:rFonts w:ascii="Arial" w:cs="Arial" w:eastAsia="Arial" w:hAnsi="Arial"/>
                <w:sz w:val="18"/>
                <w:szCs w:val="18"/>
                <w:color w:val="auto"/>
                <w:w w:val="92"/>
              </w:rPr>
              <w:t>Alexander Mandel</w:t>
            </w:r>
          </w:p>
        </w:tc>
        <w:tc>
          <w:tcPr>
            <w:tcW w:w="4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40" w:type="dxa"/>
            <w:vAlign w:val="bottom"/>
          </w:tcPr>
          <w:p>
            <w:pPr>
              <w:jc w:val="center"/>
              <w:ind w:right="1090"/>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40" w:type="dxa"/>
            <w:vAlign w:val="bottom"/>
          </w:tcPr>
          <w:p>
            <w:pPr>
              <w:jc w:val="center"/>
              <w:ind w:right="1110"/>
              <w:spacing w:after="0"/>
              <w:rPr>
                <w:sz w:val="20"/>
                <w:szCs w:val="20"/>
                <w:color w:val="auto"/>
              </w:rPr>
            </w:pPr>
            <w:r>
              <w:rPr>
                <w:rFonts w:ascii="Arial" w:cs="Arial" w:eastAsia="Arial" w:hAnsi="Arial"/>
                <w:sz w:val="18"/>
                <w:szCs w:val="18"/>
                <w:i w:val="1"/>
                <w:iCs w:val="1"/>
                <w:color w:val="auto"/>
                <w:w w:val="96"/>
              </w:rPr>
              <w:t>(principal financial officer and</w:t>
            </w:r>
          </w:p>
        </w:tc>
        <w:tc>
          <w:tcPr>
            <w:tcW w:w="4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40" w:type="dxa"/>
            <w:vAlign w:val="bottom"/>
          </w:tcPr>
          <w:p>
            <w:pPr>
              <w:jc w:val="center"/>
              <w:ind w:right="1090"/>
              <w:spacing w:after="0"/>
              <w:rPr>
                <w:sz w:val="20"/>
                <w:szCs w:val="20"/>
                <w:color w:val="auto"/>
              </w:rPr>
            </w:pPr>
            <w:r>
              <w:rPr>
                <w:rFonts w:ascii="Arial" w:cs="Arial" w:eastAsia="Arial" w:hAnsi="Arial"/>
                <w:sz w:val="18"/>
                <w:szCs w:val="18"/>
                <w:i w:val="1"/>
                <w:iCs w:val="1"/>
                <w:color w:val="auto"/>
                <w:w w:val="93"/>
              </w:rPr>
              <w:t>duly authorized officer)</w:t>
            </w:r>
          </w:p>
        </w:tc>
        <w:tc>
          <w:tcPr>
            <w:tcW w:w="40" w:type="dxa"/>
            <w:vAlign w:val="bottom"/>
          </w:tcPr>
          <w:p>
            <w:pPr>
              <w:spacing w:after="0"/>
              <w:rPr>
                <w:sz w:val="20"/>
                <w:szCs w:val="20"/>
                <w:color w:val="auto"/>
              </w:rPr>
            </w:pPr>
          </w:p>
        </w:tc>
      </w:tr>
      <w:tr>
        <w:trPr>
          <w:trHeight w:val="432"/>
        </w:trPr>
        <w:tc>
          <w:tcPr>
            <w:tcW w:w="62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25" w:lineRule="exact"/>
        <w:rPr>
          <w:sz w:val="20"/>
          <w:szCs w:val="20"/>
          <w:color w:val="auto"/>
        </w:rPr>
      </w:pPr>
    </w:p>
    <w:p>
      <w:pPr>
        <w:ind w:left="1000" w:hanging="99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Tree.com, Inc.;</w:t>
      </w:r>
    </w:p>
    <w:p>
      <w:pPr>
        <w:spacing w:after="0" w:line="225" w:lineRule="exact"/>
        <w:rPr>
          <w:rFonts w:ascii="Arial" w:cs="Arial" w:eastAsia="Arial" w:hAnsi="Arial"/>
          <w:sz w:val="18"/>
          <w:szCs w:val="18"/>
          <w:color w:val="auto"/>
        </w:rPr>
      </w:pPr>
    </w:p>
    <w:p>
      <w:pPr>
        <w:ind w:left="660" w:right="40" w:hanging="652"/>
        <w:spacing w:after="0" w:line="264" w:lineRule="auto"/>
        <w:tabs>
          <w:tab w:leader="none" w:pos="9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9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80" w:hanging="652"/>
        <w:spacing w:after="0" w:line="264" w:lineRule="auto"/>
        <w:tabs>
          <w:tab w:leader="none" w:pos="9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20" w:right="180" w:hanging="750"/>
        <w:spacing w:after="0" w:line="264" w:lineRule="auto"/>
        <w:tabs>
          <w:tab w:leader="none" w:pos="17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20" w:right="80" w:hanging="750"/>
        <w:spacing w:after="0" w:line="264" w:lineRule="auto"/>
        <w:tabs>
          <w:tab w:leader="none" w:pos="17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20" w:right="20" w:hanging="750"/>
        <w:spacing w:after="0" w:line="342" w:lineRule="auto"/>
        <w:tabs>
          <w:tab w:leader="none" w:pos="174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40" w:hanging="750"/>
        <w:spacing w:after="0" w:line="264" w:lineRule="auto"/>
        <w:tabs>
          <w:tab w:leader="none" w:pos="17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42" w:lineRule="auto"/>
        <w:tabs>
          <w:tab w:leader="none" w:pos="9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20" w:right="200" w:hanging="750"/>
        <w:spacing w:after="0" w:line="308" w:lineRule="auto"/>
        <w:tabs>
          <w:tab w:leader="none" w:pos="174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20" w:right="480" w:hanging="750"/>
        <w:spacing w:after="0" w:line="277" w:lineRule="auto"/>
        <w:tabs>
          <w:tab w:leader="none" w:pos="17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2013</w:t>
      </w:r>
    </w:p>
    <w:p>
      <w:pPr>
        <w:spacing w:after="0" w:line="22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Douglas R. Lebda</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25" w:lineRule="exact"/>
        <w:rPr>
          <w:sz w:val="20"/>
          <w:szCs w:val="20"/>
          <w:color w:val="auto"/>
        </w:rPr>
      </w:pPr>
    </w:p>
    <w:p>
      <w:pPr>
        <w:ind w:left="1000" w:hanging="99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Tree.com, Inc.;</w:t>
      </w:r>
    </w:p>
    <w:p>
      <w:pPr>
        <w:spacing w:after="0" w:line="225" w:lineRule="exact"/>
        <w:rPr>
          <w:rFonts w:ascii="Arial" w:cs="Arial" w:eastAsia="Arial" w:hAnsi="Arial"/>
          <w:sz w:val="18"/>
          <w:szCs w:val="18"/>
          <w:color w:val="auto"/>
        </w:rPr>
      </w:pPr>
    </w:p>
    <w:p>
      <w:pPr>
        <w:ind w:left="660" w:right="40" w:hanging="652"/>
        <w:spacing w:after="0" w:line="264" w:lineRule="auto"/>
        <w:tabs>
          <w:tab w:leader="none" w:pos="9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98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80" w:hanging="652"/>
        <w:spacing w:after="0" w:line="264" w:lineRule="auto"/>
        <w:tabs>
          <w:tab w:leader="none" w:pos="9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20" w:right="180" w:hanging="750"/>
        <w:spacing w:after="0" w:line="264" w:lineRule="auto"/>
        <w:tabs>
          <w:tab w:leader="none" w:pos="17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20" w:right="60" w:hanging="750"/>
        <w:spacing w:after="0" w:line="264" w:lineRule="auto"/>
        <w:tabs>
          <w:tab w:leader="none" w:pos="17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20" w:hanging="750"/>
        <w:spacing w:after="0" w:line="342" w:lineRule="auto"/>
        <w:tabs>
          <w:tab w:leader="none" w:pos="174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20" w:hanging="750"/>
        <w:spacing w:after="0" w:line="264" w:lineRule="auto"/>
        <w:tabs>
          <w:tab w:leader="none" w:pos="17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42" w:lineRule="auto"/>
        <w:tabs>
          <w:tab w:leader="none" w:pos="9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20" w:right="180" w:hanging="750"/>
        <w:spacing w:after="0" w:line="308" w:lineRule="auto"/>
        <w:tabs>
          <w:tab w:leader="none" w:pos="17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20" w:right="460" w:hanging="750"/>
        <w:spacing w:after="0" w:line="277" w:lineRule="auto"/>
        <w:tabs>
          <w:tab w:leader="none" w:pos="17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2013</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Alexander Mandel</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70" w:lineRule="exact"/>
        <w:rPr>
          <w:sz w:val="20"/>
          <w:szCs w:val="20"/>
          <w:color w:val="auto"/>
        </w:rPr>
      </w:pPr>
    </w:p>
    <w:p>
      <w:pPr>
        <w:ind w:left="1240" w:right="80" w:hanging="462"/>
        <w:spacing w:after="0" w:line="264" w:lineRule="auto"/>
        <w:tabs>
          <w:tab w:leader="none" w:pos="18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June 30, 2013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240" w:right="240" w:hanging="462"/>
        <w:spacing w:after="0" w:line="277" w:lineRule="auto"/>
        <w:tabs>
          <w:tab w:leader="none" w:pos="18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14,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 R. Lebda</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0"/>
              </w:rPr>
              <w:t>Douglas R. Lebda</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70" w:lineRule="exact"/>
        <w:rPr>
          <w:sz w:val="20"/>
          <w:szCs w:val="20"/>
          <w:color w:val="auto"/>
        </w:rPr>
      </w:pPr>
    </w:p>
    <w:p>
      <w:pPr>
        <w:ind w:left="1320" w:right="260" w:hanging="542"/>
        <w:spacing w:after="0" w:line="264" w:lineRule="auto"/>
        <w:tabs>
          <w:tab w:leader="none" w:pos="19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June 30, 2013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320" w:right="160" w:hanging="542"/>
        <w:spacing w:after="0" w:line="277" w:lineRule="auto"/>
        <w:tabs>
          <w:tab w:leader="none" w:pos="19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14,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Alexander Mandel</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Alexander Mandel</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2019-12-07T18:36:08Z</dcterms:created>
  <dcterms:modified xsi:type="dcterms:W3CDTF">2019-12-07T18:36:08Z</dcterms:modified>
</cp:coreProperties>
</file>