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80" w:lineRule="exact"/>
        <w:rPr>
          <w:sz w:val="24"/>
          <w:szCs w:val="24"/>
          <w:color w:val="auto"/>
        </w:rPr>
      </w:pPr>
    </w:p>
    <w:p>
      <w:pPr>
        <w:ind w:left="4200" w:right="2140" w:hanging="4043"/>
        <w:spacing w:after="0" w:line="269" w:lineRule="auto"/>
        <w:tabs>
          <w:tab w:leader="none" w:pos="4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540" w:hanging="383"/>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25" w:right="239" w:bottom="1440" w:gutter="0" w:footer="0" w:header="0"/>
        </w:sectPr>
      </w:pPr>
    </w:p>
    <w:p>
      <w:pPr>
        <w:spacing w:after="0" w:line="72" w:lineRule="exact"/>
        <w:rPr>
          <w:sz w:val="24"/>
          <w:szCs w:val="24"/>
          <w:color w:val="auto"/>
        </w:rPr>
      </w:pPr>
    </w:p>
    <w:p>
      <w:pPr>
        <w:ind w:left="406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4" w:lineRule="exact"/>
        <w:rPr>
          <w:sz w:val="24"/>
          <w:szCs w:val="24"/>
          <w:color w:val="auto"/>
        </w:rPr>
      </w:pPr>
    </w:p>
    <w:p>
      <w:pPr>
        <w:sectPr>
          <w:pgSz w:w="11900" w:h="16838" w:orient="portrait"/>
          <w:cols w:equalWidth="0" w:num="2">
            <w:col w:w="6500" w:space="720"/>
            <w:col w:w="420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No. 001-34063</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-1270</wp:posOffset>
            </wp:positionV>
            <wp:extent cx="11404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LendingTree,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25" w:right="239" w:bottom="1440" w:gutter="0" w:footer="0" w:header="0"/>
          <w:type w:val="continuous"/>
        </w:sectPr>
      </w:pPr>
    </w:p>
    <w:p>
      <w:pPr>
        <w:spacing w:after="0" w:line="172" w:lineRule="exact"/>
        <w:rPr>
          <w:sz w:val="24"/>
          <w:szCs w:val="24"/>
          <w:color w:val="auto"/>
        </w:rPr>
      </w:pPr>
    </w:p>
    <w:p>
      <w:pPr>
        <w:ind w:left="2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26-2414818</w:t>
      </w:r>
    </w:p>
    <w:p>
      <w:pPr>
        <w:spacing w:after="0" w:line="113" w:lineRule="exact"/>
        <w:rPr>
          <w:sz w:val="24"/>
          <w:szCs w:val="24"/>
          <w:color w:val="auto"/>
        </w:rPr>
      </w:pPr>
    </w:p>
    <w:p>
      <w:pPr>
        <w:sectPr>
          <w:pgSz w:w="11900" w:h="16838" w:orient="portrait"/>
          <w:cols w:equalWidth="0" w:num="2">
            <w:col w:w="7320" w:space="720"/>
            <w:col w:w="3380"/>
          </w:cols>
          <w:pgMar w:left="240" w:top="225" w:right="239" w:bottom="1440" w:gutter="0" w:footer="0" w:header="0"/>
          <w:type w:val="continuous"/>
        </w:sectPr>
      </w:pPr>
    </w:p>
    <w:p>
      <w:pPr>
        <w:ind w:left="10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57" w:lineRule="exact"/>
        <w:rPr>
          <w:sz w:val="24"/>
          <w:szCs w:val="24"/>
          <w:color w:val="auto"/>
        </w:rPr>
      </w:pPr>
    </w:p>
    <w:p>
      <w:pPr>
        <w:sectPr>
          <w:pgSz w:w="11900" w:h="16838" w:orient="portrait"/>
          <w:cols w:equalWidth="0" w:num="2">
            <w:col w:w="6540" w:space="720"/>
            <w:col w:w="4160"/>
          </w:cols>
          <w:pgMar w:left="240" w:top="225" w:right="239" w:bottom="1440" w:gutter="0" w:footer="0" w:header="0"/>
          <w:type w:val="continuous"/>
        </w:sectPr>
      </w:pPr>
    </w:p>
    <w:p>
      <w:pPr>
        <w:ind w:left="3580"/>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7"/>
          <w:szCs w:val="17"/>
          <w:color w:val="auto"/>
        </w:rPr>
        <w:t>(Address of principal executive offices)(Zip Code)</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(704) 541-5351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3400" w:type="dxa"/>
            <w:vAlign w:val="bottom"/>
            <w:gridSpan w:val="2"/>
          </w:tcPr>
          <w:p>
            <w:pPr>
              <w:jc w:val="center"/>
              <w:ind w:right="2240"/>
              <w:spacing w:after="0"/>
              <w:rPr>
                <w:sz w:val="20"/>
                <w:szCs w:val="20"/>
                <w:color w:val="auto"/>
              </w:rPr>
            </w:pPr>
            <w:r>
              <w:rPr>
                <w:rFonts w:ascii="Arial" w:cs="Arial" w:eastAsia="Arial" w:hAnsi="Arial"/>
                <w:sz w:val="16"/>
                <w:szCs w:val="16"/>
                <w:color w:val="auto"/>
                <w:w w:val="90"/>
              </w:rPr>
              <w:t>Title of each class</w:t>
            </w:r>
          </w:p>
        </w:tc>
        <w:tc>
          <w:tcPr>
            <w:tcW w:w="2540" w:type="dxa"/>
            <w:vAlign w:val="bottom"/>
            <w:gridSpan w:val="2"/>
          </w:tcPr>
          <w:p>
            <w:pPr>
              <w:jc w:val="center"/>
              <w:ind w:right="1280"/>
              <w:spacing w:after="0"/>
              <w:rPr>
                <w:sz w:val="20"/>
                <w:szCs w:val="20"/>
                <w:color w:val="auto"/>
              </w:rPr>
            </w:pPr>
            <w:r>
              <w:rPr>
                <w:rFonts w:ascii="Arial" w:cs="Arial" w:eastAsia="Arial" w:hAnsi="Arial"/>
                <w:sz w:val="16"/>
                <w:szCs w:val="16"/>
                <w:color w:val="auto"/>
                <w:w w:val="93"/>
              </w:rPr>
              <w:t>Trading Symbol(s)</w:t>
            </w:r>
          </w:p>
        </w:tc>
        <w:tc>
          <w:tcPr>
            <w:tcW w:w="2880" w:type="dxa"/>
            <w:vAlign w:val="bottom"/>
            <w:gridSpan w:val="2"/>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gridSpan w:val="2"/>
            <w:shd w:val="clear" w:color="auto" w:fill="000000"/>
          </w:tcPr>
          <w:p>
            <w:pPr>
              <w:spacing w:after="0" w:line="20" w:lineRule="exact"/>
              <w:rPr>
                <w:sz w:val="1"/>
                <w:szCs w:val="1"/>
                <w:color w:val="auto"/>
              </w:rPr>
            </w:pPr>
          </w:p>
        </w:tc>
      </w:tr>
      <w:tr>
        <w:trPr>
          <w:trHeight w:val="271"/>
        </w:trPr>
        <w:tc>
          <w:tcPr>
            <w:tcW w:w="5160" w:type="dxa"/>
            <w:vAlign w:val="bottom"/>
            <w:gridSpan w:val="3"/>
          </w:tcPr>
          <w:p>
            <w:pPr>
              <w:jc w:val="center"/>
              <w:ind w:right="480"/>
              <w:spacing w:after="0"/>
              <w:rPr>
                <w:sz w:val="20"/>
                <w:szCs w:val="20"/>
                <w:color w:val="auto"/>
              </w:rPr>
            </w:pPr>
            <w:r>
              <w:rPr>
                <w:rFonts w:ascii="Arial" w:cs="Arial" w:eastAsia="Arial" w:hAnsi="Arial"/>
                <w:sz w:val="16"/>
                <w:szCs w:val="16"/>
                <w:color w:val="auto"/>
                <w:w w:val="90"/>
              </w:rPr>
              <w:t>Common Stock, $0.01 par value per share</w:t>
            </w:r>
          </w:p>
        </w:tc>
        <w:tc>
          <w:tcPr>
            <w:tcW w:w="2540" w:type="dxa"/>
            <w:vAlign w:val="bottom"/>
            <w:gridSpan w:val="2"/>
          </w:tcPr>
          <w:p>
            <w:pPr>
              <w:jc w:val="center"/>
              <w:ind w:right="1300"/>
              <w:spacing w:after="0"/>
              <w:rPr>
                <w:sz w:val="20"/>
                <w:szCs w:val="20"/>
                <w:color w:val="auto"/>
              </w:rPr>
            </w:pPr>
            <w:r>
              <w:rPr>
                <w:rFonts w:ascii="Arial" w:cs="Arial" w:eastAsia="Arial" w:hAnsi="Arial"/>
                <w:sz w:val="16"/>
                <w:szCs w:val="16"/>
                <w:color w:val="auto"/>
                <w:w w:val="93"/>
              </w:rPr>
              <w:t>TREE</w:t>
            </w:r>
          </w:p>
        </w:tc>
        <w:tc>
          <w:tcPr>
            <w:tcW w:w="2880" w:type="dxa"/>
            <w:vAlign w:val="bottom"/>
            <w:gridSpan w:val="2"/>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51"/>
        </w:trPr>
        <w:tc>
          <w:tcPr>
            <w:tcW w:w="51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7"/>
        </w:trPr>
        <w:tc>
          <w:tcPr>
            <w:tcW w:w="8540" w:type="dxa"/>
            <w:vAlign w:val="bottom"/>
            <w:gridSpan w:val="6"/>
          </w:tcPr>
          <w:p>
            <w:pPr>
              <w:ind w:left="180"/>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p>
        </w:tc>
        <w:tc>
          <w:tcPr>
            <w:tcW w:w="204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6"/>
        </w:trPr>
        <w:tc>
          <w:tcPr>
            <w:tcW w:w="8540" w:type="dxa"/>
            <w:vAlign w:val="bottom"/>
            <w:gridSpan w:val="6"/>
          </w:tcPr>
          <w:p>
            <w:pPr>
              <w:ind w:left="18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204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7"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right="20"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 w:lineRule="exact"/>
        <w:rPr>
          <w:sz w:val="24"/>
          <w:szCs w:val="24"/>
          <w:color w:val="auto"/>
        </w:rPr>
      </w:pPr>
    </w:p>
    <w:p>
      <w:pPr>
        <w:jc w:val="both"/>
        <w:ind w:firstLine="162"/>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2" w:lineRule="exact"/>
        <w:rPr>
          <w:sz w:val="24"/>
          <w:szCs w:val="24"/>
          <w:color w:val="auto"/>
        </w:rPr>
      </w:pPr>
    </w:p>
    <w:p>
      <w:pPr>
        <w:ind w:left="440"/>
        <w:spacing w:after="0" w:line="196" w:lineRule="exact"/>
        <w:tabs>
          <w:tab w:leader="none" w:pos="2480" w:val="left"/>
          <w:tab w:leader="none" w:pos="4340" w:val="left"/>
          <w:tab w:leader="none" w:pos="6500" w:val="left"/>
          <w:tab w:leader="none" w:pos="9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27" w:lineRule="exact"/>
        <w:rPr>
          <w:sz w:val="24"/>
          <w:szCs w:val="24"/>
          <w:color w:val="auto"/>
        </w:rPr>
      </w:pPr>
    </w:p>
    <w:p>
      <w:pPr>
        <w:ind w:right="440"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73" w:lineRule="exact"/>
        <w:tabs>
          <w:tab w:leader="none" w:pos="75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firstLine="162"/>
        <w:spacing w:after="0" w:line="262" w:lineRule="auto"/>
        <w:rPr>
          <w:sz w:val="20"/>
          <w:szCs w:val="20"/>
          <w:color w:val="auto"/>
        </w:rPr>
      </w:pPr>
      <w:r>
        <w:rPr>
          <w:rFonts w:ascii="Arial" w:cs="Arial" w:eastAsia="Arial" w:hAnsi="Arial"/>
          <w:sz w:val="16"/>
          <w:szCs w:val="16"/>
          <w:color w:val="auto"/>
        </w:rPr>
        <w:t>As of June 28, 2019, the aggregate market value of the voting common stock held by non-affiliates of the Registrant was approximately $3,266 million. For the purposes of the foregoing calculation only, all directors and executive officers of the Registrant and the single stockholder who owns in excess of 20% of the voting common stock are assumed to be affiliates of the Registrant.</w:t>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February 18, 2020, there were 13,046,043 shares of the Registrant's common stock, par value $.01 per share, outstanding.</w:t>
      </w:r>
    </w:p>
    <w:p>
      <w:pPr>
        <w:spacing w:after="0" w:line="55"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firstLine="162"/>
        <w:spacing w:after="0" w:line="277" w:lineRule="auto"/>
        <w:rPr>
          <w:sz w:val="20"/>
          <w:szCs w:val="20"/>
          <w:color w:val="auto"/>
        </w:rPr>
      </w:pPr>
      <w:r>
        <w:rPr>
          <w:rFonts w:ascii="Arial" w:cs="Arial" w:eastAsia="Arial" w:hAnsi="Arial"/>
          <w:sz w:val="16"/>
          <w:szCs w:val="16"/>
          <w:color w:val="auto"/>
        </w:rPr>
        <w:t>Portions of the Registrant's proxy statement for its 2020 Annual Meeting of Stockholders are incorporated by reference into Part III herein. Such proxy statement will be filed with the U.S. Securities and Exchange Commission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8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00" w:type="dxa"/>
            <w:vAlign w:val="bottom"/>
            <w:gridSpan w:val="4"/>
          </w:tcPr>
          <w:p>
            <w:pPr>
              <w:spacing w:after="0"/>
              <w:rPr>
                <w:sz w:val="22"/>
                <w:szCs w:val="22"/>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020" w:type="dxa"/>
            <w:vAlign w:val="bottom"/>
          </w:tcPr>
          <w:p>
            <w:pPr>
              <w:jc w:val="right"/>
              <w:ind w:right="171"/>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0">
              <w:r>
                <w:rPr>
                  <w:rFonts w:ascii="Arial" w:cs="Arial" w:eastAsia="Arial" w:hAnsi="Arial"/>
                  <w:sz w:val="18"/>
                  <w:szCs w:val="18"/>
                  <w:b w:val="1"/>
                  <w:bCs w:val="1"/>
                  <w:color w:val="0000EE"/>
                  <w:w w:val="94"/>
                </w:rPr>
                <w:t>Item 1A.</w:t>
              </w:r>
            </w:hyperlink>
          </w:p>
        </w:tc>
        <w:tc>
          <w:tcPr>
            <w:tcW w:w="460" w:type="dxa"/>
            <w:vAlign w:val="bottom"/>
          </w:tcPr>
          <w:p>
            <w:pPr>
              <w:spacing w:after="0"/>
              <w:rPr>
                <w:sz w:val="21"/>
                <w:szCs w:val="21"/>
                <w:color w:val="auto"/>
              </w:rPr>
            </w:pPr>
          </w:p>
        </w:tc>
        <w:tc>
          <w:tcPr>
            <w:tcW w:w="98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Risk Factors</w:t>
              </w:r>
            </w:hyperlink>
          </w:p>
        </w:tc>
        <w:tc>
          <w:tcPr>
            <w:tcW w:w="8240" w:type="dxa"/>
            <w:vAlign w:val="bottom"/>
            <w:gridSpan w:val="27"/>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1B.</w:t>
              </w:r>
            </w:hyperlink>
          </w:p>
        </w:tc>
        <w:tc>
          <w:tcPr>
            <w:tcW w:w="480" w:type="dxa"/>
            <w:vAlign w:val="bottom"/>
            <w:gridSpan w:val="2"/>
          </w:tcPr>
          <w:p>
            <w:pPr>
              <w:spacing w:after="0"/>
              <w:rPr>
                <w:sz w:val="21"/>
                <w:szCs w:val="21"/>
                <w:color w:val="auto"/>
              </w:rPr>
            </w:pPr>
          </w:p>
        </w:tc>
        <w:tc>
          <w:tcPr>
            <w:tcW w:w="2160" w:type="dxa"/>
            <w:vAlign w:val="bottom"/>
            <w:tcBorders>
              <w:bottom w:val="single" w:sz="8" w:color="0000EE"/>
            </w:tcBorders>
            <w:gridSpan w:val="11"/>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Unresolved Staff Comments</w:t>
              </w:r>
            </w:hyperlink>
          </w:p>
        </w:tc>
        <w:tc>
          <w:tcPr>
            <w:tcW w:w="7060" w:type="dxa"/>
            <w:vAlign w:val="bottom"/>
            <w:gridSpan w:val="19"/>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2.</w:t>
              </w:r>
            </w:hyperlink>
          </w:p>
        </w:tc>
        <w:tc>
          <w:tcPr>
            <w:tcW w:w="600" w:type="dxa"/>
            <w:vAlign w:val="bottom"/>
            <w:gridSpan w:val="4"/>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Properties</w:t>
              </w:r>
            </w:hyperlink>
          </w:p>
        </w:tc>
        <w:tc>
          <w:tcPr>
            <w:tcW w:w="8420" w:type="dxa"/>
            <w:vAlign w:val="bottom"/>
            <w:gridSpan w:val="28"/>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3.</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1020" w:type="dxa"/>
            <w:vAlign w:val="bottom"/>
          </w:tcPr>
          <w:p>
            <w:pPr>
              <w:jc w:val="right"/>
              <w:ind w:right="191"/>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4.</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Mine Safety Disclosures</w:t>
              </w:r>
            </w:hyperlink>
          </w:p>
        </w:tc>
        <w:tc>
          <w:tcPr>
            <w:tcW w:w="1020" w:type="dxa"/>
            <w:vAlign w:val="bottom"/>
          </w:tcPr>
          <w:p>
            <w:pPr>
              <w:jc w:val="right"/>
              <w:ind w:right="191"/>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102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5.</w:t>
              </w:r>
            </w:hyperlink>
          </w:p>
        </w:tc>
        <w:tc>
          <w:tcPr>
            <w:tcW w:w="600" w:type="dxa"/>
            <w:vAlign w:val="bottom"/>
            <w:gridSpan w:val="4"/>
          </w:tcPr>
          <w:p>
            <w:pPr>
              <w:spacing w:after="0"/>
              <w:rPr>
                <w:sz w:val="21"/>
                <w:szCs w:val="21"/>
                <w:color w:val="auto"/>
              </w:rPr>
            </w:pPr>
          </w:p>
        </w:tc>
        <w:tc>
          <w:tcPr>
            <w:tcW w:w="8680" w:type="dxa"/>
            <w:vAlign w:val="bottom"/>
            <w:tcBorders>
              <w:bottom w:val="single" w:sz="8" w:color="0000EE"/>
            </w:tcBorders>
            <w:gridSpan w:val="29"/>
          </w:tcPr>
          <w:p>
            <w:pPr>
              <w:spacing w:after="0"/>
              <w:rPr>
                <w:rFonts w:ascii="Arial" w:cs="Arial" w:eastAsia="Arial" w:hAnsi="Arial"/>
                <w:sz w:val="18"/>
                <w:szCs w:val="18"/>
                <w:b w:val="1"/>
                <w:bCs w:val="1"/>
                <w:color w:val="0000EE"/>
                <w:w w:val="90"/>
              </w:rPr>
            </w:pPr>
            <w:hyperlink w:anchor="page33">
              <w:r>
                <w:rPr>
                  <w:rFonts w:ascii="Arial" w:cs="Arial" w:eastAsia="Arial" w:hAnsi="Arial"/>
                  <w:sz w:val="18"/>
                  <w:szCs w:val="18"/>
                  <w:b w:val="1"/>
                  <w:bCs w:val="1"/>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6.</w:t>
              </w:r>
            </w:hyperlink>
          </w:p>
        </w:tc>
        <w:tc>
          <w:tcPr>
            <w:tcW w:w="600" w:type="dxa"/>
            <w:vAlign w:val="bottom"/>
            <w:gridSpan w:val="4"/>
          </w:tcPr>
          <w:p>
            <w:pPr>
              <w:spacing w:after="0"/>
              <w:rPr>
                <w:sz w:val="21"/>
                <w:szCs w:val="21"/>
                <w:color w:val="auto"/>
              </w:rPr>
            </w:pPr>
          </w:p>
        </w:tc>
        <w:tc>
          <w:tcPr>
            <w:tcW w:w="182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Selected Financial Data</w:t>
              </w:r>
            </w:hyperlink>
          </w:p>
        </w:tc>
        <w:tc>
          <w:tcPr>
            <w:tcW w:w="7400" w:type="dxa"/>
            <w:vAlign w:val="bottom"/>
            <w:gridSpan w:val="23"/>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7.</w:t>
              </w:r>
            </w:hyperlink>
          </w:p>
        </w:tc>
        <w:tc>
          <w:tcPr>
            <w:tcW w:w="600" w:type="dxa"/>
            <w:vAlign w:val="bottom"/>
            <w:gridSpan w:val="4"/>
          </w:tcPr>
          <w:p>
            <w:pPr>
              <w:spacing w:after="0"/>
              <w:rPr>
                <w:sz w:val="21"/>
                <w:szCs w:val="21"/>
                <w:color w:val="auto"/>
              </w:rPr>
            </w:pPr>
          </w:p>
        </w:tc>
        <w:tc>
          <w:tcPr>
            <w:tcW w:w="6840" w:type="dxa"/>
            <w:vAlign w:val="bottom"/>
            <w:tcBorders>
              <w:bottom w:val="single" w:sz="8" w:color="0000EE"/>
            </w:tcBorders>
            <w:gridSpan w:val="26"/>
          </w:tcPr>
          <w:p>
            <w:pPr>
              <w:spacing w:after="0"/>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50"/>
        </w:trPr>
        <w:tc>
          <w:tcPr>
            <w:tcW w:w="680" w:type="dxa"/>
            <w:vAlign w:val="bottom"/>
            <w:gridSpan w:val="4"/>
          </w:tcPr>
          <w:p>
            <w:pPr>
              <w:spacing w:after="0"/>
              <w:rPr>
                <w:rFonts w:ascii="Arial" w:cs="Arial" w:eastAsia="Arial" w:hAnsi="Arial"/>
                <w:sz w:val="18"/>
                <w:szCs w:val="18"/>
                <w:b w:val="1"/>
                <w:bCs w:val="1"/>
                <w:color w:val="0000EE"/>
                <w:w w:val="94"/>
              </w:rPr>
            </w:pPr>
            <w:hyperlink w:anchor="page51">
              <w:r>
                <w:rPr>
                  <w:rFonts w:ascii="Arial" w:cs="Arial" w:eastAsia="Arial" w:hAnsi="Arial"/>
                  <w:sz w:val="18"/>
                  <w:szCs w:val="18"/>
                  <w:b w:val="1"/>
                  <w:bCs w:val="1"/>
                  <w:color w:val="0000EE"/>
                  <w:w w:val="94"/>
                </w:rPr>
                <w:t>Item 7A.</w:t>
              </w:r>
            </w:hyperlink>
          </w:p>
        </w:tc>
        <w:tc>
          <w:tcPr>
            <w:tcW w:w="460" w:type="dxa"/>
            <w:vAlign w:val="bottom"/>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Quantitative and Qualitative Disclosures about Market Risk</w:t>
              </w:r>
            </w:hyperlink>
          </w:p>
        </w:tc>
        <w:tc>
          <w:tcPr>
            <w:tcW w:w="1020" w:type="dxa"/>
            <w:vAlign w:val="bottom"/>
          </w:tcPr>
          <w:p>
            <w:pPr>
              <w:jc w:val="right"/>
              <w:ind w:right="191"/>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5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0"/>
              </w:rPr>
            </w:pPr>
            <w:hyperlink w:anchor="page52">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107">
              <w:r>
                <w:rPr>
                  <w:rFonts w:ascii="Arial" w:cs="Arial" w:eastAsia="Arial" w:hAnsi="Arial"/>
                  <w:sz w:val="18"/>
                  <w:szCs w:val="18"/>
                  <w:b w:val="1"/>
                  <w:bCs w:val="1"/>
                  <w:color w:val="0000EE"/>
                  <w:w w:val="91"/>
                </w:rPr>
                <w:t>Item 9.</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Changes in and Disagreements With Accountants on Accounting and Financial Disclosure</w:t>
              </w:r>
            </w:hyperlink>
          </w:p>
        </w:tc>
        <w:tc>
          <w:tcPr>
            <w:tcW w:w="1020" w:type="dxa"/>
            <w:vAlign w:val="bottom"/>
          </w:tcPr>
          <w:p>
            <w:pPr>
              <w:jc w:val="right"/>
              <w:ind w:right="171"/>
              <w:spacing w:after="0"/>
              <w:rPr>
                <w:rFonts w:ascii="Arial" w:cs="Arial" w:eastAsia="Arial" w:hAnsi="Arial"/>
                <w:sz w:val="18"/>
                <w:szCs w:val="18"/>
                <w:color w:val="auto"/>
              </w:rPr>
            </w:pPr>
            <w:hyperlink w:anchor="page107">
              <w:r>
                <w:rPr>
                  <w:rFonts w:ascii="Arial" w:cs="Arial" w:eastAsia="Arial" w:hAnsi="Arial"/>
                  <w:sz w:val="18"/>
                  <w:szCs w:val="18"/>
                  <w:color w:val="auto"/>
                </w:rPr>
                <w:t>106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07">
              <w:r>
                <w:rPr>
                  <w:rFonts w:ascii="Arial" w:cs="Arial" w:eastAsia="Arial" w:hAnsi="Arial"/>
                  <w:sz w:val="18"/>
                  <w:szCs w:val="18"/>
                  <w:b w:val="1"/>
                  <w:bCs w:val="1"/>
                  <w:color w:val="0000EE"/>
                  <w:w w:val="94"/>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107">
              <w:r>
                <w:rPr>
                  <w:rFonts w:ascii="Arial" w:cs="Arial" w:eastAsia="Arial" w:hAnsi="Arial"/>
                  <w:sz w:val="18"/>
                  <w:szCs w:val="18"/>
                  <w:b w:val="1"/>
                  <w:bCs w:val="1"/>
                  <w:color w:val="0000EE"/>
                  <w:w w:val="88"/>
                </w:rPr>
                <w:t>Controls and Procedures</w:t>
              </w:r>
            </w:hyperlink>
          </w:p>
        </w:tc>
        <w:tc>
          <w:tcPr>
            <w:tcW w:w="7300" w:type="dxa"/>
            <w:vAlign w:val="bottom"/>
            <w:gridSpan w:val="20"/>
          </w:tcPr>
          <w:p>
            <w:pPr>
              <w:spacing w:after="0"/>
              <w:rPr>
                <w:sz w:val="21"/>
                <w:szCs w:val="21"/>
                <w:color w:val="auto"/>
              </w:rPr>
            </w:pPr>
          </w:p>
        </w:tc>
        <w:tc>
          <w:tcPr>
            <w:tcW w:w="1020" w:type="dxa"/>
            <w:vAlign w:val="bottom"/>
          </w:tcPr>
          <w:p>
            <w:pPr>
              <w:jc w:val="right"/>
              <w:ind w:right="171"/>
              <w:spacing w:after="0"/>
              <w:rPr>
                <w:rFonts w:ascii="Arial" w:cs="Arial" w:eastAsia="Arial" w:hAnsi="Arial"/>
                <w:sz w:val="18"/>
                <w:szCs w:val="18"/>
                <w:color w:val="auto"/>
              </w:rPr>
            </w:pPr>
            <w:hyperlink w:anchor="page107">
              <w:r>
                <w:rPr>
                  <w:rFonts w:ascii="Arial" w:cs="Arial" w:eastAsia="Arial" w:hAnsi="Arial"/>
                  <w:sz w:val="18"/>
                  <w:szCs w:val="18"/>
                  <w:color w:val="auto"/>
                </w:rPr>
                <w:t>106</w:t>
              </w:r>
            </w:hyperlink>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Item 9B.</w:t>
              </w:r>
            </w:hyperlink>
          </w:p>
        </w:tc>
        <w:tc>
          <w:tcPr>
            <w:tcW w:w="9220" w:type="dxa"/>
            <w:vAlign w:val="bottom"/>
            <w:gridSpan w:val="30"/>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Other Information</w:t>
              </w:r>
            </w:hyperlink>
          </w:p>
        </w:tc>
        <w:tc>
          <w:tcPr>
            <w:tcW w:w="1020" w:type="dxa"/>
            <w:vAlign w:val="bottom"/>
          </w:tcPr>
          <w:p>
            <w:pPr>
              <w:jc w:val="right"/>
              <w:ind w:right="171"/>
              <w:spacing w:after="0"/>
              <w:rPr>
                <w:rFonts w:ascii="Arial" w:cs="Arial" w:eastAsia="Arial" w:hAnsi="Arial"/>
                <w:sz w:val="18"/>
                <w:szCs w:val="18"/>
                <w:color w:val="auto"/>
              </w:rPr>
            </w:pPr>
            <w:hyperlink w:anchor="page107">
              <w:r>
                <w:rPr>
                  <w:rFonts w:ascii="Arial" w:cs="Arial" w:eastAsia="Arial" w:hAnsi="Arial"/>
                  <w:sz w:val="18"/>
                  <w:szCs w:val="18"/>
                  <w:color w:val="auto"/>
                </w:rPr>
                <w:t>106</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Item 10.</w:t>
              </w:r>
            </w:hyperlink>
          </w:p>
        </w:tc>
        <w:tc>
          <w:tcPr>
            <w:tcW w:w="9220" w:type="dxa"/>
            <w:vAlign w:val="bottom"/>
            <w:gridSpan w:val="30"/>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Directors, Executive Officers and Corporate Governance</w:t>
              </w:r>
            </w:hyperlink>
          </w:p>
        </w:tc>
        <w:tc>
          <w:tcPr>
            <w:tcW w:w="1020" w:type="dxa"/>
            <w:vAlign w:val="bottom"/>
          </w:tcPr>
          <w:p>
            <w:pPr>
              <w:jc w:val="right"/>
              <w:ind w:right="171"/>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w w:val="89"/>
              </w:rPr>
            </w:pPr>
            <w:hyperlink w:anchor="page108">
              <w:r>
                <w:rPr>
                  <w:rFonts w:ascii="Arial" w:cs="Arial" w:eastAsia="Arial" w:hAnsi="Arial"/>
                  <w:sz w:val="18"/>
                  <w:szCs w:val="18"/>
                  <w:b w:val="1"/>
                  <w:bCs w:val="1"/>
                  <w:color w:val="0000EE"/>
                  <w:w w:val="89"/>
                </w:rPr>
                <w:t>Item 11.</w:t>
              </w:r>
            </w:hyperlink>
          </w:p>
        </w:tc>
        <w:tc>
          <w:tcPr>
            <w:tcW w:w="520" w:type="dxa"/>
            <w:vAlign w:val="bottom"/>
            <w:gridSpan w:val="3"/>
          </w:tcPr>
          <w:p>
            <w:pPr>
              <w:spacing w:after="0"/>
              <w:rPr>
                <w:sz w:val="21"/>
                <w:szCs w:val="21"/>
                <w:color w:val="auto"/>
              </w:rPr>
            </w:pPr>
          </w:p>
        </w:tc>
        <w:tc>
          <w:tcPr>
            <w:tcW w:w="438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1020" w:type="dxa"/>
            <w:vAlign w:val="bottom"/>
          </w:tcPr>
          <w:p>
            <w:pPr>
              <w:jc w:val="right"/>
              <w:ind w:right="171"/>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Item 12.</w:t>
              </w:r>
            </w:hyperlink>
          </w:p>
        </w:tc>
        <w:tc>
          <w:tcPr>
            <w:tcW w:w="9220" w:type="dxa"/>
            <w:vAlign w:val="bottom"/>
            <w:gridSpan w:val="30"/>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Security Ownership of Certain Beneficial Owners and Management and Related Stockholder Matters</w:t>
              </w:r>
            </w:hyperlink>
          </w:p>
        </w:tc>
        <w:tc>
          <w:tcPr>
            <w:tcW w:w="1020" w:type="dxa"/>
            <w:vAlign w:val="bottom"/>
          </w:tcPr>
          <w:p>
            <w:pPr>
              <w:jc w:val="right"/>
              <w:ind w:right="171"/>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Item 13.</w:t>
              </w:r>
            </w:hyperlink>
          </w:p>
        </w:tc>
        <w:tc>
          <w:tcPr>
            <w:tcW w:w="9220" w:type="dxa"/>
            <w:vAlign w:val="bottom"/>
            <w:gridSpan w:val="30"/>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Certain Relationships and Related Transactions, and Director Independence</w:t>
              </w:r>
            </w:hyperlink>
          </w:p>
        </w:tc>
        <w:tc>
          <w:tcPr>
            <w:tcW w:w="1020" w:type="dxa"/>
            <w:vAlign w:val="bottom"/>
          </w:tcPr>
          <w:p>
            <w:pPr>
              <w:jc w:val="right"/>
              <w:ind w:right="171"/>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Item 14.</w:t>
              </w:r>
            </w:hyperlink>
          </w:p>
        </w:tc>
        <w:tc>
          <w:tcPr>
            <w:tcW w:w="9220" w:type="dxa"/>
            <w:vAlign w:val="bottom"/>
            <w:gridSpan w:val="30"/>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Principal Accounting Fees and Services</w:t>
              </w:r>
            </w:hyperlink>
          </w:p>
        </w:tc>
        <w:tc>
          <w:tcPr>
            <w:tcW w:w="1020" w:type="dxa"/>
            <w:vAlign w:val="bottom"/>
          </w:tcPr>
          <w:p>
            <w:pPr>
              <w:jc w:val="right"/>
              <w:ind w:right="171"/>
              <w:spacing w:after="0"/>
              <w:rPr>
                <w:rFonts w:ascii="Arial" w:cs="Arial" w:eastAsia="Arial" w:hAnsi="Arial"/>
                <w:sz w:val="18"/>
                <w:szCs w:val="18"/>
                <w:color w:val="auto"/>
              </w:rPr>
            </w:pPr>
            <w:hyperlink w:anchor="page108">
              <w:r>
                <w:rPr>
                  <w:rFonts w:ascii="Arial" w:cs="Arial" w:eastAsia="Arial" w:hAnsi="Arial"/>
                  <w:sz w:val="18"/>
                  <w:szCs w:val="18"/>
                  <w:color w:val="auto"/>
                </w:rPr>
                <w:t>107</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IV</w:t>
              </w:r>
            </w:hyperlink>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Item 15.</w:t>
              </w:r>
            </w:hyperlink>
          </w:p>
        </w:tc>
        <w:tc>
          <w:tcPr>
            <w:tcW w:w="4200" w:type="dxa"/>
            <w:vAlign w:val="bottom"/>
            <w:gridSpan w:val="16"/>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1020" w:type="dxa"/>
            <w:vAlign w:val="bottom"/>
          </w:tcPr>
          <w:p>
            <w:pPr>
              <w:jc w:val="right"/>
              <w:ind w:right="171"/>
              <w:spacing w:after="0"/>
              <w:rPr>
                <w:rFonts w:ascii="Arial" w:cs="Arial" w:eastAsia="Arial" w:hAnsi="Arial"/>
                <w:sz w:val="18"/>
                <w:szCs w:val="18"/>
                <w:color w:val="auto"/>
              </w:rPr>
            </w:pPr>
            <w:hyperlink w:anchor="page109">
              <w:r>
                <w:rPr>
                  <w:rFonts w:ascii="Arial" w:cs="Arial" w:eastAsia="Arial" w:hAnsi="Arial"/>
                  <w:sz w:val="18"/>
                  <w:szCs w:val="18"/>
                  <w:color w:val="auto"/>
                </w:rPr>
                <w:t>108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614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 16.</w:t>
              </w:r>
            </w:hyperlink>
          </w:p>
        </w:tc>
        <w:tc>
          <w:tcPr>
            <w:tcW w:w="9220" w:type="dxa"/>
            <w:vAlign w:val="bottom"/>
            <w:gridSpan w:val="30"/>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Form 10-K Summary</w:t>
              </w:r>
            </w:hyperlink>
          </w:p>
        </w:tc>
        <w:tc>
          <w:tcPr>
            <w:tcW w:w="1020" w:type="dxa"/>
            <w:vAlign w:val="bottom"/>
          </w:tcPr>
          <w:p>
            <w:pPr>
              <w:jc w:val="right"/>
              <w:ind w:right="171"/>
              <w:spacing w:after="0"/>
              <w:rPr>
                <w:rFonts w:ascii="Arial" w:cs="Arial" w:eastAsia="Arial" w:hAnsi="Arial"/>
                <w:sz w:val="18"/>
                <w:szCs w:val="18"/>
                <w:color w:val="auto"/>
              </w:rPr>
            </w:pPr>
            <w:hyperlink w:anchor="page113">
              <w:r>
                <w:rPr>
                  <w:rFonts w:ascii="Arial" w:cs="Arial" w:eastAsia="Arial" w:hAnsi="Arial"/>
                  <w:sz w:val="18"/>
                  <w:szCs w:val="18"/>
                  <w:color w:val="auto"/>
                </w:rPr>
                <w:t>112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annual report on Form 10-K for the fiscal year ended December 31, 2019 (the "Annual Report") contains "forward-looking statements" within the meaning of the Securities Act of 1933, as amended, and the Securities Exchange Act of 1934, as amended.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approximately 800 partners (which we refer to as "Network Partners") in one simple search, and choose the option that best fits their financial needs. Services include mortgage loans, mortgage refinances,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and insurance business, we charge other kinds of fees, such as closed loan or closed sale fees. In addition to our primary consumer request data referral business, we also match consumers with Network Partners via website clicks and calls for which Network Partners pay either front-end or back-end fees.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My LendingTree platform, which provides a relationship-based consumer experience, rather than just a transaction-based experience.</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 recently,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2014, we re-launched My LendingTree, a platform that offers a personalized comparison-shopping experience, by providing free credit scores and credit score analysis. This platform enables us to observe consumers' credit profiles and then identify and alert them to loans and other offerings on our marketplace that may be more favorable than the terms they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Combining ValuePenguin’s high-quality content and search engine optimization capability with proprietary technology and insurance carrier network from QuoteWizard.com, LLC ("QuoteWizard") (discussed below) enables us to provide immense value to carriers and agents. This strategic acquisition positions us to achieve further scale in the insurance space as well as the broader financial services industry.</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31, 2018, we acquired QuoteWizard.com,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2018, we acquired Student Loan Hero, Inc. (“Student Loan Hero”), a personal finance website dedicated to helping student loan borrowers manage their student debt. Student Loan Hero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we acquired Ovation Credit Services, Inc. (“Ovation”),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19, 2017, we acquired certain assets of Snap Capital LLC ("SnapCap"). SnapCap is a tech-enabled online platform, which connects business owners with lenders offering small business loans, lines of credit and merchant cash advance products through a concierge-based sales approach. SnapCap's high-touch, high-conversion sales approach with our brand and performance marketing expertise has enabled growth in our small business offering.</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20, 2017, we acquired the membership interests of Camino Del Avion (Delaware), LLC, which does business under the name MagnifyMoney.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14, 2017, we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represented our first offering to address the asset side of the consumer balance sheet.</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16, 2016, we acquired Iron Horse Holdings, LLC, which does business under the name CompareCards. CompareCards is a leading online source for side-by-side credit card comparison shopping. CompareCards provides consumers with one centralized location for pertinent credit card information needed to find the best card for their needs. CompareCards’ unique marketing platform and strong relationships with card issuers combined with LendingTree’s scale and organizational support have delivered substantial growth in our credit card business.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three reportable segments: Home, Consumer and Insurance. We changed our reportable segments in the fourth quarter of 2019, and prior period results have been reclassified to conform with this change in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Our Consumer segment includes the following products: credit cards, personal loans, small business loans, student loans, auto loans, deposit accounts, and other credit products such as credit repair and debt settlement. Our Insurance segment consists of insurance quote products. Revenue within the Other category includes revenue from the resale of online advertising space to third parties and revenue from home improvement referrals.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Segment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277,935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319,176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340,377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515,037</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395,615</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276,091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284,792</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31,369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28,839</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18,705</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1,132</w:t>
            </w:r>
          </w:p>
        </w:tc>
      </w:tr>
      <w:tr>
        <w:trPr>
          <w:trHeight w:val="34"/>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1,106,603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764,865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617,736</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does not charge consumers for the use of our services, except for credit repair services. Revenues from our Home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paid per card approval. Revenues from our Insurance products are primarily derived from upfront match fees, and upfront fees for website clicks or fees for calls, earned through the delivery of consumer requests.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2019, one Network Partner, Progressive Casualty Insurance, accounted for 12% of total consolidated revenue, all of which was recorded within our Insurance segment. For the year ended December 31, 2018, no Network Partners accounted for more than 10% of total consolidated revenue. For the year ended December 31, 2017, another Network Partner, Quicken Loans, accounted for 11% of total consolidated revenue, which was recorded within our Home and Consumer segments.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 Segment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69"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Request. </w:t>
      </w:r>
      <w:r>
        <w:rPr>
          <w:rFonts w:ascii="Arial" w:cs="Arial" w:eastAsia="Arial" w:hAnsi="Arial"/>
          <w:sz w:val="18"/>
          <w:szCs w:val="18"/>
          <w:color w:val="auto"/>
        </w:rPr>
        <w:t>Consumers complete a single request form with information regarding the type of mortgage loan product they are seeking,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jc w:val="both"/>
        <w:ind w:left="660" w:hanging="328"/>
        <w:spacing w:after="0" w:line="314"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Consumer Request Form Matching and Transmission. </w:t>
      </w:r>
      <w:r>
        <w:rPr>
          <w:rFonts w:ascii="Arial" w:cs="Arial" w:eastAsia="Arial" w:hAnsi="Arial"/>
          <w:sz w:val="16"/>
          <w:szCs w:val="16"/>
          <w:color w:val="auto"/>
        </w:rPr>
        <w:t>Our proprietary systems and technology match a given consumer's request form data,</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34" w:lineRule="exact"/>
        <w:rPr>
          <w:rFonts w:ascii="Arial" w:cs="Arial" w:eastAsia="Arial" w:hAnsi="Arial"/>
          <w:sz w:val="16"/>
          <w:szCs w:val="16"/>
          <w:b w:val="1"/>
          <w:bCs w:val="1"/>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Partners that receive a consumer request form evaluate the information contained in it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make a conditional loan offer.</w:t>
      </w:r>
    </w:p>
    <w:p>
      <w:pPr>
        <w:spacing w:after="0" w:line="53" w:lineRule="exact"/>
        <w:rPr>
          <w:rFonts w:ascii="Arial" w:cs="Arial" w:eastAsia="Arial" w:hAnsi="Arial"/>
          <w:sz w:val="18"/>
          <w:szCs w:val="18"/>
          <w:b w:val="1"/>
          <w:bCs w:val="1"/>
          <w:color w:val="auto"/>
        </w:rPr>
      </w:pPr>
    </w:p>
    <w:p>
      <w:pPr>
        <w:jc w:val="both"/>
        <w:ind w:left="660" w:hanging="328"/>
        <w:spacing w:after="0" w:line="28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Communication of a Conditional Offer. </w:t>
      </w:r>
      <w:r>
        <w:rPr>
          <w:rFonts w:ascii="Arial" w:cs="Arial" w:eastAsia="Arial" w:hAnsi="Arial"/>
          <w:sz w:val="17"/>
          <w:szCs w:val="17"/>
          <w:color w:val="auto"/>
        </w:rPr>
        <w:t>All matched Network Partners and any conditional offers are presented to the consumer upon completion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consumer request form. Consumers can return to the site and view their offer(s) at any time by logging in to their My LendingTree profile. Additionally, matched lenders and offers are also sent to the email address associated with the consumer request.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offer consumers other mortgage products such as:</w:t>
      </w:r>
    </w:p>
    <w:p>
      <w:pPr>
        <w:spacing w:after="0" w:line="11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alternative "short-form" matching process, which provides them with lender contact information rather than conditional offers from Network Partners.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"rate table" loan marketplace, where consumers can enter their loan and credit profile and dynamically view real-time rates from lenders without entering their contact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Home lending products on our online marketplace include the following:</w:t>
      </w:r>
    </w:p>
    <w:p>
      <w:pPr>
        <w:spacing w:after="0" w:line="117" w:lineRule="exact"/>
        <w:rPr>
          <w:sz w:val="20"/>
          <w:szCs w:val="20"/>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offer real estate brokerage services, through which consumers are matched with local realtors who can assist them in their home purchase or sale efforts. We generate revenue from real estate brokerage services through match fees paid to us by real estate brokers participating in our online marketplace.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Consumer lending products on our online marketplace include information, tools and access to multiple conditional loan offers for the following:</w:t>
      </w:r>
    </w:p>
    <w:p>
      <w:pPr>
        <w:spacing w:after="0" w:line="1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 During the fourth quarter of 2016, we purchased CompareCards, a leader in the online credit card comparison industry, enhancing this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home mortgages.</w:t>
      </w:r>
    </w:p>
    <w:p>
      <w:pPr>
        <w:spacing w:after="0" w:line="11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Small business loans, which include a broad array of financing types, including but not limited to loans secured by working capital, equipment, real estate and other forms of financing, provided to small and medium-sized businesses. During the third quarter of 2017, we purchased SnapCap, an online platform with a concierge-based approach to connecting business owners with sources of credit, enhancing this product.</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Student loans, which includes both new loans to finance an education and related expenses, as well as refinancing of existing loans. During the second quarter of 2016, we purchased SimpleTuition, a leading online marketing platform for student loans, and during the third quarter of 2018, we purchased Student Loan Hero, a personal finance website dedicated to helping student loan borrowers manage their student debt, enhancing this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Non-lending Consumer products also includes information, tools and access to the following:</w:t>
      </w:r>
    </w:p>
    <w:p>
      <w:pPr>
        <w:spacing w:after="0" w:line="117" w:lineRule="exact"/>
        <w:rPr>
          <w:sz w:val="20"/>
          <w:szCs w:val="20"/>
          <w:color w:val="auto"/>
        </w:rPr>
      </w:pPr>
    </w:p>
    <w:p>
      <w:pPr>
        <w:jc w:val="both"/>
        <w:ind w:left="660" w:right="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accounts, through which consumers can access depository deals and analysis covering all major deposit product categories. On June 14, 2017, we acquired DepositAccounts.com,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repair, through which consumers can obtain assistance improving their credit profiles, in order to expand and improve loan and other financial product opportunities available to them. During the second quarter of 2018, we purchased Ovation, a leading provider of credit services with a strong customer service reputation, enhancing this product.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from credit repair and debt relief services through subscription fees from consumers that enroll in our credit repair product, or a fee for a customer referral to a service provider partner or through a fee at the time a consumer enrolls in a program with one of our Network Partners.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Insurance segment includes information, tools and access to insurance quote products, including home and automobile, through which consumers are matched with insurance lead aggregators to obtain insurance offers. We enhanced our insurance products by acquiring QuoteWizard, one of the largest insurance comparison marketplaces in the growing online insurance advertising market, in the fourth quarter of 2018. We also purchased ValuePenguin, a personal finance website that offers consumers objective analysis on a variety of financial topics from insurance to credit cards, in the first quarter of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products not included in the Home, Consumer and Insurance segments includes:</w:t>
      </w:r>
    </w:p>
    <w:p>
      <w:pPr>
        <w:spacing w:after="0" w:line="11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Home improvement services, through which consumers have the opportunity to research and find home improvement professional services. Effective in the first quarter of 2019, we no longer offer home improvement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earned through resale of online advertising space to third parties is also classified in other products. Effective in the first quarter of 2020, we no longer resell online advertising space.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related recession have impacted customary seasonal trends.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anticipate revenue in our newer products, primarily within the Consumer segment,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LendingTree, Inc. is currently the parent of LendingTree, LLC and several companies owned by LendingTree, LLC. We were originally incorporated in the state of Delaware in June 1996 and commenced nationwide operations in July 1998.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2003, IAC/InterActiveCorp ("IAC") acquired LendingTree, LLC, which at the time of the acquisition was known as LendingTree, Inc. Following the acquisition, in December 2004 , IAC converted LendingTree, Inc. to a Delaware limited liability company, LendingTree, LLC.</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2015, we changed our name from Tree.com, Inc. to LendingTree,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62"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Truth-in-Lending Act, the Equal Credit Opportunity Act, the Fair Credit Reporting Act,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limitations on fees charged by mortgage lenders, and requirements related to mortgage disclosures;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licensing laws such as the Secure and Fair Enforcement of Mortgage Licensing Act of 2008 (the "SAFE Act");</w:t>
      </w:r>
    </w:p>
    <w:p>
      <w:pPr>
        <w:spacing w:after="0" w:line="117"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Federal and state laws, which impose restrictions on activities conducted through telephone, mail, email, mobile device or the Internet, including the Telemarketing Sales Rule ("TSR"), the Telephone Consumer Protection Act ("TCPA"), the CAN-SPAM Act and the Federal Trade Commission Act;</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Federal and state laws relating to offering of credit repair services to consumers, including such laws that impose restrictions on the usage and storage of consumer credit information such as the Credit Repair Organizations Act ("CROA") and the Fair Credit Reporting Act; and</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California Consumer Privacy Act ("CCPA"), which impact how we collect, use, store, share and otherwise process personal information of consumers and other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we develop or identify new or improved proprietary technologies, we seek patent protection in the United States and abroad, as appropriate. As of December 31, 2019, we own one issued U.S. patent related to the system and method for collecting financial information over a global communications network, which expires in 2032.</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2019, we own 34 trademarks and service marks registered with the United States Patent and Trademark Office. These registrations can typically be renewed at 10-year intervals.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reserve and register domain names when and where we deem appropriate. As of December 31, 2019, we own over 1,500 registered domain names. We also have agreements with third parties that provide for the licensing of patented, copyrighted and other proprietary technology used in our business.</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success will significantly depend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December 31, 2019, we had 1,107 employees, of which approximately 1,095 are full-time and 12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code of business conduct and ethics, which applies to all employees, including all executive officers and senior financial officers and directors, is posted on the investor relations section of our website.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 or in public filings to the extent required by the applicable rules.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have a material adverse effect on our business, financial condition and results of operations.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Constraints in the primary and secondary mortgage markets in the past have had, and may in the future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may experience a decline in demand for their offerings due to decreased consumer demand as a result of the conditions described above, now or in the future.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relationships with our Network Partners and any adverse changes in these relationships could adversely affect our business, financial condition and results of operations.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success depends in significant part on the financial strength of lenders and lead purchasers participating on our marketplaces and continuing relationships with such lenders and lead purchases. Network Partners could, for any reason, experience financial difficulties and cease participating on our marketplaces, fail to pay match and/or closing fees when due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meet certain metrics required by Network Partners, then our business and financial results may be harmed.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services that meet the needs of consumers at competitive prices, the ability to maintain consumers' trust, and the ability to successfully differentiate our brand, products and services from those of our competitors.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relating to the bankruptcy of our Home Loan Center, Inc. subsidiary, including risks of claims against us and our operating subsidiaries.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subsidiary Home Loan Center, Inc. ("HLC") filed a voluntary petition for relief under Chapter 11 of the United States Bankruptcy Code (the "Bankruptcy Code"), in order to preserve assets for the benefit of all creditors of HLC. In September 2019, the Bankruptcy Court converted the bankruptcy to Chapter 7 of the Bankruptcy Code and appointed a Trustee to liquidate HLC's assets. We refer to HLC’s filing and the subsequent process under the Bankruptcy Code as the HLC bankruptcy.</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its filings with the Bankruptcy Court, HLC has indicated that it believes it has claims against HLC’s sole shareholder, our operating subsidiary LendingTree, LLC, and its former sole director (our Chairman and Chief Executive Officer), relating to the declaration of a dividend by HLC in January 2016 of $40.0 million. We believe the declaration of the dividend was proper, that the amounts paid to LendingTree, LLC following such declaration are not subject to recovery by HLC and that any claims by HLC relating to the dividend declaration are without merit, and we intend to vigorously contest such claims.</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a result of its filings with the Bankruptcy Court, certain creditors have, and it is possible that certain other creditors will, assert claims directly against our company or one or more of our wholly-owned subsidiaries not included as debtors in the HLC bankruptcy, which we refer to as non-debtor parties, on various legal theories. While we are not aware of a basis for any material claims of this nature, any such assertions of claims by HLC creditors may require significant effort, resources and money to defend and could result in losses to us. Moreover, our management may be required to spend a significant amount of time and effort dealing with the HLC bankruptcy, which could have an adverse impact on our ability to execute our business plan and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20—Discontinued Operations to the consolidated financial statements included elsewhere in this annual report for a discussion of the accounting for HLC’s bankruptcy filing.</w:t>
      </w:r>
    </w:p>
    <w:p>
      <w:pPr>
        <w:spacing w:after="0" w:line="18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In addition, if our online advertisements are not able to reach certain consumers due to consumers' use of ad-blocking software or other ad-blocking capabilities,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our websites could decrease, all of which could have a material adverse effect on our business, financial condition and results of operations.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continuously developing, updating, and rewriting critical platforms that support our business. The risks associated with this work includes, but is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may occur, and could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which could result in state and/or federal litigation and related financial liabilities, as well as criminal penalties or civil liabilities, regulatory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actions from state and/or federal governmental authorities, and significant fines, orders, sanctions, litigation and claims against us by consumers or third parties and related indemnification obligations. Actual or perceived security breaches or failures could also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6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also face risks associated with security breaches affecting third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and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7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conditions in the housing markets have improved since 2013, the failure to sustain such improvements could have adverse effects on us and our mortgage Network Partners. Further, our business could be adversely affected by the actions and commercial soundness of other businesses in the financial services sector, including our non-lender lead purchasers. As a result, defaults by, or even rumors or questions about, one or more of these entities, or the financial services industry generally, have in the past, and may in the future, lead to market-wide liquidity problems and could lead to disruptions in the financial technology industry. Any such disruption could have a material and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growth in 2019, 2018 and 2017 has been driven by our credit card product.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card product offering is subject to particular risks: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conditions in the economy may affect credit card issuers and their willingness to issue new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card issuers and other advertisers in the business verticals in which we operate may be unwilling to advertise on our websites or mobile applications;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application approval rates by credit card issuer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and its effect on our website traffic, click-through rates, advertising rates, revenue, margins, and market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provide competitive service to credit card issuers and to consumers using our online offerings and other platforms;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card issuers may determine that the online digital marketing channel is no longer a viable marketing platform for generating new credit card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CompareCards and to effectively leverage the LendingTree brand with the CompareCards brand;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our credit card product is impacted by the risks described above, then our results of operations and future growth prospects could be materially and adversely affected.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revenue growth in 2019 and 2018 has been driven by our insurance leads business through our acquisition of QuoteWizard, which was completed in October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QuoteWizard acquisition poses risks for our ongoing operations, including, among others:</w:t>
      </w:r>
    </w:p>
    <w:p>
      <w:pPr>
        <w:spacing w:after="0" w:line="1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conditions in the economy may affect insurance carriers and their willingness to issue policies;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covered losses among insurance carriers may increase beyond normal and budgeted levels which could cause a reduction in demand;</w:t>
      </w:r>
    </w:p>
    <w:p>
      <w:pPr>
        <w:spacing w:after="0" w:line="103" w:lineRule="exact"/>
        <w:rPr>
          <w:rFonts w:ascii="Arial" w:cs="Arial" w:eastAsia="Arial" w:hAnsi="Arial"/>
          <w:sz w:val="18"/>
          <w:szCs w:val="18"/>
          <w:color w:val="auto"/>
        </w:rPr>
      </w:pPr>
    </w:p>
    <w:p>
      <w:pPr>
        <w:ind w:left="660" w:right="60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carriers and other advertisers in the business verticals in which we or QuoteWizard operate may be unwilling to advertise on our or QuoteWizard’s websites or mobile applications;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publishers may determine they no longer want QuoteWizard as an advertising partner;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underwriting approval rates by insurance carrier customers;</w:t>
      </w:r>
    </w:p>
    <w:p>
      <w:pPr>
        <w:spacing w:after="0" w:line="103" w:lineRule="exact"/>
        <w:rPr>
          <w:rFonts w:ascii="Arial" w:cs="Arial" w:eastAsia="Arial" w:hAnsi="Arial"/>
          <w:sz w:val="18"/>
          <w:szCs w:val="18"/>
          <w:color w:val="auto"/>
        </w:rPr>
      </w:pPr>
    </w:p>
    <w:p>
      <w:pPr>
        <w:ind w:left="660" w:right="36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and its effect on our or QuoteWizard’s website traffic, click-through rates, advertising rates, revenue, margins, and market share;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media may rise at a faster pace than QuoteWizard's monetization of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ability to provide competitive service to insurance carriers and to consumers using QuoteWizard’s and our online offerings and other platforms;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32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carriers may determine that the online digital marketing channel is no longer a viable marketing platform for generating new insurance customers;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regulatory agencies may hinder or disallow the operation of QuoteWizard's marketplace;</w:t>
      </w:r>
    </w:p>
    <w:p>
      <w:pPr>
        <w:spacing w:after="0" w:line="103" w:lineRule="exact"/>
        <w:rPr>
          <w:rFonts w:ascii="Arial" w:cs="Arial" w:eastAsia="Arial" w:hAnsi="Arial"/>
          <w:sz w:val="18"/>
          <w:szCs w:val="18"/>
          <w:color w:val="auto"/>
        </w:rPr>
      </w:pPr>
    </w:p>
    <w:p>
      <w:pPr>
        <w:ind w:left="660" w:right="66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QuoteWizard and to effectively leverage the LendingTree brand with the QuoteWizard brand;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key employees of QuoteWizard;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business acquired in the acquisition may not continue to perform as well as anticipated; and</w:t>
      </w:r>
    </w:p>
    <w:p>
      <w:pPr>
        <w:spacing w:after="0" w:line="103" w:lineRule="exact"/>
        <w:rPr>
          <w:rFonts w:ascii="Arial" w:cs="Arial" w:eastAsia="Arial" w:hAnsi="Arial"/>
          <w:sz w:val="18"/>
          <w:szCs w:val="18"/>
          <w:color w:val="auto"/>
        </w:rPr>
      </w:pPr>
    </w:p>
    <w:p>
      <w:pPr>
        <w:ind w:left="660" w:right="60" w:hanging="328"/>
        <w:spacing w:after="0" w:line="38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assumed liabilities associated with QuoteWizard’s historical operations, including liabilities arising from privacy and security regulations or security breaches.</w:t>
      </w:r>
    </w:p>
    <w:p>
      <w:pPr>
        <w:spacing w:after="0" w:line="6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the QuoteWizard business is impacted by the risks described above, then our results of operations and future growth prospects could be materially and adversely affected.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 portion of our revenue growth in recent years has been driven by personal loan offerings.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from personal loan offerings was responsible for a significant portion of the growth in the Consumer segment revenue over the last few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our personal loan product increased $18.5 million in 2019 from 2018 and $46.0 million in 2018 from 2017.</w:t>
      </w:r>
    </w:p>
    <w:p>
      <w:pPr>
        <w:spacing w:after="0" w:line="15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personal consumer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are successful at reducing their acquisition costs of new customers or if personal loans become unattractive to consumers because of higher interest rates demanded by lenders, then our results of operations and future growth prospects could be materially and adversely affected.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Partners affiliated with our marketplaces are not precluded from offering products and services outside of our marketplaces, or obtaining products and services from our competitors.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our businesses do not have exclusive relationships with Network Partners, consumers may obtain loans and other financial products from these third-party service providers without having to use our marketplaces. Network Partners can offer loans and other financial products directly to consumers through their own marketing campaigns or other traditional methods of distribution, such as referral arrangements, physical store-front operations or broker agreements. Network Partners may also offer loans and other financial products and services to prospective customers online directly, through one or more online competitors of our businesses, or both. If a significant number of consumers seek loans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products are new to the market and may fail to achieve or maintain customer acceptance and profitability.</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launched a number of new products over the last several years. We do not have as much experience with these new products as with the other more mature products. Accordingly, new products may be subject to greater risks than our more mature products.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at an acceptable cost, product features offered by our competitors and/or expected by consumers, lenders and lead purchasers;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by consumers, lenders and lead purchasers;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Network Partners.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and/or lead purchaser needs, including the emergence of new computing devices and more sophisticated online services, we may lose market share and revenue and our business could suffer.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voice assistants,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or if consumers and customers respond negatively to changes, we may lose market share, which could materially and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improve our products and services in ways that forego short-term gains.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or may not be sought in every country in which our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been granted one U.S. patent and from time to time we may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every country in which we do business.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proprietary information, know-how and trade secrets. These agreements may be breached, and we may not have adequate remedies for any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subject to intellectual property disputes, which are costly and may subject us to significant liability and increased costs of doing business.</w:t>
      </w:r>
    </w:p>
    <w:p>
      <w:pPr>
        <w:spacing w:after="0" w:line="1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Our technologies may not be able to withstand any third-party claims against their use. 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7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cease selling or using products or services that incorporate the intellectual property rights that we allegedly infringe, misappropriate or violate;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or rebrand the allegedly infringing products or services to avoid infringement, misappropriation or violation, which could be costly, time-consuming or impossible.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Patent litigation tends to be particularly protracted and expensive.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 If our risk management framework does not effectively identify or mitigate our risks, we could suffer unexpected losses and could be materially and adversely affected.</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manage the significant risks inherent in our business, management has adopted risk and control frameworks that enable us to identify, monitor and control our exposure to material risks. Our risk management framework seeks to mitigate risk and appropriately balance risk and return. We have established processes and procedures intended to identify, measure, monitor and report the types of risk to which we are subject, including credit, market, liquidity, operational, reputational, legal and compliance, and strategic risks. We seek to monitor and control our risk exposure through a framework of policies, procedures and reporting requirements. Our risk management methods may prove to be ineffective due to their design, their implementation or the degree to which we adhere to them, or as a result of the lack of adequate, accurate or timely information or otherwise. Any failure or circumvention of our controls, processes and procedures or failure to comply with regulations could necessitate changes in those controls, processes and procedures, which may increase our compliance costs, divert management's attention from our business or subject us to regulatory actions and increased regulatory scrutiny. There may also be risks that exist, or that develop in the future, that we have not appropriately anticipated, identified or mitigated. If our risk management framework does not effectively identify or mitigate our risks, we could suffer unexpected losses and our business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recent acquisitions may not be realized.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acquisitions pose risks for our ongoing operations, including, among others: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to the integration of the businesses acquired in the acquisition;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retain key employees of businesses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fully integrate the businesses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businesses acquired in the acquisition may not perform as well as anticipated;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advertisers in the business verticals in which we or the acquired businesses operate may be unwilling to advertise on our websites or mobile applications;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and its effect on our or the acquired businesses' website traffic, click-through rates, submitted consumer requests, advertising rates, revenue, margins, and market share;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the acquired businesses and to effectively leverage the LendingTree brand with the newly acquired brands;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assumed liabilities associated with the historical operations of the acquired businesses, including as a result of privacy regulations or data breaches.</w:t>
      </w:r>
    </w:p>
    <w:p>
      <w:pPr>
        <w:spacing w:after="0" w:line="1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acquisitions or strategic investments that we pursue may not be successful and could disrupt our business and harm our financial condition.</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Amended Revolving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and results of operations could be harmed.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experienced rapid and significant growth in our headcount and operations, including as a result of acquisitions,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business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develop and motivate well-qualified employees, our business and results of operations could be harmed.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success has depended, continues to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Partners participating on our other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is derived from two Network Partners, and our results from operations could be adversely affected and stockholder value harmed if we lose significant business from either of these Network Partners.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 ended December 31, 2019, one Network Partner accounted for 12% of total consolidated revenue. For the year ended December 31, 2017, another Network Partner accounted for 11% of total consolidated revenue. If either of these significant Network Partners were to cease purchasing consumer requests and we were unable to replace the associated demand, the loss could have a material adverse effect on our results of operations in the short term and potentially also the longer term. Also, if either Network Partner reduces its volume of consumer requests for any reason, our business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 support services office in India, our operations are geographically limited to and dependent upon the economic condition of the United States. As a result of this geographical concentration, we are more vulnerable to downturns or other conditions that affect the U.S. economy. We may choose to expand our operations in order to increase our geographic diversity, and if we do, such expansion would place increased responsibilities on our management, divert resources from other operations and expose us to new risks of foreign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incurred operating losses from continuing operations at times in our history, and although we were profitable in 2017, 2018 and 2019, we have an accumulated deficit of $592.7 million at December 31, 2019. If we fail to maintain or grow our revenue and manage our expenses, we may incur significant losses in the future and not be able to maintain profitability.</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(TCJA), which legislation significantly reforms the Internal Revenue Code of 1986, as amended. This tax legislation significantly reduced the U.S. statutory corporate tax rate and made other changes that could have a favorable impact on our overall U.S. federal tax liability in a given period. However, the tax legislation also included a number of provisions, including, but not limited to, the limitation or elimination of various deductions or credits (including for interest expense and for performance-based compensation under Section 162(m) of the Internal Revenue Code), the changing of the timing of the recognition of certain income and deductions or their character, and the limitation of asset basis under certain circumstances, that could significantly and adversely affect our U.S. federal income tax position. The legislation also made changes to the tax rules applicable to financial institutions and other entities with which we do business.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revalued deferred tax assets at December 31, 2017 considering the changes in the TCJA, and we recorded a net tax expense of $9.1 million during the fourth quarter of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impact of the TCJA and associated anticipated regulations on future years may be material to our consolidated financial statements. For example, we have historically relied extensively on performance-based compensation for our executive officers. The non-deductibility of future performance-based compensation to executive officers, and the expanded definition of “covered employees” whose compensation is subject to Section 162(m) may have material adverse effects on our effective tax rates. In addition, the limitations on the deductibility of interest may affect our anticipated tax benefits for the convertible note and hedge transactions described in Note 14—Debt to the consolidated financial statements included elsewhere in this annual report. Similarly, changes in tax laws and regulations that impact our Network Partners or the economy generally may also impact our financial condition and results of operations.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(such as the recent U.S. tax legislation), rules or regulatory or judicial interpretations;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we had pre-tax consolidated federal net operating losses (“NOLs”) of $188.2 million. The federal NOLs no longer expire under the new TCJA. Our NOLs will be available to offset taxable income subject to the limitations found in Internal Revenue Code Sections 382 and 383. In addition, we have state NOLs of approximately $484.7 million at December 31, 2019, that will expire at various times between 2021 and 2039. If we experience one or more ownership changes in the future as a result of future transactions in our stock, our ability to utilize NOLs could be limited. Our ability to use our NOLs was limited by the TCJA.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relocate our corporate headquarters due to our growth.</w:t>
      </w:r>
    </w:p>
    <w:p>
      <w:pPr>
        <w:spacing w:after="0" w:line="171"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Our principal executive offices are currently located on approximately 37,800 square feet of office space in Charlotte, North Carolina under a lease that expires in December 2020. To accommodate our growth, we are expecting to relocate our principal executive offices and consolidate certain additional office space to a new location in Charlotte, North Carolina, in the first quarter of 2021. We will incur relocation costs associated with the movement of employees to our new principal executive offices or other sites. We may experience loss of employees or lost employee productivity resulting from this relocation and other work location changes necessitated by our growth. Any of these costs and risks may negatively impact our earnings and cause our stock price to decline.</w:t>
      </w:r>
    </w:p>
    <w:p>
      <w:pPr>
        <w:spacing w:after="0" w:line="1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Amended Revolving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10, 2019, our wholly-owned subsidiary LendingTree, LLC entered into an amended and restated $500.0 million five-year senior secured revolving credit facility (the "Amended Revolving Credit Facility"), which amended and restated our previous $350.0 million five-year senior secured revolving credit facility (the “2017 Revolving Credit Facility”). This Amended Revolving Credit Facility matures on December 10, 2024. Borrowings under the Amended Revolving Credit Facility can be used to finance working capital needs, capital expenditures, and general corporate purposes, including to finance permitted acquisitions. As of February 26, 2020, there was $50.0 million borrowed under the Amended Revolving Credit Facility.</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Amended Revolving Credit Facility contains a restrictive financial covenant, which limits the total consolidated debt to an EBITDA ratio. In addition, the Amended Revolving Credit Facility contains customary affirmative and negative covenants, including, subject to certain exceptions, restrictions on our ability to, among other things:</w:t>
      </w:r>
    </w:p>
    <w:p>
      <w:pPr>
        <w:spacing w:after="0" w:line="7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hedging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other transactions without the prior consent of the lenders.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an event of default occurs or if we otherwise fail to comply with any of the negative or affirmative covenants of the Amended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Amended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in the notes to the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indefinite-lived intangible assets become impaired, we may be required to record a significant charge to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8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or relocation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fair value of any contingent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to our operating results due to duplicative pre-merger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to our operating results from expenses incurred to effect the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to our operating results due to the expensing of certain stock awards assumed in an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2019, 2018 and 2017, we incurred $28.4 million, $10.8 million and $23.9 million, respectively, of contingent consideration expense due to the change in estimated fair value of the earnout payments.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involved in various legal proceedings and claims involving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administrative fines or proceedings against us or our businesses by governmental agencies and/or litigation by consumers, which could materially and adversely affect our business, financial condition and results of operations and our brand.</w:t>
      </w:r>
    </w:p>
    <w:p>
      <w:pPr>
        <w:spacing w:after="0" w:line="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businesses conduct marketing activities via telephone, mail and/or through online marketing channels, and these general marketing activities are governed by numerous federal regulations, such as the Telemarketing Sales Rule, the CAN-SPAM Act, the Telephone Consumer Protection Act, the Federal Trade Commission Act, and various state telemarketing laws, federal and state data privacy and security laws and their accompanying regulations and guidelines, among others. Additionally, increased regulation by the U.S. Federal Trade Commission ("FTC") and Federal Communications Commission ("FCC") has resulted in restrictions on telephone calls to residential and wireless telephone subscribers.</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Additional federal, state and in some instances, local laws regulate secured and unsecured lending activities, which impacts the marketplace, lenders and consumers. These laws generally regulate the manner in which lending and lending-related activities are marketed or made available, including advertising and other consumer disclosures, payments for services and record keeping requirements; these laws include RESPA, the Fair Credit Reporting Act, the Truth in 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State, federal and foreign lending laws and regulations generally require accurate disclosure of the critical components of credit costs so that consumers can readily compare credit terms from various lenders. These laws and regulations also impose certain restrictions on the advertisement of these credit terms. Because we are an aggregator of rate and other information regarding many financial products, including mortgages, deposits and credit cards, we may be subject to some of these laws and regulations and we may be held liable under these laws and regulations for information provided through our online services.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mortgage origination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6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financial statements may be harmed by improper conduct by our business partners.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Our business partners typically act as independent contractors and not as agents in their solicitations and transactions with consumers, and we cannot ensure that these entities will comply with applicable laws and regulations at all times. Failure on the part of a lender, website operator or other third party to comply with applicable laws or regulations could result in, among other things, claims of vicarious liability or a negative impact on our reputation and business.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for Mortgage Licensing Act (the "SAFE Act"), states adopted certain minimum standards for the licensing of individuals involved in mortgage lending or loan brokering.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large consumers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the states in which our businesses maintain licenses require them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financial statements for prior periods and a decline in the market price of our stock.</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our current internal controls and any new controls we implement may become inadequate because of changes in conditions in our business or information technology systems or changes in the applicable laws, regulations and standards. We have also recently acquired, and may acquire in future, companies that were not subject to the Sarbanes-Oxley regulations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exposed to liabilities under the Foreign Corrupt Practices Act (FCPA), which could have a material adverse effect on our business.</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state and foreign laws and regulations regarding data privacy and security, including comprehensive laws of broad application, such as the EU General Data Protection Regulation, that are intended to protect the privacy of personal information that is collected, used, stored, disclosed, transferred and otherwise processed in or from the governing jurisdiction. Some countries, including India,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12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CFPB and FTC, have adopted, or are considering adopting, laws and regulations concerning personal information and data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may be subject to laws like the Gramm-Leach-Bliley Act of 1999 (along with its implementing regulations) (“GLBA”), which restricts certain collection, processing, storage, use and disclosure by covered companies of certain personal information, requires notice to individuals of privacy practices and provides individuals with certain rights to prevent the use and disclosure of certain non-public or otherwise legally protected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was amended in September 2018 and November 2019, and it is possible that further amendments will be enacted, but even in its current form it remains unclear how various provisions of the CCPA will be interpreted and enforced. State laws are changing rapidly and there is discussion in Congress of a new federal data protection and privacy law to which we would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security breaches involving certain personal information, which could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consumers or other counterparties of a security breach. Although we may have contractual protections with our external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failure or perceived failure by us or our Network Partners or external service providers to comply with our posted privacy policies or with any applicable federal, state or similar foreign laws, regulations, standards, certifications or orders relating to data privacy,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loss of export privileges or severe criminal or civil sanctions, all of which may affect our financial condition, operating results and our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mobile carriers and their partners could negatively affect our business.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w:t>
      </w:r>
    </w:p>
    <w:p>
      <w:pPr>
        <w:spacing w:after="0" w:line="10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response to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operating results, quarter to quarter earnings and other factors may result in significant decreases in the price of our common stock.</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price for our common stock has been volatile, as the trading volume has fluctuated and may continue to fluctuate, causing significant price variations to occur. From when we became a publicly-traded company to as of December 31, 2019,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8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introductions of new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rapid technological change, frequent new product introductions and evolving industry standards;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quarterly operating and financial results or our projected operating and financial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Partners or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preferred or common stock we may issue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by stockholders, including "activist" investors;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customers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one or more large, well-established technology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systems, data center and internet failures, breaches and service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the short selling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threatened or actual ligation;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estimated fair value of contingent consideration related to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inaccurate or unfavorable research about our business, our stock price and trading volume could decline.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our industry in the future downgrades our common stock or publishes inaccurate or unfavorable research about our business or industry, our stock price would likely decline.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February 18, 2020, Douglas Lebda, our Chairman and Chief Executive Officer, beneficially owned approximately 17% of our outstanding common stock. Additionally, Mr. Lebda holds restricted stock unit awards representing 9,896 shares and options to purchase a maximum of 791,298 shares that are not included in beneficial ownership because Mr. Lebda does not have the right to acquire them within 60 days. If these restricted stock units were to settle and these options were exercisable, they would represent additional beneficial ownership of approximately 5% of our outstanding common stock. As of February 18, 2020, GCI Liberty, Inc. beneficially owned approximately 26% of our outstanding common stock. GCI Liberty, Inc. also has the right to nominate 20% of the total number of directors serving on the board, rounded up. Two of our ten directors, Neal Dermer and Craig Troyer, were nominated by Liberty Interactive Corporation, the predecessor in interest of GCI Liberty, Inc.</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Therefore, for the foreseeable future, Mr. Lebda and GCI Liberty, Inc. will each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or GCI Liberty, Inc. may not necessarily align with the interests of our other stockholders. Mr. Lebda or GCI Liberty, Inc.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 registration rights agreement with GCI Liberty, Inc., GCI Liberty, Inc. and its permitted transferees are entitled to three demand registration rights (and unlimited piggyback registration rights) in respect of the shares of our common stock beneficially owned by GCI Liberty, Inc. or its affiliates. These holders will also be permitted to exercise their registration rights in connection with certain hedging transactions that they may enter into in respect of the registrable shares. The presence of additional shares of our common stock trading in the public market, as a result of the exercise of such registration rights, may have an adverse effect on the market price of our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certificate of incorporation and/or amended and restated bylaws include provisions that:</w:t>
      </w:r>
    </w:p>
    <w:p>
      <w:pPr>
        <w:spacing w:after="0" w:line="16"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not declared or paid a cash dividend on our common stock during the seven most recent fiscal years. We have no current intention to declare or pay cash dividends on our common stock in the foreseeable future. In addition, the Amended Revolving Credit Facility contains certain restrictions on our ability to pay dividends.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14—Debt,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 Business—Seasonality included elsewhere in this annual report for more information. Any of these seasonal trends, or the combination of them, may negatively impact the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conditional conversion feature of our outstanding convertible senior notes, if triggered, may adversely affect our financial condition and operating results.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the conditional conversion feature of our 0.625% Convertible Senior Notes due June 1, 2022 (the “Notes”) is triggered, holders of Notes will be entitled to convert the Notes at any time during specified periods at their option. Because of the trading price of our common stock during the measurement period applicable to the quarter ended December 31, 2019, holders of the Notes became entitled to convert the Notes on January 1, 2020, and will continue to have such right until March 31, 2020. Convertibility for each quarter thereafter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indenture governing the Notes, which is incorporated by reference as an exhibit to this annual report.</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make repurchases of Notes surrendered therefore, or pay cash with respect to Notes being converted if we elect not to issue shares, which could harm our reputation and affect the trading price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hedge and warrant transactions may affect the value of the Notes and our common stock.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$266.39.</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adverse effect on our reported financial results.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2008, the FASB issued FASB Staff Position No. APB 14-1, Accounting for Convertible Debt Instruments That May Be Settled in Cash Upon Conversion (Including Partial Cash Settlement), which has subsequently been codified as ASC 470-20, Debt with Conversion and Other Options, which we refer to as ASC 470-20. Under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We will report lower net income in our financial results because ASC 470-20 will require interest to include the current period’s amortization of the debt discount, which could adversely affect our reported or future financial results, the trading price of our common stock and the trading price of the Notes.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limits our ability to incur additional indebtedness, these restrictions are subject to a number of qualifications and exceptions and may be amended with the consent of our lenders. Accordingly, under certain circumstances, we may incur substantial additional debt.</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executive offices are currently located on approximately 37,800 square feet of office space in Charlotte, North Carolina under a lease that expires in December 2020. We also have offices located on approximately 13,100 square feet, 19,700 square feet and 27,800 square feet of additional office space in Charlotte, North Carolina under leases that expire in December 2020, May 2021 and September 2021, respectively. To accommodate our growth, we are expecting to relocate our principal executive offices and consolidate certain additional Charlotte office space in approximately 176,000 square feet of office space in Charlotte, North Carolina, in the first quarter of 2021.</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Primarily as a result of our acquisitions in recent years, we also operate offices in: Charleston, South Carolina; Chicago, Illinois; Denver, Colorado; Jacksonville, Florida; New York City, New York; Rancho Cordova, California; San Mateo, California; Seattle, Washington; and Makarba, India.</w:t>
      </w:r>
    </w:p>
    <w:p>
      <w:pPr>
        <w:spacing w:after="0" w:line="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Charlotte operations support all three of our segments: Home, Consumer and Insurance. Our Home segment is also supported by our San Mateo office. The Consumer segment has personnel in the Charleston, Chicago, Jacksonville, New York City, San Mateo and Makarba offices. The Insurance segment has personnel in the Denver, New York City, Rancho Cordova and Seattle offices.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December 2016, we completed the acquisition of two office buildings in Charlotte, North Carolina, with approximately 64,000 and 73,000 square feet of office space, respectively. In November 2018, the office buildings were classified as held for sale, and the buildings were sold in May 2019. For additional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7—Assets Held for Sale in the notes to the consolidated financial statements included elsewhere in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w:t>
      </w:r>
      <w:r>
        <w:rPr>
          <w:rFonts w:ascii="Arial" w:cs="Arial" w:eastAsia="Arial" w:hAnsi="Arial"/>
          <w:sz w:val="16"/>
          <w:szCs w:val="16"/>
          <w:b w:val="1"/>
          <w:bCs w:val="1"/>
          <w:color w:val="auto"/>
        </w:rPr>
        <w:t>—</w:t>
      </w:r>
      <w:r>
        <w:rPr>
          <w:rFonts w:ascii="Arial" w:cs="Arial" w:eastAsia="Arial" w:hAnsi="Arial"/>
          <w:sz w:val="16"/>
          <w:szCs w:val="16"/>
          <w:color w:val="auto"/>
        </w:rPr>
        <w:t>Contingencies and Note 20—Discontinued Operations in the notes to the consolidated financial statements included elsewhere in this report for a discussion of our current and recently settled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is quoted on the Nasdaq Global Select Market under the ticker symbol "TREE". As of February 18, 2020, there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616 holders of record of our common stock.</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line graph, for the period from December 31, 2014 through December 31, 2019,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93345</wp:posOffset>
            </wp:positionV>
            <wp:extent cx="5188585" cy="425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885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2019, we did not issue or sell any shares of our common stock or other equity securities in transactions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2019, 4,151 shares of common stock were repurchased under the stock repurchase program. As of February 18, 2020, approximately $179.7 million is authorized for future share repurchases.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2019, 4,007 shares were purchased related to these obligations under the LendingTree Sixth Amended and Restated 2008 Stock and Award Incentive Plan and 1,575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208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20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2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20" w:type="dxa"/>
            <w:vAlign w:val="bottom"/>
          </w:tcPr>
          <w:p>
            <w:pPr>
              <w:spacing w:after="0"/>
              <w:rPr>
                <w:sz w:val="12"/>
                <w:szCs w:val="12"/>
                <w:color w:val="auto"/>
              </w:rPr>
            </w:pPr>
          </w:p>
        </w:tc>
        <w:tc>
          <w:tcPr>
            <w:tcW w:w="20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Period</w:t>
            </w:r>
          </w:p>
        </w:tc>
        <w:tc>
          <w:tcPr>
            <w:tcW w:w="2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320" w:type="dxa"/>
            <w:vAlign w:val="bottom"/>
          </w:tcPr>
          <w:p>
            <w:pPr>
              <w:spacing w:after="0"/>
              <w:rPr>
                <w:sz w:val="12"/>
                <w:szCs w:val="12"/>
                <w:color w:val="auto"/>
              </w:rPr>
            </w:pPr>
          </w:p>
        </w:tc>
        <w:tc>
          <w:tcPr>
            <w:tcW w:w="20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640" w:type="dxa"/>
            <w:vAlign w:val="bottom"/>
            <w:gridSpan w:val="2"/>
            <w:vMerge w:val="continue"/>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Paid per Share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320" w:type="dxa"/>
            <w:vAlign w:val="bottom"/>
          </w:tcPr>
          <w:p>
            <w:pPr>
              <w:spacing w:after="0"/>
              <w:rPr>
                <w:sz w:val="16"/>
                <w:szCs w:val="16"/>
                <w:color w:val="auto"/>
              </w:rPr>
            </w:pPr>
          </w:p>
        </w:tc>
        <w:tc>
          <w:tcPr>
            <w:tcW w:w="208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2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2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10/1/19 - 10/31/19</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316.36</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180,857</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11/1/19 - 11/30/19</w:t>
            </w:r>
          </w:p>
        </w:tc>
        <w:tc>
          <w:tcPr>
            <w:tcW w:w="120" w:type="dxa"/>
            <w:vAlign w:val="bottom"/>
          </w:tcPr>
          <w:p>
            <w:pPr>
              <w:spacing w:after="0"/>
              <w:rPr>
                <w:sz w:val="21"/>
                <w:szCs w:val="21"/>
                <w:color w:val="auto"/>
              </w:rPr>
            </w:pP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366.02</w:t>
            </w:r>
          </w:p>
        </w:tc>
        <w:tc>
          <w:tcPr>
            <w:tcW w:w="120" w:type="dxa"/>
            <w:vAlign w:val="bottom"/>
          </w:tcPr>
          <w:p>
            <w:pPr>
              <w:spacing w:after="0"/>
              <w:rPr>
                <w:sz w:val="21"/>
                <w:szCs w:val="21"/>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21"/>
              <w:spacing w:after="0"/>
              <w:rPr>
                <w:sz w:val="20"/>
                <w:szCs w:val="20"/>
                <w:color w:val="auto"/>
              </w:rPr>
            </w:pPr>
            <w:r>
              <w:rPr>
                <w:rFonts w:ascii="Arial" w:cs="Arial" w:eastAsia="Arial" w:hAnsi="Arial"/>
                <w:sz w:val="18"/>
                <w:szCs w:val="18"/>
                <w:color w:val="auto"/>
              </w:rPr>
              <w:t>180,857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12/1/19 - 12/31/19</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286.28</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7"/>
        </w:trPr>
        <w:tc>
          <w:tcPr>
            <w:tcW w:w="2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9,733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304.32</w:t>
            </w:r>
          </w:p>
        </w:tc>
        <w:tc>
          <w:tcPr>
            <w:tcW w:w="1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4,151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34"/>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October 2019, November 2019 and December 2019, 4,993 shares, 318 shares and 271 shares, respectively (totaling 5,582 shares), were purchased to satisfy federal and state withholding obligations of our employees upon the settlement of restricted stock units, all in accordance with our Sixth Amended and Restated 2008 Stock and Award Incentive Plan and 2017 Inducement Grant Plan, as described above.</w:t>
      </w:r>
    </w:p>
    <w:p>
      <w:pPr>
        <w:spacing w:after="0" w:line="9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summary financial data presented below represents portions of our consolidated financial statements and are not complete. The following financial information should be read in conjunction with Item 7. Management's Discussion and Analysis of Financial Condition and Results of Operations and our consolidated financial statements and notes thereto contained in Item 8. Financial Statements and Supplementary Data included elsewhere in this annual report. Historical results are not necessarily indicative of future performance or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4"/>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Arial" w:cs="Arial" w:eastAsia="Arial" w:hAnsi="Arial"/>
                <w:sz w:val="16"/>
                <w:szCs w:val="16"/>
                <w:b w:val="1"/>
                <w:bCs w:val="1"/>
                <w:color w:val="auto"/>
                <w:w w:val="89"/>
              </w:rPr>
              <w:t>2017</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5"/>
          </w:tcPr>
          <w:p>
            <w:pPr>
              <w:jc w:val="center"/>
              <w:ind w:right="2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Revenue</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1,106,603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764,865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617,736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384,402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254,216</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39,460</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109,319</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19,418</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31,208</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51,316</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from discontinued operations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(21,632)</w:t>
            </w: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(3,714)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17,828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96,499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15,578</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27,494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48,047</w:t>
            </w:r>
          </w:p>
        </w:tc>
      </w:tr>
      <w:tr>
        <w:trPr>
          <w:trHeight w:val="324"/>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12,834</w:t>
            </w: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12,504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11,945</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11,812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11,516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14,619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14,097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13,682</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12,773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Income per share from continuing operations: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per share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180"/>
              <w:spacing w:after="0" w:line="269" w:lineRule="exact"/>
              <w:rPr>
                <w:sz w:val="20"/>
                <w:szCs w:val="20"/>
                <w:color w:val="auto"/>
              </w:rPr>
            </w:pPr>
            <w:r>
              <w:rPr>
                <w:rFonts w:ascii="Arial" w:cs="Arial" w:eastAsia="Arial" w:hAnsi="Arial"/>
                <w:sz w:val="31"/>
                <w:szCs w:val="31"/>
                <w:color w:val="auto"/>
                <w:vertAlign w:val="subscript"/>
              </w:rPr>
              <w:t>Cash and cash equivalents</w:t>
            </w:r>
            <w:r>
              <w:rPr>
                <w:rFonts w:ascii="Arial" w:cs="Arial" w:eastAsia="Arial" w:hAnsi="Arial"/>
                <w:sz w:val="12"/>
                <w:szCs w:val="12"/>
                <w:color w:val="auto"/>
              </w:rPr>
              <w:t xml:space="preserve"> (4) (5) (6) (7) (8) (9) (10)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60,243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105,102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368,550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91,131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206,975</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(4) (6) (7)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947,969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896,115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693,459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323,427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295,781</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Total long-term liabilities </w:t>
            </w:r>
            <w:r>
              <w:rPr>
                <w:rFonts w:ascii="Arial" w:cs="Arial" w:eastAsia="Arial" w:hAnsi="Arial"/>
                <w:sz w:val="25"/>
                <w:szCs w:val="25"/>
                <w:color w:val="auto"/>
                <w:vertAlign w:val="superscript"/>
              </w:rPr>
              <w:t>(5) (7) (8) (9)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314,937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287,954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251,069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25,285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612</w:t>
            </w:r>
          </w:p>
        </w:tc>
      </w:tr>
      <w:tr>
        <w:trPr>
          <w:trHeight w:val="270"/>
        </w:trPr>
        <w:tc>
          <w:tcPr>
            <w:tcW w:w="526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(4) (7)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402,326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346,208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294,874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231,435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241,142</w:t>
            </w:r>
          </w:p>
        </w:tc>
      </w:tr>
    </w:tbl>
    <w:p>
      <w:pPr>
        <w:spacing w:after="0" w:line="148" w:lineRule="exact"/>
        <w:rPr>
          <w:sz w:val="20"/>
          <w:szCs w:val="20"/>
          <w:color w:val="auto"/>
        </w:rPr>
      </w:pPr>
    </w:p>
    <w:p>
      <w:pPr>
        <w:ind w:left="500" w:hanging="330"/>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2018—Revenue for a discussion of revenue.</w:t>
      </w:r>
    </w:p>
    <w:p>
      <w:pPr>
        <w:spacing w:after="0" w:line="11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2015, we released the majority of the valuation allowance, which, along with federal and state income taxes, resulted in a total tax benefit of $23.0 million.</w:t>
      </w:r>
    </w:p>
    <w:p>
      <w:pPr>
        <w:spacing w:after="0" w:line="11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2018—Discontinued Operations for a discussion of discontinued operations.</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2015, we completed an equity offering of 852,500 shares of our common stock, receiving net proceeds of $91.5 million.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2016, we acquired CompareCards for $80.7 million in cash at closing and contingent consideration payments of up to $22.5 million for each of 2017 and 2018. Total long-term liabilities at the end of 2016 included the fair value of the contingent consideration of $23.1 million. The full potential contingent consideration of $45.0 million was paid in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December 2016, we acquired two office buildings in Charlotte, North Carolina for $23.5 million in cash. In May 2019, the office buildings were sold to an unrelated third party for a sale price of $24.4 million. For additional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7—Assets Held for Sale in the notes to the consolidated financial statements included elsewhere in this report.</w:t>
      </w:r>
    </w:p>
    <w:p>
      <w:pPr>
        <w:spacing w:after="0" w:line="127"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May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in the notes to the consolidated financial statements included elsewhere in this report.</w:t>
      </w:r>
    </w:p>
    <w:p>
      <w:pPr>
        <w:spacing w:after="0" w:line="127" w:lineRule="exact"/>
        <w:rPr>
          <w:rFonts w:ascii="Arial" w:cs="Arial" w:eastAsia="Arial" w:hAnsi="Arial"/>
          <w:sz w:val="18"/>
          <w:szCs w:val="18"/>
          <w:color w:val="auto"/>
        </w:rPr>
      </w:pPr>
    </w:p>
    <w:p>
      <w:pPr>
        <w:jc w:val="both"/>
        <w:ind w:left="500" w:hanging="330"/>
        <w:spacing w:after="0" w:line="297"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June 2017, we acquired DepositAccounts for $24.0 million in cash at closing and contingent consideration payments of up to $9.0 million, and acquired MagnifyMoney for $29.6 million in cash at closing. In September 2017, we acquired SnapCap for $11.9 million in cash at closing and up to three additional contingent consideration payments, each ranging from zero to $3.0 million. Total long-term liabilities at the end of 2017 included the fair value of DepositAccounts non-current contingent consideration of $4.3 million and the fair value of SnapCap contingent consideration of $7.0 million. Total long-term liabilities at the end of 2018 included the fair value of SnapCap non-current contingent consideration of $3.7 million.</w:t>
      </w:r>
    </w:p>
    <w:p>
      <w:pPr>
        <w:spacing w:after="0" w:line="104" w:lineRule="exact"/>
        <w:rPr>
          <w:rFonts w:ascii="Arial" w:cs="Arial" w:eastAsia="Arial" w:hAnsi="Arial"/>
          <w:sz w:val="16"/>
          <w:szCs w:val="16"/>
          <w:color w:val="auto"/>
        </w:rPr>
      </w:pPr>
    </w:p>
    <w:p>
      <w:pPr>
        <w:jc w:val="both"/>
        <w:ind w:left="500" w:hanging="330"/>
        <w:spacing w:after="0" w:line="293"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June 2018, we acquired Ovation for $12.2 million in cash at closing and up to two contingent consideration payments, each ranging from zero to $4.4 million. In July 2018, we acquired Student Loan Hero for $60.7 million in cash at closing. In October 2018, we acquired QuoteWizard for $299.9 million in cash at closing, which was funded through $174.9 million of cash on hand and by $125.0 million drawn on our 2017 Revolving Credit Facility, and up to three contingent consideration payments, each ranging from zero to $23.4 million. Total long-term liabilities at the end of 2018 included the fair value of Ovation non-current contingent consideration of $3.3 million and the fair value of QuoteWizard contingent consideration of $20.7 million. Total long-term liabilities at the end of 2019 included the fair value of QuoteWizard contingent consideration of $24.4 million.</w:t>
      </w:r>
    </w:p>
    <w:p>
      <w:pPr>
        <w:spacing w:after="0" w:line="110" w:lineRule="exact"/>
        <w:rPr>
          <w:rFonts w:ascii="Arial" w:cs="Arial" w:eastAsia="Arial" w:hAnsi="Arial"/>
          <w:sz w:val="16"/>
          <w:szCs w:val="16"/>
          <w:color w:val="auto"/>
        </w:rPr>
      </w:pPr>
    </w:p>
    <w:p>
      <w:pPr>
        <w:ind w:left="500" w:hanging="330"/>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2019, we acquired ValuePenguin for $106.1 million in cash at closing, which was funded through $16.1 million of cash on hand and by $90.0 million drawn on our 2017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three reportable segments: Home, Consumer and Insurance. We changed our reportable segments in the fourth quarter of 2019, and prior period results have been reclassified to conform with this change in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10, 2019, we acquired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carriers and agents. This strategic acquisition positions us to achieve further scale in the insurance space as well as the broader financial services industry.</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2018, we acquired QuoteWizard, one of the largest insurance comparison marketplaces in the growing online insurance advertising market, for $299.5 million in cash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2018, we acquired Student Loan Hero for $62.7 million in cash,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June 11, 2018, we acquired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19, 2017, we acquired certain assets of SnapCap for $11.9 million in cash at closing and contingent consideration payments of up to $9.0 million through March 31, 2020, subject to achieving specific targets. SnapCap is a tech-enabled online platform, which connects business owners with lenders offering small business loans, lines of credit and merchant cash advance products through a concierge-based sales approach. SnapCap's high-touch, high-conversion sales approach with our brand and performance marketing expertise has enabled growth in our small business offering.</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20, 2017, we acquired MagnifyMoney for $29.6 million cash consideration at the closing of the transaction.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14, 2017, we acquired substantially all of the assets of DepositAccounts for $24.0 million in cash at closing and contingent consideration payments of up to $9.0 million through June 30, 2020, subject to achieving specific targets.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represented our first offering to address the asset side of the consumer balance sheet.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dynamically adjust selling and marketing expenditures in all interest rate environments to optimize our results against these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Freddie Mac, 30-year mortgage interest rates declined from a monthly average of 4.15% in January 2017 to a monthly average of 3.81% in September 2017, before increasing to 3.95% at the end of 2017. During 2018, 30-year mortgage interest rates generally increased to a monthly average of 4.87% in November 2018, but declined to 4.64% at the end of 2018. During 2019, 30-year mortgage interest rates steadily decreased from a monthly average of 4.46% in January 2019, ending at a monthly average of 3.72% in December.</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 full-year basis, 30-year mortgage interest rates decreased to an average 3.94% in 2019, as compared to 4.54% and 3.99% in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83185</wp:posOffset>
            </wp:positionV>
            <wp:extent cx="5471160" cy="3302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116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Typically, as mortgage interest rates decline, there are more consumers in the marketplace seeking refinancings and, accordingly, the mix of mortgage origination dollars will move towards refinance mortgages. According to Mortgage Bankers Association ("MBA") data, total refinance origination dollars decreased from 35% of total 2017 mortgage origination dollars to 28% in 2018, then increased to 38% in 2019 as a result of the general trend in average mortgage interest rates. In 2019, total refinance origination dollars increased by 70% over 2018 and by 29% over 2017.</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the MBA is projecting 30-year mortgage interest rates to remain relatively consistent in 2020, at an average 3.7% on 30-year fixed rate mortgages. According to MBA projections, the mix of mortgage origination dollars is expected to move back towards purchase mortgages with the refinance share representing just 33% for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According to the National Association of Realtors ("NAR"), nationwide existing home sales in 2017 increased approximately 2% over 2016 due to limited inventory of homes for sale in 2017. In addition to continued low inventory, rising interest rates contributed to declining home sales in 2018, resulting in nationwide existing home sales in 2018 contracting approximately 3% from 2017. In 2019, existing home sales remained consistent with 2018 levels. The NAR expects an increase in home sales in 2020, particularly if interest rates continue to remain low and employment growth is sustained.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May 2019, we sold these buildings to an unrelated third party for a sale price of $24.4 million. For additional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7—Assets Held for Sale in the notes to the consolidated financial statements included elsewhere in this report.</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For information on fiscal 2017 results and similar comparisons,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7. Management's Discussion and Analysis of Financial Condition and Results of Operations—Results of Operations for the Years Ended December 31, 2018, 2017 and 2016 of our Form 10-K for the fiscal year ended December 31, 2018.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gridSpan w:val="3"/>
          </w:tcPr>
          <w:p>
            <w:pPr>
              <w:jc w:val="right"/>
              <w:ind w:right="611"/>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Pr>
          <w:p>
            <w:pPr>
              <w:spacing w:after="0"/>
              <w:rPr>
                <w:sz w:val="18"/>
                <w:szCs w:val="18"/>
                <w:color w:val="auto"/>
              </w:rPr>
            </w:pPr>
          </w:p>
        </w:tc>
        <w:tc>
          <w:tcPr>
            <w:tcW w:w="2300" w:type="dxa"/>
            <w:vAlign w:val="bottom"/>
            <w:gridSpan w:val="2"/>
          </w:tcPr>
          <w:p>
            <w:pPr>
              <w:jc w:val="right"/>
              <w:ind w:right="771"/>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711"/>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5"/>
        </w:trPr>
        <w:tc>
          <w:tcPr>
            <w:tcW w:w="5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3"/>
                <w:szCs w:val="3"/>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w w:val="88"/>
              </w:rPr>
              <w:t>Change</w:t>
            </w: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277,935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319,176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(41,241)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515,037</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395,615</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119,422</w:t>
            </w:r>
          </w:p>
        </w:tc>
        <w:tc>
          <w:tcPr>
            <w:tcW w:w="11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284,792</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31,369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253,423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28,839</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18,705</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10,134</w:t>
            </w:r>
          </w:p>
        </w:tc>
        <w:tc>
          <w:tcPr>
            <w:tcW w:w="118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1,106,603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764,865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341,738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Cost of revenue </w:t>
            </w:r>
            <w:r>
              <w:rPr>
                <w:rFonts w:ascii="Arial" w:cs="Arial" w:eastAsia="Arial" w:hAnsi="Arial"/>
                <w:sz w:val="18"/>
                <w:szCs w:val="18"/>
                <w:i w:val="1"/>
                <w:iCs w:val="1"/>
                <w:color w:val="auto"/>
                <w:w w:val="99"/>
              </w:rPr>
              <w:t>(exclusive of depreciation and amortization shown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separately below)</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68,379</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36,399</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31,980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735,180</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500,291</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234,889</w:t>
            </w:r>
          </w:p>
        </w:tc>
        <w:tc>
          <w:tcPr>
            <w:tcW w:w="118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116,847</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101,219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15,628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39,953</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26,958</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12,995</w:t>
            </w:r>
          </w:p>
        </w:tc>
        <w:tc>
          <w:tcPr>
            <w:tcW w:w="118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10,998</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7,385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3,613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55,241</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23,468</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31,773</w:t>
            </w:r>
          </w:p>
        </w:tc>
        <w:tc>
          <w:tcPr>
            <w:tcW w:w="11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28,402</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10,788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17,614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2,352</w:t>
            </w:r>
          </w:p>
        </w:tc>
        <w:tc>
          <w:tcPr>
            <w:tcW w:w="42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(1,326)</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1,055,875</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708,674</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347,201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49 %</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50,728</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56,191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(5,463)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(7,834)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534</w:t>
            </w:r>
          </w:p>
        </w:tc>
        <w:tc>
          <w:tcPr>
            <w:tcW w:w="1180" w:type="dxa"/>
            <w:vAlign w:val="bottom"/>
          </w:tcPr>
          <w:p>
            <w:pPr>
              <w:jc w:val="right"/>
              <w:spacing w:after="0"/>
              <w:rPr>
                <w:sz w:val="20"/>
                <w:szCs w:val="20"/>
                <w:color w:val="auto"/>
              </w:rPr>
            </w:pPr>
            <w:r>
              <w:rPr>
                <w:rFonts w:ascii="Arial" w:cs="Arial" w:eastAsia="Arial" w:hAnsi="Arial"/>
                <w:sz w:val="18"/>
                <w:szCs w:val="18"/>
                <w:color w:val="auto"/>
              </w:rPr>
              <w:t>5,340 %</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30,981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43,744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(12,763)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8,479</w:t>
            </w: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65,575</w:t>
            </w:r>
          </w:p>
        </w:tc>
        <w:tc>
          <w:tcPr>
            <w:tcW w:w="42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(57,096)</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39,460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109,319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(69,859)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Loss from discontinued operations, net of tax</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(21,632)</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(12,820)</w:t>
            </w:r>
          </w:p>
        </w:tc>
        <w:tc>
          <w:tcPr>
            <w:tcW w:w="42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b w:val="1"/>
                <w:bCs w:val="1"/>
                <w:color w:val="auto"/>
              </w:rPr>
              <w:t>(8,812)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17,828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96,499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(78,671)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7"/>
        </w:trPr>
        <w:tc>
          <w:tcPr>
            <w:tcW w:w="55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2019 compared to 2018 due to increases in our Consumer and Insurance segments, partially offset by a decrease in our Home segment.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$119.4 million in 2019 from 2018, or 30%, primarily due to increases in our credit cards, personal loans, small business loans, student loans and credit services products.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credit card product increased $45.5 million to $211.3 million in 2019 from $165.8 million in 2018, or 28%, due to increases in the number of approvals and an increase in revenue earned per approval.</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our personal loan product increased $18.5 million to $152.7 million in 2019 from $134.2 million in 2018, or 14%, due to an increased number of consumers completing request forms, partially offset by a decrease in revenue earned per consumer.</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2019 and 2018, no other products in our Consumer segment represented more than 10% of revenue, however certain other Consumer products experienced notable increases. Revenue from our small business loans product increased $20.5 million in 2019 compared to 2018, due to increases in the number of consumers seeking business loans, partially offset by a decrease in revenue earned per consumer. Revenue from our student loans product increased $15.3 million in 2019 compared to 2018, due to increased consumers, increased lenders on our exchange, and the acquisition of Student Loan Hero in July 2018. Revenue from our credit services product increased $14.6 million in 2019 compared to 2018, primarily due to the acquisition of Ovation in June 2018, as well as an increase in revenue earned per consumer.</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believe the market for our Consumer segment remains under-penetrated and we believe long-term growth prospects are positive for the Consumer segment. While we anticipate growth in the Consumer segment, we do not expect revenue to grow at the rate experienced in 2019. A significant industry-wide contraction in the availability of capital for products in the Consumer segment would likely adversely affect our Consumer product revenues.</w:t>
      </w:r>
    </w:p>
    <w:p>
      <w:pPr>
        <w:spacing w:after="0" w:line="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from our Insurance segment increased $253.4 million to $284.8 million in 2019 from $31.4 million in 2018, or 808%, due to the QuoteWizard acquisition, completed on October 31, 2018. As a result, we do not expect revenue in our Insurance segment to increase at the rate experienced in 2019.</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Home segment includes the following products: purchase mortgage, refinance mortgage, home equity loans and lines of credit, reverse mortgage loans, and real estate. Revenue from our Home segment decreased $41.2 million in 2019 from 2018, or 13%, primarily due to decreases in our purchase mortgage, home equity loans and lines of credit and reverse mortgage products, partially offset by an increase in revenue from our refinance mortgage product. The revenue from our purchase mortgage, home equity loans and lines of credit and reverse mortgage products decreased $33.2 million, $8.8 million and $6.7 million, respectively, in 2019 from 2018, due to decreases in the number of consumers completing request forms as well as a decrease in revenue earned per consumer. The revenue from our refinance mortgage product increased $7.6 million in 2019 from 2018 primarily due to an increase in the number of consumers completing request forms as a result of more consumers seeking refinancing in a period of declining interest rates, partially offset by a decrease in revenue earned per consumer. We expect growth in revenue in our Home segment.</w:t>
      </w:r>
    </w:p>
    <w:p>
      <w:pPr>
        <w:spacing w:after="0" w:line="1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Other category includes revenue from the resale of online advertising space to third parties and revenue from home improvement referrals. Revenue in the Other category increased $10.1 million, primarily from the resale of online advertising space to third parties, partially offset by the decrease in revenue from home improvement referrals. Revenue from our Other category will decrease significantly in 2020, as effective in the first quarter of 2019, we no longer offer home improvement referrals and effective in the first quarter of 2020, we will no longer resell online advertising space.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in 2019 from 2018, primarily due to increases of $13.9 million for the cost of resold advertising space, $10.9 million in compensation and benefits as a result of increases in headcount, $3.8 million in website network hosting and server fees, $1.1 million in credit card fees and $1.0 million in call center technology. We expect a decrease in cost of revenue in 2020 as effective in the first quarter of 2020, we will no longer resell online advertising space.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increased to 6% in 2019 compared to 5% in 2018 due to the items above.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increases in selling and marketing expense in 2019 compared to 2018 was primarily due to increases in advertising and promotional expense of $218.2 million, as discussed below. In addition, selling and marketing expense increased in 2019 compared to 2018 due to an increase in compensation and benefits of $16.7 million as a result of increases in headcount.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4"/>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2420" w:type="dxa"/>
            <w:vAlign w:val="bottom"/>
            <w:gridSpan w:val="2"/>
          </w:tcPr>
          <w:p>
            <w:pPr>
              <w:jc w:val="right"/>
              <w:ind w:right="833"/>
              <w:spacing w:after="0"/>
              <w:rPr>
                <w:sz w:val="20"/>
                <w:szCs w:val="20"/>
                <w:color w:val="auto"/>
              </w:rPr>
            </w:pPr>
            <w:r>
              <w:rPr>
                <w:rFonts w:ascii="Arial" w:cs="Arial" w:eastAsia="Arial" w:hAnsi="Arial"/>
                <w:sz w:val="16"/>
                <w:szCs w:val="16"/>
                <w:b w:val="1"/>
                <w:bCs w:val="1"/>
                <w:color w:val="auto"/>
              </w:rPr>
              <w:t>2019 vs. 2018</w:t>
            </w:r>
          </w:p>
        </w:tc>
      </w:tr>
      <w:tr>
        <w:trPr>
          <w:trHeight w:val="3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734"/>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53"/>
              <w:spacing w:after="0"/>
              <w:rPr>
                <w:sz w:val="20"/>
                <w:szCs w:val="20"/>
                <w:color w:val="auto"/>
              </w:rPr>
            </w:pPr>
            <w:r>
              <w:rPr>
                <w:rFonts w:ascii="Arial" w:cs="Arial" w:eastAsia="Arial" w:hAnsi="Arial"/>
                <w:sz w:val="16"/>
                <w:szCs w:val="16"/>
                <w:b w:val="1"/>
                <w:bCs w:val="1"/>
                <w:color w:val="auto"/>
              </w:rPr>
              <w:t>%</w:t>
            </w: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494"/>
              <w:spacing w:after="0"/>
              <w:rPr>
                <w:sz w:val="20"/>
                <w:szCs w:val="20"/>
                <w:color w:val="auto"/>
              </w:rPr>
            </w:pPr>
            <w:r>
              <w:rPr>
                <w:rFonts w:ascii="Arial" w:cs="Arial" w:eastAsia="Arial" w:hAnsi="Arial"/>
                <w:sz w:val="16"/>
                <w:szCs w:val="16"/>
                <w:b w:val="1"/>
                <w:bCs w:val="1"/>
                <w:color w:val="auto"/>
                <w:w w:val="95"/>
              </w:rPr>
              <w:t>Change</w:t>
            </w:r>
          </w:p>
        </w:tc>
        <w:tc>
          <w:tcPr>
            <w:tcW w:w="1260" w:type="dxa"/>
            <w:vAlign w:val="bottom"/>
          </w:tcPr>
          <w:p>
            <w:pPr>
              <w:jc w:val="right"/>
              <w:ind w:right="373"/>
              <w:spacing w:after="0"/>
              <w:rPr>
                <w:sz w:val="20"/>
                <w:szCs w:val="20"/>
                <w:color w:val="auto"/>
              </w:rPr>
            </w:pPr>
            <w:r>
              <w:rPr>
                <w:rFonts w:ascii="Arial" w:cs="Arial" w:eastAsia="Arial" w:hAnsi="Arial"/>
                <w:sz w:val="16"/>
                <w:szCs w:val="16"/>
                <w:b w:val="1"/>
                <w:bCs w:val="1"/>
                <w:color w:val="auto"/>
              </w:rPr>
              <w:t>Change</w:t>
            </w:r>
          </w:p>
        </w:tc>
      </w:tr>
      <w:tr>
        <w:trPr>
          <w:trHeight w:val="3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6"/>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653,739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453,066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200,673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20,972</w:t>
            </w: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5,974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14,998</w:t>
            </w:r>
          </w:p>
        </w:tc>
        <w:tc>
          <w:tcPr>
            <w:tcW w:w="12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13,469</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2,561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688,180</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469,948</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218,232</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34"/>
        </w:trPr>
        <w:tc>
          <w:tcPr>
            <w:tcW w:w="5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increased our advertising expenditures in 2019 compared to 2018 in order to generate additional consumer inquiries to meet the increased demand of Network Partners on our marketplace. We will continue to adjust selling and marketing expenditures dynamically in relation to anticipated revenue opportunities.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 increased in 2019 compared to 2018, primarily due to increases in compensation and benefits of $8.7 million as a result of increases in headcount. General and administrative expense also increased due to increases in facilities expense of $4.4 million and technology expense of $4.3 million, partially offset by a decrease in professional fees of $4.5 million. General and administrative expense in 2018 includes a charge of $1.6 million due to the write-off of certain fixed assets. The increase in general and administrative expense in 2019 compared to 2018 is also partially offset by a $2.7 million gain on the sale of two office buildings in Charlotte, North Carolina.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decreased to 11% in 2019 compared to 13% in 2018.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Product development expense increased in 2019 compared to 2018 as we continued to invest in internal development of new and enhanced features, functionality and business opportunities that we believe will enable us to better and more fully serve consumers and lenders.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depreciation expense in 2019 compared to 2018 was primarily the result of higher investment in internally developed software in recent years, to support the growth of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amortization of intangibles in 2019 compared to 2018 was primarily due to intangible assets associated with our business acquisitions in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2019, we recorded an aggregate of $28.4 million of contingent consideration expense due to adjustments in the estimated fair value of the earnout payments related to our recent acquisitions. For 2019, the contingent consideration expense for the QuoteWizard and SnapCap acquisitions were $27.1 million and $2.2 million, respectively. This was partially offset by a contingent consideration gain for the DepositAccounts acquisition of $1.0 million.</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we recorded an aggregate of $10.8 million of contingent consideration expense due to adjustments in the estimated fair value of the earnout payments related to our recent acquisitions. For 2018, the contingent consideration expense for the CompareCards, DepositAccounts, Ovation and QuoteWizard acquisitions were $0.7 million, $2.0 million, $1.6 million and $6.8 million, respectively. This was partially offset by a contingent consideration gain for the SnapCap acquisition of $0.3 million.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95"/>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2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3"/>
          </w:tcPr>
          <w:p>
            <w:pPr>
              <w:jc w:val="right"/>
              <w:ind w:right="433"/>
              <w:spacing w:after="0"/>
              <w:rPr>
                <w:sz w:val="20"/>
                <w:szCs w:val="20"/>
                <w:color w:val="auto"/>
              </w:rPr>
            </w:pPr>
            <w:r>
              <w:rPr>
                <w:rFonts w:ascii="Arial" w:cs="Arial" w:eastAsia="Arial" w:hAnsi="Arial"/>
                <w:sz w:val="16"/>
                <w:szCs w:val="16"/>
                <w:i w:val="1"/>
                <w:iCs w:val="1"/>
                <w:color w:val="auto"/>
                <w:w w:val="96"/>
              </w:rPr>
              <w:t>(in thousands, except percentages)</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8,479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65,575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(27.4)%</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(149.9)%</w:t>
            </w:r>
          </w:p>
        </w:tc>
      </w:tr>
      <w:tr>
        <w:trPr>
          <w:trHeight w:val="27"/>
        </w:trPr>
        <w:tc>
          <w:tcPr>
            <w:tcW w:w="8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2019, the effective tax rate varied from the federal statutory rate of 21% primarily due to the benefit derived from excess tax deductions from the vesting of restricted stock and exercise of stock options of $17.1 million, including state taxes and the benefit of the expected 2019 federal research and development tax credit of $3.5 million, offset by expense due to incremental valuation allowance on state net operating losses of $3.9 million, primarily due to state legislative changes.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2018, the effective tax rate varied from the federal statutory rate of 21% primarily due to the benefit derived from excess tax deductions from the vesting of restricted stock and exercise of stock options of $77.6 million, including state taxes.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 and the recognition of a $4.5 million gain upon deconsolidation in the third quarter of 2019. In addition, LendingTree recognized a loss of $31.0 million in the third quarter of 2019 as a result of a settlement offer to HLC after it filed for bankruptcy related to LendingTree LLC's ownership in HLC.</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20—Discontinued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2320" w:type="dxa"/>
            <w:vAlign w:val="bottom"/>
            <w:gridSpan w:val="2"/>
          </w:tcPr>
          <w:p>
            <w:pPr>
              <w:jc w:val="right"/>
              <w:ind w:right="715"/>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653"/>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5"/>
        </w:trPr>
        <w:tc>
          <w:tcPr>
            <w:tcW w:w="5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3"/>
                <w:szCs w:val="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3"/>
                <w:szCs w:val="3"/>
                <w:color w:val="auto"/>
              </w:rPr>
            </w:pPr>
          </w:p>
        </w:tc>
        <w:tc>
          <w:tcPr>
            <w:tcW w:w="114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3"/>
          </w:tcPr>
          <w:p>
            <w:pPr>
              <w:jc w:val="right"/>
              <w:ind w:right="873"/>
              <w:spacing w:after="0"/>
              <w:rPr>
                <w:sz w:val="20"/>
                <w:szCs w:val="20"/>
                <w:color w:val="auto"/>
              </w:rPr>
            </w:pPr>
            <w:r>
              <w:rPr>
                <w:rFonts w:ascii="Arial" w:cs="Arial" w:eastAsia="Arial" w:hAnsi="Arial"/>
                <w:sz w:val="14"/>
                <w:szCs w:val="14"/>
                <w:b w:val="1"/>
                <w:bCs w:val="1"/>
                <w:i w:val="1"/>
                <w:iCs w:val="1"/>
                <w:color w:val="auto"/>
              </w:rPr>
              <w:t>(Dollars 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(1,580)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213,185</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187,724</w:t>
            </w:r>
          </w:p>
        </w:tc>
        <w:tc>
          <w:tcPr>
            <w:tcW w:w="300" w:type="dxa"/>
            <w:vAlign w:val="bottom"/>
          </w:tcPr>
          <w:p>
            <w:pPr>
              <w:spacing w:after="0"/>
              <w:rPr>
                <w:sz w:val="21"/>
                <w:szCs w:val="21"/>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25,461</w:t>
            </w: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114,639</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11,358</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103,281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1,373</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1,354</w:t>
            </w:r>
          </w:p>
        </w:tc>
        <w:tc>
          <w:tcPr>
            <w:tcW w:w="300" w:type="dxa"/>
            <w:vAlign w:val="bottom"/>
          </w:tcPr>
          <w:p>
            <w:pPr>
              <w:spacing w:after="0"/>
              <w:rPr>
                <w:sz w:val="21"/>
                <w:szCs w:val="21"/>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19</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5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432,318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305,137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127,181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See Note 21—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Home segment profit remained relatively consistent, primarily due to a decrease in revenue generally offset by corresponding decreases in selling and marketing expense.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segment profit increased $25.5 million during 2019, primarily due to an increase in revenue partially offset by a corresponding increase in selling and marketing expense in the current period for online advertising. Additionally, selling and marketing expenses in our Consumer segment increased as a percentage of revenue in 2019 compared to 2018.</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Insurance segment profit increased $103.3 million during 2019, primarily due to the QuoteWizard acquisition completed on October 31, 2018.</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2" w:lineRule="auto"/>
        <w:tabs>
          <w:tab w:leader="none" w:pos="2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net income from continuing operations to Adjusted EBITDA.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39,460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109,319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55,241</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10,998</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loss on impairments and disposal of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52,167</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28,402</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20,271</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Rental amortization of intangibles and depreciation</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198,201</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153,496</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on fiscal 2017 results and similar comparisons,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Management's Discussion and Analysis of Financial Condition and Results of Operations—Financial Position, Liquidity and Capital Resources of our Form 10-K for the fiscal year ended December 31,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had $60.2 million of cash and cash equivalents, compared to $105.1 million of cash and cash equivalents as of December 31,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Notable transactions affecting cash and cash equivalents during the reported periods are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we purchased an aggregate of 22,731 shares of our common stock pursuant to a stock repurchase program for $5.5 million.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2019, we completed the sale of two office buildings in Charlotte, North Carolina to an unrelated third party for a sale price of $24.4 million. We received proceeds of $24.1 million, net of closing fees of $0.3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2019, we acquired ValuePenguin for $106.2 million in cash. The acquisition was funded through $90.0 million drawn on our 2017 Revolving Credit Facility and the balance using cash on hand.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we paid down $140.0 million on our 2017 Revolving Credit Facility.</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2019, we made contingent consideration payments of $3.0 million, $3.0 million, $4.4 million and $23.4 million related to the prior acquisitions of SnapCap, DepositAccounts, Ovation and QuoteWizard,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we purchased an aggregate of 379,449 shares of our common stock pursuant to a stock repurchase program for $92.6 million. Additionally, we paid $1.1 million in the first quarter of 2018 related to common stock repurchases in the fourth quarter of 2017.</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2018, we acquired QuoteWizard for $299.9 million in cash and potential contingent consideration payments of up to $70.2 million through October 2021, subject to achieving specific targets. The acquisition was funded through $125.0 million drawn on our 2017 Revolving Credit Facility and the balance using cash on hand.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2018, we acquired Student Loan Hero for $62.7 million in cash.</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June 2018, we acquired Ovation for $12.1 million in cash and could make potential future contingent consideration payments of up to $8.75 million through June 2020, subject to achieving specified targets.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2018, we made contingent consideration payments of $45.0 million and $4.0 million related to the prior acquisitions of CompareCards and DepositAccounts, respectively.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2020, we paid down $25.0 million on our Amended Revolving Credit Facility.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2020, we made a contingent consideration payment of $3.0 million related to the prior acquisition of SnapCap. We could make additional potential contingent consideration payments of up to $1.0 million for DepositAccounts, $3.0 million for SnapCap, $4.4 million for Ovation, and $46.8 million for QuoteWizard.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As of February 26, 2020, we have $50.0 million of borrowings and a $0.2 million letter of credit under the Amended Revolving Credit Facility. The remaining borrowing capacity at February 26, 2020 is $449.8 million.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Amended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in the notes to the consolidated financial statements included elsewhere in this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196"/>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56"/>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157,174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123,948</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(101,060)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(383,038)</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(87,678)</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4,843</w:t>
            </w:r>
          </w:p>
        </w:tc>
      </w:tr>
      <w:tr>
        <w:trPr>
          <w:trHeight w:val="20"/>
        </w:trPr>
        <w:tc>
          <w:tcPr>
            <w:tcW w:w="8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2019 from 2018 primarily due to an increase in revenue, partially offset by an increase in selling and marketing expense, and $12.5 million portion of earnout payments made in excess of the contingent consideration liability recognized at the acquisition date. Additionally, there was a net decrease in cash from changes in working capital primarily driven by changes in accounts payable, accrued expenses and other current liabilities and accounts receivable.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2019 of $101.1 million consisted primarily of the acquisition of ValuePenguin for $105.6 million, net of cash acquired, and capital expenditures of $20.0 million primarily related to internally developed software. This was partially offset by proceeds of $24.1 million on the sale of two office buildings, net of closing expenses.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2018 of $383.0 million consisted primarily of the acquisitions, net of cash acquired, of QuoteWizard for $297.1 million, Student Loan Hero for $59.5 million and Ovation for $11.6 million, as well as capital expenditures of $14.9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2019 of $87.7 million consisted primarily of $50.0 million of net repayments on our 2017 Revolving Credit Facility, $21.3 million of aggregate contingent consideration payments for the prior acquisitions of SnapCap, Ovation and QuoteWizard, $5.5 million for the repurchase of our stock, and $8.4 million in withholding taxes paid upon surrender of shares to satisfy obligations on equity awards, net of proceeds from the exercise of stock options.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financing activities attributable to continuing operations in 2018 of $4.8 million consisted primarily of $125.0 million of net proceeds from our 2017 Revolving Credit Facility, partially offset by $27.6 million of aggregate contingent consideration payments for the prior acquisitions of CompareCards, DepositAccounts and SimpleTuition, and $93.7 million for the repurchase of our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15—Commitments to the consolidated financial statements included elsewhere in the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w w:val="99"/>
              </w:rPr>
              <w:t>Payments Due By Period as of December 31, 2019</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25"/>
                <w:szCs w:val="25"/>
                <w:b w:val="1"/>
                <w:bCs w:val="1"/>
                <w:color w:val="auto"/>
                <w:vertAlign w:val="superscript"/>
              </w:rPr>
              <w:t>(a)</w:t>
            </w:r>
          </w:p>
        </w:tc>
        <w:tc>
          <w:tcPr>
            <w:tcW w:w="340" w:type="dxa"/>
            <w:vAlign w:val="bottom"/>
          </w:tcPr>
          <w:p>
            <w:pPr>
              <w:spacing w:after="0"/>
              <w:rPr>
                <w:sz w:val="13"/>
                <w:szCs w:val="13"/>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3"/>
                <w:szCs w:val="13"/>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11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contractual obligations </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176,980</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15,312</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43,019</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17,400</w:t>
            </w:r>
          </w:p>
        </w:tc>
        <w:tc>
          <w:tcPr>
            <w:tcW w:w="2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101,249</w:t>
            </w: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299,991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299,991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508,738</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23,372</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354,239</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26,067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105,060</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potential obligations under surety bonds. Excludes a $2.1 million accrual related to uncertain tax position, as we are unable to determine when, or if, payments for these taxes will ultimately be made.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and office equipment.</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liability of $33.5 million for the estimated fair value of contingent consideration obligations reflected on the balance sheet for the acquisitions of SnapCap, Ovation and QuoteWizard. Actual contingent consideration payments could range from zero to $1.0 million for DepositAccounts, $3.0 million to $6.0 million for SnapCap, zero to $4.4 million for Ovation, and zero to $46.8 million for QuoteWizard. Also includes $143.5 million of certain other commitments.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13—Income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At December 31, 2019, 2018 and 2017, we recorded a partial valuation allowance of $4.1 million, $2.2 million and $2.7 million, respectively, primarily related to state net operating losses, which we do not expect to be able to utilize prior to expiration.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forms of stock-based awards granted to our employees are principally restricted stock units ("RSUs"), RSUs with performance conditions, stock options and stock options with performance conditions.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is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12—Stock-Based Compensation to the consolidated financial statements included elsewhere in this report for additional information on assumptions and inputs to the fair value determination of stock-based awards.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Goodwill Impairment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quantitative test for goodwill impairment is determined using a two-step process. Performing the first step to compare reporting unit fair value with its carrying value using a discounted cash flow ("DCF") analysis requires the exercise of significant judgments, including judgments about appropriate discount rates, perpetual growth rates and the amount and timing of expected future cash flows.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(determined in the same manner as the amount of goodwill recognized in a business combination) with the carrying amount of that goodwill. If the carrying amount of the reporting unit's goodwill exceeds the implied fair value of that goodwill, an impairment loss is recognized in an amount equal to that excess.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goodwill subject to assessment for impairment at December 31, 2019 is $420.1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long-lived assets subject to assessment for impairment is $228.3 million at December 31,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reassess the fair value of contingent consideration quarterly until the contingency is resolved, and changes in the fair value are recorded in operating income in the consolidated statements of operations and comprehensive income.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February 26, 2020, there was $50.0 million borrowed under the Amended Revolving Credit Facility. If the LIBO rate increased by 100-basis points, our annual interest expense would increase by approximately $0.5 million. Increases in the Federal Funds interest rates may also affect potential contingent consideration payments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8—Business Acquisitions—2017 Acquisitions—DepositAccounts.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Arial" w:cs="Arial" w:eastAsia="Arial" w:hAnsi="Arial"/>
                <w:sz w:val="14"/>
                <w:szCs w:val="14"/>
                <w:b w:val="1"/>
                <w:bCs w:val="1"/>
                <w:color w:val="auto"/>
              </w:rPr>
              <w:t>Page</w:t>
            </w:r>
          </w:p>
        </w:tc>
      </w:tr>
      <w:tr>
        <w:trPr>
          <w:trHeight w:val="192"/>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Number</w:t>
            </w: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color w:val="auto"/>
              </w:rPr>
              <w:t>LENDINGTREE, INC. AND SUBSIDIARIES:</w:t>
            </w:r>
          </w:p>
        </w:tc>
        <w:tc>
          <w:tcPr>
            <w:tcW w:w="4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b w:val="1"/>
                <w:bCs w:val="1"/>
                <w:i w:val="1"/>
                <w:iCs w:val="1"/>
                <w:color w:val="0000EE"/>
              </w:rPr>
              <w:t>Report of Independent Registered Public Accounting Firm</w:t>
            </w:r>
          </w:p>
        </w:tc>
        <w:tc>
          <w:tcPr>
            <w:tcW w:w="590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574"/>
        </w:trPr>
        <w:tc>
          <w:tcPr>
            <w:tcW w:w="4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020" w:type="dxa"/>
            <w:vAlign w:val="bottom"/>
            <w:tcBorders>
              <w:bottom w:val="single" w:sz="8" w:color="0000FF"/>
            </w:tcBorders>
            <w:gridSpan w:val="6"/>
          </w:tcPr>
          <w:p>
            <w:pPr>
              <w:spacing w:after="0"/>
              <w:rPr>
                <w:rFonts w:ascii="Arial" w:cs="Arial" w:eastAsia="Arial" w:hAnsi="Arial"/>
                <w:sz w:val="18"/>
                <w:szCs w:val="18"/>
                <w:b w:val="1"/>
                <w:bCs w:val="1"/>
                <w:i w:val="1"/>
                <w:iCs w:val="1"/>
                <w:color w:val="0000FF"/>
                <w:w w:val="85"/>
              </w:rPr>
            </w:pPr>
            <w:hyperlink w:anchor="page56">
              <w:r>
                <w:rPr>
                  <w:rFonts w:ascii="Arial" w:cs="Arial" w:eastAsia="Arial" w:hAnsi="Arial"/>
                  <w:sz w:val="18"/>
                  <w:szCs w:val="18"/>
                  <w:b w:val="1"/>
                  <w:bCs w:val="1"/>
                  <w:i w:val="1"/>
                  <w:iCs w:val="1"/>
                  <w:color w:val="0000FF"/>
                  <w:w w:val="85"/>
                </w:rPr>
                <w:t xml:space="preserve">Consolidated Statements of Operations </w:t>
              </w:r>
            </w:hyperlink>
            <w:r>
              <w:rPr>
                <w:rFonts w:ascii="Arial" w:cs="Arial" w:eastAsia="Arial" w:hAnsi="Arial"/>
                <w:sz w:val="18"/>
                <w:szCs w:val="18"/>
                <w:b w:val="1"/>
                <w:bCs w:val="1"/>
                <w:i w:val="1"/>
                <w:iCs w:val="1"/>
                <w:color w:val="0000FF"/>
                <w:w w:val="85"/>
              </w:rPr>
              <w:t>and Comprehensive Income</w:t>
            </w:r>
          </w:p>
        </w:tc>
        <w:tc>
          <w:tcPr>
            <w:tcW w:w="120" w:type="dxa"/>
            <w:vAlign w:val="bottom"/>
          </w:tcPr>
          <w:p>
            <w:pPr>
              <w:spacing w:after="0"/>
              <w:rPr>
                <w:sz w:val="19"/>
                <w:szCs w:val="19"/>
                <w:color w:val="auto"/>
              </w:rPr>
            </w:pPr>
          </w:p>
        </w:tc>
        <w:tc>
          <w:tcPr>
            <w:tcW w:w="5900" w:type="dxa"/>
            <w:vAlign w:val="bottom"/>
            <w:gridSpan w:val="2"/>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50"/>
        </w:trPr>
        <w:tc>
          <w:tcPr>
            <w:tcW w:w="340" w:type="dxa"/>
            <w:vAlign w:val="bottom"/>
          </w:tcPr>
          <w:p>
            <w:pPr>
              <w:spacing w:after="0"/>
              <w:rPr>
                <w:sz w:val="21"/>
                <w:szCs w:val="21"/>
                <w:color w:val="auto"/>
              </w:rPr>
            </w:pPr>
          </w:p>
        </w:tc>
        <w:tc>
          <w:tcPr>
            <w:tcW w:w="2160" w:type="dxa"/>
            <w:vAlign w:val="bottom"/>
            <w:tcBorders>
              <w:bottom w:val="single" w:sz="8" w:color="0000EE"/>
            </w:tcBorders>
          </w:tcPr>
          <w:p>
            <w:pPr>
              <w:spacing w:after="0"/>
              <w:rPr>
                <w:rFonts w:ascii="Arial" w:cs="Arial" w:eastAsia="Arial" w:hAnsi="Arial"/>
                <w:sz w:val="18"/>
                <w:szCs w:val="18"/>
                <w:b w:val="1"/>
                <w:bCs w:val="1"/>
                <w:i w:val="1"/>
                <w:iCs w:val="1"/>
                <w:color w:val="0000EE"/>
                <w:w w:val="84"/>
              </w:rPr>
            </w:pPr>
            <w:hyperlink w:anchor="page57">
              <w:r>
                <w:rPr>
                  <w:rFonts w:ascii="Arial" w:cs="Arial" w:eastAsia="Arial" w:hAnsi="Arial"/>
                  <w:sz w:val="18"/>
                  <w:szCs w:val="18"/>
                  <w:b w:val="1"/>
                  <w:bCs w:val="1"/>
                  <w:i w:val="1"/>
                  <w:iCs w:val="1"/>
                  <w:color w:val="0000EE"/>
                  <w:w w:val="84"/>
                </w:rPr>
                <w:t>Consolidated Balance Sheets</w:t>
              </w:r>
            </w:hyperlink>
          </w:p>
        </w:tc>
        <w:tc>
          <w:tcPr>
            <w:tcW w:w="2980" w:type="dxa"/>
            <w:vAlign w:val="bottom"/>
            <w:gridSpan w:val="6"/>
          </w:tcPr>
          <w:p>
            <w:pPr>
              <w:spacing w:after="0"/>
              <w:rPr>
                <w:sz w:val="21"/>
                <w:szCs w:val="21"/>
                <w:color w:val="auto"/>
              </w:rPr>
            </w:pPr>
          </w:p>
        </w:tc>
        <w:tc>
          <w:tcPr>
            <w:tcW w:w="590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58">
              <w:r>
                <w:rPr>
                  <w:rFonts w:ascii="Arial" w:cs="Arial" w:eastAsia="Arial" w:hAnsi="Arial"/>
                  <w:sz w:val="18"/>
                  <w:szCs w:val="18"/>
                  <w:b w:val="1"/>
                  <w:bCs w:val="1"/>
                  <w:i w:val="1"/>
                  <w:iCs w:val="1"/>
                  <w:color w:val="0000EE"/>
                </w:rPr>
                <w:t>Consolidated Statements of Shareholders' Equity</w:t>
              </w:r>
            </w:hyperlink>
          </w:p>
        </w:tc>
        <w:tc>
          <w:tcPr>
            <w:tcW w:w="5900" w:type="dxa"/>
            <w:vAlign w:val="bottom"/>
            <w:gridSpan w:val="2"/>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50"/>
        </w:trPr>
        <w:tc>
          <w:tcPr>
            <w:tcW w:w="340" w:type="dxa"/>
            <w:vAlign w:val="bottom"/>
          </w:tcPr>
          <w:p>
            <w:pPr>
              <w:spacing w:after="0"/>
              <w:rPr>
                <w:sz w:val="21"/>
                <w:szCs w:val="21"/>
                <w:color w:val="auto"/>
              </w:rPr>
            </w:pPr>
          </w:p>
        </w:tc>
        <w:tc>
          <w:tcPr>
            <w:tcW w:w="3640" w:type="dxa"/>
            <w:vAlign w:val="bottom"/>
            <w:tcBorders>
              <w:top w:val="single" w:sz="8" w:color="0000EE"/>
            </w:tcBorders>
            <w:gridSpan w:val="4"/>
          </w:tcPr>
          <w:p>
            <w:pPr>
              <w:spacing w:after="0"/>
              <w:rPr>
                <w:rFonts w:ascii="Arial" w:cs="Arial" w:eastAsia="Arial" w:hAnsi="Arial"/>
                <w:sz w:val="18"/>
                <w:szCs w:val="18"/>
                <w:b w:val="1"/>
                <w:bCs w:val="1"/>
                <w:i w:val="1"/>
                <w:iCs w:val="1"/>
                <w:color w:val="0000EE"/>
              </w:rPr>
            </w:pPr>
            <w:hyperlink w:anchor="page59">
              <w:r>
                <w:rPr>
                  <w:rFonts w:ascii="Arial" w:cs="Arial" w:eastAsia="Arial" w:hAnsi="Arial"/>
                  <w:sz w:val="18"/>
                  <w:szCs w:val="18"/>
                  <w:b w:val="1"/>
                  <w:bCs w:val="1"/>
                  <w:i w:val="1"/>
                  <w:iCs w:val="1"/>
                  <w:color w:val="0000EE"/>
                </w:rPr>
                <w:t>Consolidated Statements of Cash Flows</w:t>
              </w:r>
            </w:hyperlink>
          </w:p>
        </w:tc>
        <w:tc>
          <w:tcPr>
            <w:tcW w:w="1500" w:type="dxa"/>
            <w:vAlign w:val="bottom"/>
            <w:gridSpan w:val="3"/>
          </w:tcPr>
          <w:p>
            <w:pPr>
              <w:spacing w:after="0"/>
              <w:rPr>
                <w:sz w:val="21"/>
                <w:szCs w:val="21"/>
                <w:color w:val="auto"/>
              </w:rPr>
            </w:pPr>
          </w:p>
        </w:tc>
        <w:tc>
          <w:tcPr>
            <w:tcW w:w="590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34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61">
              <w:r>
                <w:rPr>
                  <w:rFonts w:ascii="Arial" w:cs="Arial" w:eastAsia="Arial" w:hAnsi="Arial"/>
                  <w:sz w:val="18"/>
                  <w:szCs w:val="18"/>
                  <w:b w:val="1"/>
                  <w:bCs w:val="1"/>
                  <w:i w:val="1"/>
                  <w:iCs w:val="1"/>
                  <w:color w:val="0000EE"/>
                </w:rPr>
                <w:t>Notes to Consolidated Financial Statements</w:t>
              </w:r>
            </w:hyperlink>
          </w:p>
        </w:tc>
        <w:tc>
          <w:tcPr>
            <w:tcW w:w="590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696"/>
        </w:trPr>
        <w:tc>
          <w:tcPr>
            <w:tcW w:w="3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jc w:val="right"/>
              <w:ind w:right="3930"/>
              <w:spacing w:after="0"/>
              <w:rPr>
                <w:sz w:val="20"/>
                <w:szCs w:val="20"/>
                <w:color w:val="auto"/>
              </w:rPr>
            </w:pPr>
            <w:r>
              <w:rPr>
                <w:rFonts w:ascii="Arial" w:cs="Arial" w:eastAsia="Arial" w:hAnsi="Arial"/>
                <w:sz w:val="18"/>
                <w:szCs w:val="18"/>
                <w:color w:val="auto"/>
              </w:rPr>
              <w:t>52</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LendingTree, Inc. and its subsidiaries (the “Company”) as of December 31, 2019 and 2018, and the related consolidated statements of operations and comprehensive income, of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02124"/>
        </w:rPr>
        <w:t>Change in Accounting Principle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02124"/>
        </w:rPr>
        <w:t>As discussed in Note 2 to the consolidated financial statements, the Company changed the manner in which it accounts for leases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ValuePenguin Inc. Content Intangible Asset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8 to the consolidated financial statements, in 2019 the Company acquired Value Holding, Inc., the parent company of ValuePenguin Inc., for a purchase price of $106.2 million, which resulted in $31.6 million of intangible assets being recorded, primarily consisting of the content intangible asset of $26.1 million. The estimated fair value of the content intangible asset was determined using the excess earnings method. Management applied significant judgment in determining the fair value of the content intangible asset, which involved the use of significant assumptions including revenue growth rates, the probability weighting of scenarios, and the discount rate.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ValuePenguin Inc. content intangible asset is a critical audit matter are there was significant judgment by management when developing the fair value measurement of the content intangible asset. This in turn led to a high degree of auditor judgment, subjectivity, and effort in performing procedures and evaluating audit evidence related to management’s significant assumptions, including revenue growth rates, the probability weighting of scenarios, and the discount rate.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the fair value measurement of the content intangible asset, as well as controls over development of the significant assumptions related to the valuation of the content intangible asset, including revenue growth rates, the probability weighting of scenarios, and the discount rate. These procedures also included, among others,</w:t>
      </w:r>
    </w:p>
    <w:p>
      <w:pPr>
        <w:spacing w:after="0" w:line="2" w:lineRule="exact"/>
        <w:rPr>
          <w:sz w:val="20"/>
          <w:szCs w:val="20"/>
          <w:color w:val="auto"/>
        </w:rPr>
      </w:pPr>
    </w:p>
    <w:p>
      <w:pPr>
        <w:jc w:val="both"/>
        <w:ind w:firstLine="8"/>
        <w:spacing w:after="0" w:line="269" w:lineRule="auto"/>
        <w:tabs>
          <w:tab w:leader="none" w:pos="2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reading the purchase agreement, (ii) testing management’s process for estimating the fair value of the content intangible asset, and (iii) evaluating management’s significant assumptions used to estimate the fair value of the content intangible asset. Testing management’s process included evaluating the appropriateness of the excess earnings method and the reasonableness of the significant assumptions, including revenue growth rates, the probability weighting of scenarios and the discount rate. Evaluating the reasonableness of the revenue growth rates and probability weighting of scenarios involved considering the current and historical results of the acquired business, consistency of the revenue growth in previously acquired businesses, and consistency with external market and industry data. Professionals with specialized skill and knowledge were used to assist in the evaluation of the Company’s excess earnings method and certain significant assumptions, including the discount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QuoteWizard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Notes 8 and 17 to the consolidated financial statements, on October 31, 2018 the Company completed the acquisition of QuoteWizard.com, LLC (“QuoteWizard”). During 2019 the Company recorded $27.1 million of contingent consideration expense and as of December 31, 2019, the estimated fair value of the contingent consideration associated with earnout payments totaled $24.4 million. The Company will make payments ranging from zero to $70.2 million based on the achievement of certain defined operating results for QuoteWizard. The estimated fair value of the contingent consideration liability is determined using an option pricing model. Management estimates the fair value of any contingent consideration payments each reporting period using Level 3 unobservable inputs. The significant unobservable inputs used to calculate the fair value of the contingent consideration for QuoteWizard are estimated future cash flows, estimated customer growth rates, and the discount rate.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contingent consideration associated with the QuoteWizard acquisition is a critical audit matter are (i) there was a high degree of auditor judgment and subjectivity in performing procedures and evaluating audit evidence related to the fair value measurement of contingent consideration due to the significant amount of judgment by management when developing the estimate, (ii) significant audit effort was required in assessing the estimated customer growth rates assumption, and (iii) the audit effort involved the use of professionals with specialized skill and knowledge.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contingent consideration, including controls over the fair value measurement of the contingent consideration. These procedures also included, among others, testing management’s process for developing the fair value measurement, evaluating the appropriateness of the option pricing model, and evaluating the reasonableness of the estimated customer growth rates assumption used by management. Evaluating the reasonableness of the estimated customer growth rates involved considering the past performance of the acquired business as well as industry forecasts. Professionals with specialized skill and knowledge were used to assist in the evaluation of the Company’s option pricing model.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4"/>
          </w:tcPr>
          <w:p>
            <w:pPr>
              <w:jc w:val="center"/>
              <w:ind w:left="491"/>
              <w:spacing w:after="0"/>
              <w:rPr>
                <w:sz w:val="20"/>
                <w:szCs w:val="20"/>
                <w:color w:val="auto"/>
              </w:rPr>
            </w:pPr>
            <w:r>
              <w:rPr>
                <w:rFonts w:ascii="Arial" w:cs="Arial" w:eastAsia="Arial" w:hAnsi="Arial"/>
                <w:sz w:val="16"/>
                <w:szCs w:val="16"/>
                <w:b w:val="1"/>
                <w:bCs w:val="1"/>
                <w:color w:val="auto"/>
                <w:w w:val="90"/>
              </w:rPr>
              <w:t>Year Ended December 31,</w:t>
            </w:r>
          </w:p>
        </w:tc>
        <w:tc>
          <w:tcPr>
            <w:tcW w:w="7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20"/>
                <w:szCs w:val="20"/>
                <w:color w:val="auto"/>
              </w:rPr>
            </w:pPr>
          </w:p>
        </w:tc>
        <w:tc>
          <w:tcPr>
            <w:tcW w:w="840" w:type="dxa"/>
            <w:vAlign w:val="bottom"/>
          </w:tcPr>
          <w:p>
            <w:pPr>
              <w:jc w:val="center"/>
              <w:ind w:right="190"/>
              <w:spacing w:after="0"/>
              <w:rPr>
                <w:sz w:val="20"/>
                <w:szCs w:val="20"/>
                <w:color w:val="auto"/>
              </w:rPr>
            </w:pPr>
            <w:r>
              <w:rPr>
                <w:rFonts w:ascii="Arial" w:cs="Arial" w:eastAsia="Arial" w:hAnsi="Arial"/>
                <w:sz w:val="16"/>
                <w:szCs w:val="16"/>
                <w:b w:val="1"/>
                <w:bCs w:val="1"/>
                <w:color w:val="auto"/>
                <w:w w:val="89"/>
              </w:rPr>
              <w:t>2018</w:t>
            </w:r>
          </w:p>
        </w:tc>
        <w:tc>
          <w:tcPr>
            <w:tcW w:w="42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r>
      <w:tr>
        <w:trPr>
          <w:trHeight w:val="189"/>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5"/>
          </w:tcPr>
          <w:p>
            <w:pPr>
              <w:jc w:val="center"/>
              <w:ind w:right="11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1,106,603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764,865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617,736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68,379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36,399</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735,180</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500,291</w:t>
            </w:r>
          </w:p>
        </w:tc>
        <w:tc>
          <w:tcPr>
            <w:tcW w:w="4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432,784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116,847</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101,219</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71,541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39,953</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26,958</w:t>
            </w:r>
          </w:p>
        </w:tc>
        <w:tc>
          <w:tcPr>
            <w:tcW w:w="4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17,925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10,998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7,385</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55,241</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23,468</w:t>
            </w:r>
          </w:p>
        </w:tc>
        <w:tc>
          <w:tcPr>
            <w:tcW w:w="4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12,992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28,402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10,788</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1,026</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2,352</w:t>
            </w:r>
          </w:p>
        </w:tc>
        <w:tc>
          <w:tcPr>
            <w:tcW w:w="4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1,055,875</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708,674</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584,603</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50,728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56,191</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(12,437)</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30,981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43,744</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8,479</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65,575</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(6,291)</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39,460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109,319</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(21,632)</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(12,820)</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(3,840)</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17,828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96,499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15,578</w:t>
            </w:r>
          </w:p>
        </w:tc>
      </w:tr>
      <w:tr>
        <w:trPr>
          <w:trHeight w:val="270"/>
        </w:trPr>
        <w:tc>
          <w:tcPr>
            <w:tcW w:w="79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12,834</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12,504</w:t>
            </w:r>
          </w:p>
        </w:tc>
        <w:tc>
          <w:tcPr>
            <w:tcW w:w="4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11,945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14,619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14,097</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7900" w:type="dxa"/>
            <w:vAlign w:val="bottom"/>
          </w:tcPr>
          <w:p>
            <w:pPr>
              <w:ind w:left="80"/>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6.85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79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30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c>
          <w:tcPr>
            <w:tcW w:w="420" w:type="dxa"/>
            <w:vAlign w:val="bottom"/>
            <w:tcBorders>
              <w:bottom w:val="single" w:sz="8" w:color="999999"/>
            </w:tcBorders>
          </w:tcPr>
          <w:p>
            <w:pPr>
              <w:spacing w:after="0"/>
              <w:rPr>
                <w:sz w:val="2"/>
                <w:szCs w:val="2"/>
                <w:color w:val="auto"/>
              </w:rPr>
            </w:pPr>
          </w:p>
        </w:tc>
        <w:tc>
          <w:tcPr>
            <w:tcW w:w="780" w:type="dxa"/>
            <w:vAlign w:val="bottom"/>
            <w:tcBorders>
              <w:bottom w:val="single" w:sz="8" w:color="999999"/>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w w:val="98"/>
              </w:rPr>
              <w:t>December 31, 2019</w:t>
            </w: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3"/>
              </w:rPr>
              <w:t>December 31, 2018</w:t>
            </w:r>
          </w:p>
        </w:tc>
      </w:tr>
      <w:tr>
        <w:trPr>
          <w:trHeight w:val="156"/>
        </w:trPr>
        <w:tc>
          <w:tcPr>
            <w:tcW w:w="8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330"/>
              <w:spacing w:after="0" w:line="157" w:lineRule="exact"/>
              <w:rPr>
                <w:sz w:val="20"/>
                <w:szCs w:val="20"/>
                <w:color w:val="auto"/>
              </w:rPr>
            </w:pPr>
            <w:r>
              <w:rPr>
                <w:rFonts w:ascii="Arial" w:cs="Arial" w:eastAsia="Arial" w:hAnsi="Arial"/>
                <w:sz w:val="14"/>
                <w:szCs w:val="14"/>
                <w:b w:val="1"/>
                <w:bCs w:val="1"/>
                <w:i w:val="1"/>
                <w:iCs w:val="1"/>
                <w:color w:val="auto"/>
                <w:w w:val="95"/>
              </w:rPr>
              <w:t>(in thousands, except par value</w:t>
            </w:r>
          </w:p>
        </w:tc>
      </w:tr>
      <w:tr>
        <w:trPr>
          <w:trHeight w:val="188"/>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right"/>
              <w:ind w:right="670"/>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60,243</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105,102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$1,466 and $1,143, respectively)</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113,487</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91,072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15,516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16,428</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Assets held for sale (Note 7)</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21,328</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20)</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37"/>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189,426</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234,171</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$17,979 and $13,887,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31,363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420,139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348,347</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181,580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205,699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87,664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79,289</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29,849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 (Note 20)</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7,948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3,266</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947,969</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896,115</w:t>
            </w:r>
          </w:p>
        </w:tc>
      </w:tr>
      <w:tr>
        <w:trPr>
          <w:trHeight w:val="270"/>
        </w:trPr>
        <w:tc>
          <w:tcPr>
            <w:tcW w:w="87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75,000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112,755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93,190</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9,028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11,080</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20)</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31,050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17,609</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230,706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261,953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264,391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250,943</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24,436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26,110</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8,360</w:t>
            </w:r>
          </w:p>
        </w:tc>
      </w:tr>
      <w:tr>
        <w:trPr>
          <w:trHeight w:val="237"/>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545,643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549,907</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15 and 16)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tcPr>
          <w:p>
            <w:pPr>
              <w:ind w:left="180"/>
              <w:spacing w:after="0"/>
              <w:rPr>
                <w:sz w:val="20"/>
                <w:szCs w:val="20"/>
                <w:color w:val="auto"/>
              </w:rPr>
            </w:pPr>
            <w:r>
              <w:rPr>
                <w:rFonts w:ascii="Arial" w:cs="Arial" w:eastAsia="Arial" w:hAnsi="Arial"/>
                <w:sz w:val="18"/>
                <w:szCs w:val="18"/>
                <w:color w:val="auto"/>
                <w:w w:val="90"/>
              </w:rPr>
              <w:t>Common stock $.01 par value; 50,000,000 shares authorized; 15,676,819 and 15,428,351 shares issued, respectively,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and 13,035,501 and 12,809,764 shares outstanding, respectively</w:t>
            </w:r>
          </w:p>
        </w:tc>
        <w:tc>
          <w:tcPr>
            <w:tcW w:w="28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1,177,984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1,134,227</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(592,654)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(610,482)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2,641,318 and 2,618,587 shares,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(183,161)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(177,691)</w:t>
            </w:r>
          </w:p>
        </w:tc>
      </w:tr>
      <w:tr>
        <w:trPr>
          <w:trHeight w:val="237"/>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402,326</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346,208</w:t>
            </w:r>
          </w:p>
        </w:tc>
      </w:tr>
      <w:tr>
        <w:trPr>
          <w:trHeight w:val="27"/>
        </w:trPr>
        <w:tc>
          <w:tcPr>
            <w:tcW w:w="8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947,969</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896,115</w:t>
            </w:r>
          </w:p>
        </w:tc>
      </w:tr>
      <w:tr>
        <w:trPr>
          <w:trHeight w:val="27"/>
        </w:trPr>
        <w:tc>
          <w:tcPr>
            <w:tcW w:w="8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2"/>
                <w:szCs w:val="12"/>
                <w:color w:val="auto"/>
              </w:rPr>
            </w:pPr>
          </w:p>
        </w:tc>
        <w:tc>
          <w:tcPr>
            <w:tcW w:w="12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7"/>
              </w:rPr>
              <w:t>Accumulated</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Paid-in</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of 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i w:val="1"/>
                <w:iCs w:val="1"/>
                <w:color w:val="auto"/>
                <w:w w:val="89"/>
              </w:rPr>
              <w:t>(in thousands)</w:t>
            </w: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231,435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13,955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1,018,010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(722,630)</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(64,085)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15,578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15,578</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23,361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23,361</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(21,000)</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stock options,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1,601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adjustment due to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180"/>
              <w:spacing w:after="0"/>
              <w:rPr>
                <w:sz w:val="20"/>
                <w:szCs w:val="20"/>
                <w:color w:val="auto"/>
              </w:rPr>
            </w:pPr>
            <w:r>
              <w:rPr>
                <w:rFonts w:ascii="Arial" w:cs="Arial" w:eastAsia="Arial" w:hAnsi="Arial"/>
                <w:sz w:val="14"/>
                <w:szCs w:val="14"/>
                <w:color w:val="auto"/>
              </w:rPr>
              <w:t>2016-09</w:t>
            </w: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985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2,287</w:t>
            </w:r>
          </w:p>
        </w:tc>
        <w:tc>
          <w:tcPr>
            <w:tcW w:w="32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(1,302)</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0.625% Convertible Senior Notes,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60,415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60,415</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Convertible note hedge</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(61,500)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(61,500)</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warrants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43,410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43,410</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589</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294,874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1,087,582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(708,354)</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(85,085)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96,499</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96,499</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44,365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44,365</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(92,606)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(92,606)</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stock options,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2,217</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adjustment due to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180"/>
              <w:spacing w:after="0"/>
              <w:rPr>
                <w:sz w:val="20"/>
                <w:szCs w:val="20"/>
                <w:color w:val="auto"/>
              </w:rPr>
            </w:pPr>
            <w:r>
              <w:rPr>
                <w:rFonts w:ascii="Arial" w:cs="Arial" w:eastAsia="Arial" w:hAnsi="Arial"/>
                <w:sz w:val="14"/>
                <w:szCs w:val="14"/>
                <w:color w:val="auto"/>
              </w:rPr>
              <w:t>2014-09</w:t>
            </w: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1,373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1,373</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noncontrolling interest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346,208</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1,134,227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(610,482)</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(177,691)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17,828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17,828</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52,167</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52,167</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(5,470)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(5,470)</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stock options,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(8,406)</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402,326</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1,177,984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(592,654)</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(183,161)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b w:val="1"/>
                <w:bCs w:val="1"/>
                <w:color w:val="auto"/>
              </w:rPr>
              <w:t>Net income and comprehensive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17,828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96,499</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15,578</w:t>
            </w:r>
          </w:p>
        </w:tc>
      </w:tr>
      <w:tr>
        <w:trPr>
          <w:trHeight w:val="216"/>
        </w:trPr>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21,632</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12,820</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3,840</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39,460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109,319</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19,418</w:t>
            </w:r>
          </w:p>
        </w:tc>
      </w:tr>
      <w:tr>
        <w:trPr>
          <w:trHeight w:val="163"/>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Adjustments to reconcile income from continuing operations to net cash provided by operating activities attributable to continuing</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(Gain) loss on impairments and disposal of assets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2,210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840</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23,468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12,992</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10,998</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7,385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7,085</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Rental amortization of intangibles and depreciation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52,167</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44,365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23,361</w:t>
            </w:r>
          </w:p>
        </w:tc>
      </w:tr>
      <w:tr>
        <w:trPr>
          <w:trHeight w:val="209"/>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(6,370)</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28,402</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10,788</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23,931</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1,974</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1,776</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1,032</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Write-off of previously-capitalized debt issuance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12,016</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11,397</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6,385</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ROU asset amortization, offset by change in operating lease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80" w:type="dxa"/>
            <w:vAlign w:val="bottom"/>
          </w:tcPr>
          <w:p>
            <w:pPr>
              <w:ind w:left="160"/>
              <w:spacing w:after="0"/>
              <w:rPr>
                <w:sz w:val="20"/>
                <w:szCs w:val="20"/>
                <w:color w:val="auto"/>
              </w:rPr>
            </w:pPr>
            <w:r>
              <w:rPr>
                <w:rFonts w:ascii="Arial" w:cs="Arial" w:eastAsia="Arial" w:hAnsi="Arial"/>
                <w:sz w:val="14"/>
                <w:szCs w:val="14"/>
                <w:color w:val="auto"/>
              </w:rPr>
              <w:t>Changes in current assets and liabilities: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9"/>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(11,381)</w:t>
            </w:r>
          </w:p>
        </w:tc>
      </w:tr>
      <w:tr>
        <w:trPr>
          <w:trHeight w:val="197"/>
        </w:trPr>
        <w:tc>
          <w:tcPr>
            <w:tcW w:w="7980" w:type="dxa"/>
            <w:vAlign w:val="bottom"/>
          </w:tcPr>
          <w:p>
            <w:pPr>
              <w:ind w:left="28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(3,258)</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(2,985)</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(5,358)</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14,270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31,108</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Current contingent consideration</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(21,912)</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r>
      <w:tr>
        <w:trPr>
          <w:trHeight w:val="197"/>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157,174</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123,948</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103,538</w:t>
            </w:r>
          </w:p>
        </w:tc>
      </w:tr>
      <w:tr>
        <w:trPr>
          <w:trHeight w:val="264"/>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9"/>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(8,040)</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Proceeds from the sale of fixed assets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24,077</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intangible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ValuePenguin, net of cash acquired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(105,578)</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QuoteWizard, net of cash acquired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(297,072)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Student Loan Hero, net of cash acquired</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(59,483)</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Ovation, net of cash acquired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SnapCap</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(11,886)</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DepositAccounts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210"/>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Acquisition of MagnifyMoney, net of cash acquired</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(29,504)</w:t>
            </w:r>
          </w:p>
        </w:tc>
      </w:tr>
      <w:tr>
        <w:trPr>
          <w:trHeight w:val="19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 attributable to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(101,060)</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(383,038)</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(74,435)</w:t>
            </w:r>
          </w:p>
        </w:tc>
      </w:tr>
      <w:tr>
        <w:trPr>
          <w:trHeight w:val="264"/>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related to net-share settlement of stock-based compensation, net of proceeds from exercise of stock options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Contingent consideration payments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(21,275)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(27,588)</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(repayment of) proceeds from revolving credit facility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noncontrolling interest</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(499)</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the issuance of 0.625% Convertible Senior Notes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300,000</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Payment of convertible note hedge transactions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(61,500)</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the sale of warrants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43,410</w:t>
            </w:r>
          </w:p>
        </w:tc>
      </w:tr>
      <w:tr>
        <w:trPr>
          <w:trHeight w:val="197"/>
        </w:trPr>
        <w:tc>
          <w:tcPr>
            <w:tcW w:w="7980" w:type="dxa"/>
            <w:vAlign w:val="bottom"/>
          </w:tcPr>
          <w:p>
            <w:pPr>
              <w:ind w:left="16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(2,518)</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(583)</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(10,486)</w:t>
            </w:r>
          </w:p>
        </w:tc>
      </w:tr>
      <w:tr>
        <w:trPr>
          <w:trHeight w:val="209"/>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(93,704)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(19,901)</w:t>
            </w:r>
          </w:p>
        </w:tc>
      </w:tr>
      <w:tr>
        <w:trPr>
          <w:trHeight w:val="210"/>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financing activities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(87,678)</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4,843</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253,125</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(used in) provided by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(31,564)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(254,247)</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282,228</w:t>
            </w: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197"/>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(13,255)</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w:t>
            </w:r>
          </w:p>
        </w:tc>
      </w:tr>
      <w:tr>
        <w:trPr>
          <w:trHeight w:val="19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used in discontinued operations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(13,255)</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(13,236)</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(4,807)</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cash equivalents, restricted cash, and restricted cash equivalents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(44,819)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(267,483)</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277,421</w:t>
            </w:r>
          </w:p>
        </w:tc>
      </w:tr>
      <w:tr>
        <w:trPr>
          <w:trHeight w:val="21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105,158</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372,641</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95,220</w:t>
            </w:r>
          </w:p>
        </w:tc>
      </w:t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60,339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105,158</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372,641</w:t>
            </w:r>
          </w:p>
        </w:tc>
      </w:tr>
      <w:tr>
        <w:trPr>
          <w:trHeight w:val="284"/>
        </w:trPr>
        <w:tc>
          <w:tcPr>
            <w:tcW w:w="7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additions from tenant improvement allowance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paid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3,593</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Income tax payments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541</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20,359</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refunds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r>
    </w:tbl>
    <w:p>
      <w:pPr>
        <w:sectPr>
          <w:pgSz w:w="11900" w:h="16838" w:orient="portrait"/>
          <w:cols w:equalWidth="0" w:num="1">
            <w:col w:w="11400"/>
          </w:cols>
          <w:pgMar w:left="240" w:top="118" w:right="259" w:bottom="157" w:gutter="0" w:footer="0" w:header="0"/>
        </w:sectPr>
      </w:pPr>
    </w:p>
    <w:bookmarkStart w:id="59" w:name="page60"/>
    <w:bookmarkEnd w:id="59"/>
    <w:p>
      <w:pPr>
        <w:jc w:val="center"/>
        <w:ind w:right="-2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9019"/>
          </w:cols>
          <w:pgMar w:left="1440" w:top="260"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019"/>
          </w:cols>
          <w:pgMar w:left="1440" w:top="260" w:right="1440"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currently the parent of LendingTree, LLC and several companies owned by LendingTree, LLC (collectively, "LendingTree" or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20 </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Certain prior year amounts have been reclassified to conform to current year presentation.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the discussion in Note 2—Significant Accounting Policies for the impact of adopting Accounting Standards Update ("ASU") 2016-18 on the presentation of changes in restricted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is included in revenue if it is probable that a significant future reversal of cumulative revenue under the contract will not occur.</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Revenue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recognition on match fees was not impacted by the adoption of ASC Topic 606 in the first quarter of 2018, as the Company's contractual right to the match fee consideration is contemporaneous with the satisfaction of the performance obligation to deliver a loan request to the customer.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Closing fees are derived from lenders on certain auto loans, business loans, personal loans and student loans when the lender funds a loan with the consumer. Prior to the adoption of ASC Topic 606, closed loan fees were recognized at the time the lender reported the closed loan to the Company, which could be several months after the original request was transmitted.</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Approval fees are derived from credit card issuers when the credit card consumer receives card approval from the credit card issuer. Prior to the adoption of ASC Topic 606, approval fees were recognized at the time the credit card issuer reported the card approval for the consumer to the Company, which is generally within two weeks after the consumer's request was transmitted.</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student loans and credit card approvals. The time between satisfaction of the Company's performance obligation and when the Company's right to consideration becomes unconditional for small business loans is generally less than 27 months.</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45 days or less.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for either party to terminate the contract with less than one year's notice without compensation to either party. These costs are recorded within selling and marketing expense on the consolidated statements of operations and comprehensive income.</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additional information on the adoption of ASC Topic 606,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discussion over ASU 2014-09 in the section titled "Recently Adopted Accounting Pronouncements" within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determines its allowance for doubtful accounts by considering a number of factors, including the length of time accounts receivable are past due, previous loss history and the specific customer's current ability to pay its obligation. Accounts receivable are considered past due when they are outstanding longer than the contractual payment terms. Accounts receivable are written off when management deems them uncollectible.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675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c>
          <w:tcPr>
            <w:tcW w:w="480" w:type="dxa"/>
            <w:vAlign w:val="bottom"/>
          </w:tcPr>
          <w:p>
            <w:pPr>
              <w:spacing w:after="0"/>
              <w:rPr>
                <w:sz w:val="21"/>
                <w:szCs w:val="21"/>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880</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1,466</w:t>
            </w:r>
          </w:p>
        </w:tc>
        <w:tc>
          <w:tcPr>
            <w:tcW w:w="4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1,143</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675</w:t>
            </w:r>
          </w:p>
        </w:tc>
      </w:tr>
      <w:tr>
        <w:trPr>
          <w:trHeight w:val="34"/>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CODM for the purpose of assessing performance and allocating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Property and equipment, including internally-developed software and significant improvements, are recorded at cost less accumulated depreciation. Due to the rapid advancements in technology and evolution of company products, all internally-developed software is written-off at the end of its useful life. Repairs and maintenance and any gains or losses on dispositions are recognized as incurred in current operations.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Asset Category</w:t>
            </w:r>
          </w:p>
        </w:tc>
        <w:tc>
          <w:tcPr>
            <w:tcW w:w="5600" w:type="dxa"/>
            <w:vAlign w:val="bottom"/>
          </w:tcPr>
          <w:p>
            <w:pPr>
              <w:jc w:val="center"/>
              <w:ind w:left="1632"/>
              <w:spacing w:after="0"/>
              <w:rPr>
                <w:sz w:val="20"/>
                <w:szCs w:val="20"/>
                <w:color w:val="auto"/>
              </w:rPr>
            </w:pPr>
            <w:r>
              <w:rPr>
                <w:rFonts w:ascii="Arial" w:cs="Arial" w:eastAsia="Arial" w:hAnsi="Arial"/>
                <w:sz w:val="16"/>
                <w:szCs w:val="16"/>
                <w:b w:val="1"/>
                <w:bCs w:val="1"/>
                <w:color w:val="auto"/>
                <w:w w:val="91"/>
              </w:rPr>
              <w:t>Estimated Useful Lives</w:t>
            </w:r>
          </w:p>
        </w:tc>
      </w:tr>
      <w:tr>
        <w:trPr>
          <w:trHeight w:val="33"/>
        </w:trPr>
        <w:tc>
          <w:tcPr>
            <w:tcW w:w="582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Arial" w:cs="Arial" w:eastAsia="Arial" w:hAnsi="Arial"/>
                <w:sz w:val="18"/>
                <w:szCs w:val="18"/>
                <w:color w:val="auto"/>
                <w:w w:val="89"/>
              </w:rPr>
              <w:t>1 to 5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jc w:val="center"/>
              <w:ind w:left="1652"/>
              <w:spacing w:after="0"/>
              <w:rPr>
                <w:sz w:val="20"/>
                <w:szCs w:val="20"/>
                <w:color w:val="auto"/>
              </w:rPr>
            </w:pPr>
            <w:r>
              <w:rPr>
                <w:rFonts w:ascii="Arial" w:cs="Arial" w:eastAsia="Arial" w:hAnsi="Arial"/>
                <w:sz w:val="18"/>
                <w:szCs w:val="18"/>
                <w:color w:val="auto"/>
                <w:w w:val="90"/>
              </w:rPr>
              <w:t>Lesser of asset life or life of lease</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Arial" w:cs="Arial" w:eastAsia="Arial" w:hAnsi="Arial"/>
                <w:sz w:val="18"/>
                <w:szCs w:val="18"/>
                <w:color w:val="auto"/>
                <w:w w:val="88"/>
              </w:rPr>
              <w:t>7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Aircraft and automobile</w:t>
            </w:r>
          </w:p>
        </w:tc>
        <w:tc>
          <w:tcPr>
            <w:tcW w:w="5600" w:type="dxa"/>
            <w:vAlign w:val="bottom"/>
          </w:tcPr>
          <w:p>
            <w:pPr>
              <w:jc w:val="center"/>
              <w:ind w:left="1632"/>
              <w:spacing w:after="0"/>
              <w:rPr>
                <w:sz w:val="20"/>
                <w:szCs w:val="20"/>
                <w:color w:val="auto"/>
              </w:rPr>
            </w:pPr>
            <w:r>
              <w:rPr>
                <w:rFonts w:ascii="Arial" w:cs="Arial" w:eastAsia="Arial" w:hAnsi="Arial"/>
                <w:sz w:val="18"/>
                <w:szCs w:val="18"/>
                <w:color w:val="auto"/>
                <w:w w:val="88"/>
              </w:rPr>
              <w:t>5 to 10 years</w:t>
            </w:r>
          </w:p>
        </w:tc>
      </w:tr>
      <w:tr>
        <w:trPr>
          <w:trHeight w:val="27"/>
        </w:trPr>
        <w:tc>
          <w:tcPr>
            <w:tcW w:w="582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acquired in business combinations is assigned to the reporting units that are expected to benefit from the combination as of the acquisition date. Goodwill and indefinite-lived intangible assets, consisting of certain trade names and trademarks, are not amortized. Rather, these assets are tested annually for impairment as of October 1, or more frequently upon the occurrence of certain events or substantive changes in circumstances.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quantitative test for 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October 1, 2019, the Company performed the first step of the quantitative goodwill impairment test and found that the fair value of each reporting unit exceeded its carrying amount, indicating no goodwill impairment. The Company changed its operating segments in the fourth quarter of 2019 and accordingly changed its reporting units. At December 31, 2019, the Company performed the first step of the quantitative goodwill impairment test and found that the fair value of each reporting unit exceeded its carrying amount, indicating no goodwill impairment. Results of the October 1, 2019 qualitative annual impairment tests for the indefinite-lived intangible assets indicated that it is not more likely than not that the fair value of the assets were each less than their respective carrying values. Accordingly, no further testing was required.</w:t>
      </w:r>
    </w:p>
    <w:p>
      <w:pPr>
        <w:spacing w:after="0" w:line="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Results of the October 1, 2018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and 2018, the Company performed its review of impairment triggering events for long-lived assets and determined that a triggering event had not occurred.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classifies assets or disposal groups to be sold as held for sale in the period in which all of the following criteria are met: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having the authority to approve the action, commits to a plan to sell the asset or disposal group;</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asset or disposal group is available for immediate sale in its present condition subject only to terms that are usual and customary for sales of such assets or disposal groups;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active program to locate a buyer and other actions required to complete the plan to sell the asset or disposal group have been initiated;</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asset or disposal group is being actively marketed for sale at a price that is reasonable in relation to its current fair value;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Actions required to complete the plan indicate that it is unlikely that significant changes to the plan will be made or that the plan will be withdrawn.</w:t>
      </w:r>
    </w:p>
    <w:p>
      <w:pPr>
        <w:spacing w:after="0" w:line="1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 long-lived asset or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1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82"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122"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3</w:t>
      </w:r>
      <w:r>
        <w:rPr>
          <w:rFonts w:ascii="Arial" w:cs="Arial" w:eastAsia="Arial" w:hAnsi="Arial"/>
          <w:sz w:val="17"/>
          <w:szCs w:val="17"/>
          <w:color w:val="auto"/>
        </w:rPr>
        <w:t>: Unobservable inputs for which there is little or no market data and which require the Company to develop its own assumptions,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best information available under the circumstances, about the assumptions market participants would use in pricing the asset or liability.</w:t>
      </w:r>
    </w:p>
    <w:p>
      <w:pPr>
        <w:spacing w:after="0" w:line="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costs for online advertising resold to third parties, credit scoring fees, credit card fees, website network hosting and server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$688.2 million, $469.9 million and $410.8 million for the years ended December 31, 2019, 2018 and 2017, respectively, and is included in selling and marketing expense on the consolidated statements of operations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2019, 2018 and 2017, the Company followed the incremental or "with" and "without" approach to intraperiod tax allocation for determination of the amount of tax benefit to allocate to continuing operations as prescribed in ASC 740-20-45-7.</w:t>
      </w:r>
    </w:p>
    <w:p>
      <w:pPr>
        <w:spacing w:after="0" w:line="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January 1, 2018, the Company changed the method used to estimate the deduction for prepaid marketing and advertising costs. This change in methodology impacts the timing of the tax deductibility of these related costs. The Company historically estimated these expenses to be deductible if the services were provided within 12 months of payment. Under the proposed method of accounting, the Company will take into account only prepaid marketing and advertising as the Company makes payment for the services to the extent that the payment is due and the services are reasonably expected by the Company to be provided to the applicant within 3 ½-months after the date of payment as authorized by Treas. Reg. §1.461-4(d)(6)(ii). The Company has accounted for this change as a change in accounting method and recorded a cumulative impact of $1.0 million as a deferred tax liability to be recognized over four years.</w:t>
      </w:r>
    </w:p>
    <w:p>
      <w:pPr>
        <w:spacing w:after="0" w:line="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January 1, 2017, the Company changed the method used to estimate the deduction for internally developed software. This change in methodology impacts the timing of the tax deductibility of these related costs. The Company historically capitalized these expenses and amortized them over three years. Under the proposed method of accounting, the Company will treat costs attributable to internally developed software as current expenses and take them into account in full in accordance with Section 5.01(1) of Rev. Proc. 2000-50 and rules similar to those applicable under Section 174(a). The Section 481(a) adjustment is the cumulative difference between the present method and the proposed method of accounting computed as of the first day of the year of change, January 1, 2017 and was reflected in the timely filed income tax return during 2018 related to the period of change.</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accounting for the tax effect of the Tax Cuts and Jobs Act ("TCJA"). SAB 118 provides a measurement period that should not extend beyond one year from the TCJA enactment date for companies to complete the accounting under ASC 740. In accordance with SAB 118, a company must reflect the income tax effects of those aspects of the TCJA for which the accounting under ASC 740 is complete. To the extent that a company's accounting for certain income tax effects of the TCJA is incomplete but it is able to determine a reasonable estimate, it must record a provisional estimate in the financial statements. In accordance with SAB 118, the Company determined that the $9.1 million of the deferred tax expense recorded in connection with the remeasurement of certain deferred tax assets and liabilities was a provisional amount and a reasonable estimate at December 31, 2017.</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the year ended December 31, 2018, the Company finalized the computations of the income tax effects of the Act. As such, in accordance with SAB 118, the Company's accounting for the effects of the Act is complete. The Company did not significantly adjust provisional amounts recorded in 2017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future guidance from the Internal Revenue Service and state tax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forms of stock-based awards granted to LendingTree employees are principally restricted stock units ("RSUs"), RSUs with performance conditions, stock options and stock options with performance conditions.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Forfeitures are recognized when they occur.</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each stock option award without a market condition is estimated using the Black-Scholes option pricing model, while the fair value of an RSU or restricted stock award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generally valued using a Monte Carlo simulation model.</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 comprehensive income, and are classified as a component of operating cash flows within the consolidated statements of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and assumptions related to the determination of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2019,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2019, one network partner accounted for 12% of total consolidated revenue, all of which was recorded within the Insurance segment. No Network Partners accounted for more than 10% of total consolidated revenue for the year ended December 31, 2018. For the year ended December 31, 2017, another network partner accounted for 11% of total consolidated revenue, which was recorded within the Home and Consumer segments.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2018, the FASB issued ASU 2018-07 which simplifies the accounting for nonemployee share-based payments by expanding the scope of ASC Topic 718, Compensation—Stock Compensation, to include share-based payment transactions for acquiring goods and services from nonemployees. Under the new guidance, most of the initial and subsequent measurement for such payments to nonemployees is aligned with the requirements for share-based payments to employees. This ASU is effective for annual and interim reporting periods beginning after December 15, 2018, and early adoption was permitted. Entities must transition to the new guidance through a cumulative-effect adjustment to retained earnings as of the beginning of the fiscal year of adoption. The Company early-adopted this ASU during the second quarter of 2018, with no impact to its consolidated financial statements.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the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The Company adopted this ASU during the first quarter of 2018.</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The retrospective transition method, requiring adjustment to all comparative periods presented, is required. The Company adopted this ASU during the first quarter of 2018. The adoption resulted in an immaterial reclassification of cash outflows from investing activities to operating activities for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4—Cash and Restricted Cash for the reconciliation of cash and cash equivalents and restricted cash reported on the balance sheet to the total of such amounts shown on the statement of cash flows.</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2016, the FASB issued ASU 2016-15 which addresses eight cash flow classification issues, eliminating the diversity in practice. This ASU is effective for annual and interim reporting periods beginning after December 15, 2017.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and there was no adjustment to prior periods. Pursuant to adoption of this ASU, contingent consideration payments made are classified as cash outflows from financing activities up to the amount of the contingent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consideration liability recognized at the acquisition date, and the portion of payments in excess of that initial liability are classified as cash outflows from operating activities.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8—Business Acquisitions for additional information.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Upon adoption, any adjustments were to be reflected as of the beginning of the fiscal year of adoption. The Company adopted this ASU during the first quarter of 2017.</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new standard required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Additionally, the new standard required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has elected the package of practical expedients, which allows the Company to not reassess whether expired or existing contracts contain leases, lease classification for expired or existing leases, and initial direct costs for existing leases. Additionally, the Company has elected an accounting policy to not record short-term leases, which are leases with an initial term of twelve months or fewer, on the balance sheet.</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FASB issued ASU 2014-09 related to revenue recognition. This guidance introduces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Consumer products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Company adopted ASC Topic 606 as of January 1, 2018 using the modified retrospective transition approach. The Company recognized the cumulative effect of initially applying ASC Topic 606 as an adjustment to the opening balance of accumulated deficit. Under this approach, revenue for 2017 is reported in the consolidated statements of operations and comprehensive income on the historical basis, and revenue for 2019 and 2018 is reported in the consolidated statements of operations and comprehensive income under ASC Topic 606.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3—Revenue for additional information.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cumulative effect of the changes made to the consolidated January 1, 2018 balance sheet for the adoption of ASC Topic 606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4"/>
                <w:szCs w:val="14"/>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due to</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ASC Topic 606</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20,156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(708,354)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1,373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(706,981)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is evaluating the impact this ASU will have on its consolidated financial statements and whether to early adopt.</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does not expect this ASU to have a material impact on its consolidated financial statements and will adopt ASU 2018-15 in the first quarter of 2020 using the prospective approach.</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FASB issued ASU 2018-13, which removes, modifies and adds certain disclosure requirements in ASC Topic 820, Fair Value Measurement. This ASU is effective for annual and interim reporting periods beginning after December 15, 2019. Certain amendments must be applied prospectively while others are to be applied on a retrospective basis to all periods presented. The Company will adopt ASU 2018-13 in the first quarter of 2020.</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will adopt ASU 2017-04 in the first quarter of 2020.</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adoption of ASC Topic 326 is not expected to have a material effect on the Company's consolidated financial statements. The Company will adopt ASC Topic 326 as of January 1, 2020, and does not expect a material cumulative effect adjustment to the opening balance of accumulated deficit in the period of adoption.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Year Ended December 31,</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3"/>
        </w:trPr>
        <w:tc>
          <w:tcPr>
            <w:tcW w:w="57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277,935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319,176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340,377</w:t>
            </w: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Credit cards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211,294</w:t>
            </w:r>
          </w:p>
        </w:tc>
        <w:tc>
          <w:tcPr>
            <w:tcW w:w="220" w:type="dxa"/>
            <w:vAlign w:val="bottom"/>
          </w:tcPr>
          <w:p>
            <w:pPr>
              <w:spacing w:after="0"/>
              <w:rPr>
                <w:sz w:val="21"/>
                <w:szCs w:val="21"/>
                <w:color w:val="auto"/>
              </w:rPr>
            </w:pP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165,776</w:t>
            </w:r>
          </w:p>
        </w:tc>
        <w:tc>
          <w:tcPr>
            <w:tcW w:w="5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147,028</w:t>
            </w:r>
          </w:p>
        </w:tc>
      </w:tr>
      <w:tr>
        <w:trPr>
          <w:trHeight w:val="27"/>
        </w:trPr>
        <w:tc>
          <w:tcPr>
            <w:tcW w:w="5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Personal loans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152,729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134,199</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88,244</w:t>
            </w: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Other Consumer</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151,014</w:t>
            </w:r>
          </w:p>
        </w:tc>
        <w:tc>
          <w:tcPr>
            <w:tcW w:w="220" w:type="dxa"/>
            <w:vAlign w:val="bottom"/>
          </w:tcPr>
          <w:p>
            <w:pPr>
              <w:spacing w:after="0"/>
              <w:rPr>
                <w:sz w:val="21"/>
                <w:szCs w:val="21"/>
                <w:color w:val="auto"/>
              </w:rPr>
            </w:pP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95,640</w:t>
            </w:r>
          </w:p>
        </w:tc>
        <w:tc>
          <w:tcPr>
            <w:tcW w:w="5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40,819</w:t>
            </w:r>
          </w:p>
        </w:tc>
      </w:tr>
      <w:tr>
        <w:trPr>
          <w:trHeight w:val="27"/>
        </w:trPr>
        <w:tc>
          <w:tcPr>
            <w:tcW w:w="5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515,037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395,615</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276,091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284,792</w:t>
            </w:r>
          </w:p>
        </w:tc>
        <w:tc>
          <w:tcPr>
            <w:tcW w:w="220" w:type="dxa"/>
            <w:vAlign w:val="bottom"/>
          </w:tcPr>
          <w:p>
            <w:pPr>
              <w:spacing w:after="0"/>
              <w:rPr>
                <w:sz w:val="21"/>
                <w:szCs w:val="21"/>
                <w:color w:val="auto"/>
              </w:rPr>
            </w:pP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31,369</w:t>
            </w:r>
          </w:p>
        </w:tc>
        <w:tc>
          <w:tcPr>
            <w:tcW w:w="5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7"/>
        </w:trPr>
        <w:tc>
          <w:tcPr>
            <w:tcW w:w="5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28,839</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18,705</w:t>
            </w: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w:t>
            </w:r>
          </w:p>
        </w:tc>
      </w:tr>
      <w:tr>
        <w:trPr>
          <w:trHeight w:val="237"/>
        </w:trPr>
        <w:tc>
          <w:tcPr>
            <w:tcW w:w="57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1,106,603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764,865</w:t>
            </w: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617,736</w:t>
            </w:r>
          </w:p>
        </w:tc>
      </w:tr>
      <w:tr>
        <w:trPr>
          <w:trHeight w:val="34"/>
        </w:trPr>
        <w:tc>
          <w:tcPr>
            <w:tcW w:w="5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in the Company's Consumer business was $6.5 million and $4.8 million on December 31, 2019 and 2018, respectively.</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in the Company's Consumer business was $0.6 million and $0.4 million at December 31, 2019 and 2018, respectively. During 2019, the Company recognized revenue of $0.4 million that was included in the contract liability balance at December 31, 2018.</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$4.4 million and $0.7 million in 2019 and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2019</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105,102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60,339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105,158</w:t>
            </w:r>
          </w:p>
        </w:tc>
      </w:tr>
      <w:tr>
        <w:trPr>
          <w:trHeight w:val="648"/>
        </w:trPr>
        <w:tc>
          <w:tcPr>
            <w:tcW w:w="834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7,751</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4,651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3,993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Aircraft and automobile</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2,621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Projects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6,552</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49,342</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37,062</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(17,979)</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(13,887)</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31,363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23,175</w:t>
            </w:r>
          </w:p>
        </w:tc>
      </w:tr>
      <w:tr>
        <w:trPr>
          <w:trHeight w:val="34"/>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Note 7—Assets Held for Sale for property and equipment classified as held for sale during 2018, which were sold to an unrelated third party in 2019.</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Unamortized capitalized software development costs, in service or under development, are $19.9 million and $16.2 million at December 31, 2019 and 2018, respectively. Capitalized software development depreciation expense was $8.6 million, $6.1 million and $5.7 million for the years ended December 31, 2019, 2018 and 2017,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located outside the United States, the Company's country of domicile, were $0.1 million at each of December 31, 2019 and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Goodwill</w:t>
            </w:r>
          </w:p>
        </w:tc>
        <w:tc>
          <w:tcPr>
            <w:tcW w:w="260" w:type="dxa"/>
            <w:vAlign w:val="bottom"/>
          </w:tcPr>
          <w:p>
            <w:pPr>
              <w:spacing w:after="0"/>
              <w:rPr>
                <w:sz w:val="14"/>
                <w:szCs w:val="14"/>
                <w:color w:val="auto"/>
              </w:rPr>
            </w:pPr>
          </w:p>
        </w:tc>
        <w:tc>
          <w:tcPr>
            <w:tcW w:w="1200" w:type="dxa"/>
            <w:vAlign w:val="bottom"/>
          </w:tcPr>
          <w:p>
            <w:pPr>
              <w:jc w:val="right"/>
              <w:ind w:right="153"/>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Goodwill</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Impairment Loss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596,456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11,260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Student Loan Hero</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Acquisition of QuoteWizard</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182,863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831,435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348,347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QuoteWizard</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Acquisition of ValuePenguin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71,739</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2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903,227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53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5"/>
              </w:rPr>
              <w:t xml:space="preserve">The balance of intangible assets, net is as follows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1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10,142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171,438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181,580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205,699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53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Company's goodwill at December 31, 2019 consists of $59.3 million associated with the Home segment, $166.1 million associated with the Consumer segment, and $194.7 million associated with the Insurance segment. Prior to the fourth quarter of 2019, the Company's goodwill was associated with its then one reportable segment. The carrying amount of goodwill increased during the year ended December 31, 2019 primarily due to the acquisition of ValuePenguin and increased during the year ended December 31, 2018 due to the acquisitions of Ovation, Student Loan Hero, and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 —Business Acquisitions for a discussion of the acquisitions and associated goodwill. Results of the annual impairment test as of October 1, 2019 indicated that no impairment had occurred.</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2019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(48,938)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90"/>
              </w:rPr>
              <w:t>13.2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(12,452)</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4.9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(22,467)</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(90,267)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171,438</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0"/>
        </w:trPr>
        <w:tc>
          <w:tcPr>
            <w:tcW w:w="51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24"/>
                <w:szCs w:val="2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24"/>
                <w:szCs w:val="2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90"/>
              </w:rPr>
              <w:t>12.9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80,200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(7,746)</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4.7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24,900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(6,192)</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234,498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(38,941)</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195,557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Note 7—Assets Held for Sale for tenant leases classified as held for sale during 2018, which were sold to an unrelated third party in 2019.</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2019,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582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5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42,738</w:t>
            </w:r>
          </w:p>
        </w:tc>
      </w:tr>
      <w:tr>
        <w:trPr>
          <w:trHeight w:val="27"/>
        </w:trPr>
        <w:tc>
          <w:tcPr>
            <w:tcW w:w="4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5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5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8,602</w:t>
            </w:r>
          </w:p>
        </w:tc>
      </w:tr>
      <w:tr>
        <w:trPr>
          <w:trHeight w:val="27"/>
        </w:trPr>
        <w:tc>
          <w:tcPr>
            <w:tcW w:w="4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5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35,017</w:t>
            </w:r>
          </w:p>
        </w:tc>
      </w:tr>
      <w:tr>
        <w:trPr>
          <w:trHeight w:val="27"/>
        </w:trPr>
        <w:tc>
          <w:tcPr>
            <w:tcW w:w="45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82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171,438</w:t>
            </w:r>
          </w:p>
        </w:tc>
      </w:tr>
      <w:tr>
        <w:trPr>
          <w:trHeight w:val="648"/>
        </w:trPr>
        <w:tc>
          <w:tcPr>
            <w:tcW w:w="4540" w:type="dxa"/>
            <w:vAlign w:val="bottom"/>
            <w:tcBorders>
              <w:top w:val="single" w:sz="8" w:color="auto"/>
            </w:tcBorders>
          </w:tcPr>
          <w:p>
            <w:pPr>
              <w:spacing w:after="0"/>
              <w:rPr>
                <w:sz w:val="24"/>
                <w:szCs w:val="24"/>
                <w:color w:val="auto"/>
              </w:rPr>
            </w:pPr>
          </w:p>
        </w:tc>
        <w:tc>
          <w:tcPr>
            <w:tcW w:w="5380" w:type="dxa"/>
            <w:vAlign w:val="bottom"/>
            <w:tcBorders>
              <w:top w:val="single" w:sz="8" w:color="auto"/>
            </w:tcBorders>
          </w:tcPr>
          <w:p>
            <w:pPr>
              <w:jc w:val="right"/>
              <w:ind w:right="4030"/>
              <w:spacing w:after="0"/>
              <w:rPr>
                <w:sz w:val="20"/>
                <w:szCs w:val="20"/>
                <w:color w:val="auto"/>
              </w:rPr>
            </w:pPr>
            <w:r>
              <w:rPr>
                <w:rFonts w:ascii="Arial" w:cs="Arial" w:eastAsia="Arial" w:hAnsi="Arial"/>
                <w:sz w:val="18"/>
                <w:szCs w:val="18"/>
                <w:color w:val="auto"/>
              </w:rPr>
              <w:t>72</w:t>
            </w: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8—Business Acquisitions for a discussion of the 2019 and 2018 acquisitions and associated intangibles.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7—ASSETS HELD FOR SALE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the Company acquired two office buildings in Charlotte, North Carolina for $23.5 million in cash, which included $0.1 million in acquisition-related costs which were capitalized. The buildings were acquired with the intent to use such buildings as the Company's corporate headquarters and rent any unused space.</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November 2018, the Company's Board of Directors approved a plan to sell the two office buildings. The properties were classified as current assets held for sale in the consolidated balance sheet for December 31, 2018. The Company sold these buildings to an unrelated third party in the second quarter of 2019 for a sale price of $24.4 million, and the Company incurred closing fees of $0.3 million. The Company recognized a gain of $2.7 million on the sale within general and administrative expense in the consolidated statement of operations and comprehensive income. At the time the buildings were classified as held for sale, and at time of sale, they were associated with the Company's then one reportable segment.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Property and equipment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9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Amount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5,818</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14,984</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Site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Computer equipment and capitalized software</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37"/>
        </w:trPr>
        <w:tc>
          <w:tcPr>
            <w:tcW w:w="20" w:type="dxa"/>
            <w:vAlign w:val="bottom"/>
            <w:tcBorders>
              <w:top w:val="single" w:sz="8" w:color="auto"/>
            </w:tcBorders>
          </w:tcPr>
          <w:p>
            <w:pPr>
              <w:spacing w:after="0"/>
              <w:rPr>
                <w:sz w:val="20"/>
                <w:szCs w:val="20"/>
                <w:color w:val="auto"/>
              </w:rPr>
            </w:pPr>
          </w:p>
        </w:tc>
        <w:tc>
          <w:tcPr>
            <w:tcW w:w="9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Total gross property and equipment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22,063</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7"/>
        </w:trPr>
        <w:tc>
          <w:tcPr>
            <w:tcW w:w="20" w:type="dxa"/>
            <w:vAlign w:val="bottom"/>
            <w:tcBorders>
              <w:top w:val="single" w:sz="8" w:color="auto"/>
            </w:tcBorders>
          </w:tcPr>
          <w:p>
            <w:pPr>
              <w:spacing w:after="0"/>
              <w:rPr>
                <w:sz w:val="20"/>
                <w:szCs w:val="20"/>
                <w:color w:val="auto"/>
              </w:rPr>
            </w:pPr>
          </w:p>
        </w:tc>
        <w:tc>
          <w:tcPr>
            <w:tcW w:w="9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20,785</w:t>
            </w:r>
          </w:p>
        </w:tc>
      </w:tr>
      <w:tr>
        <w:trPr>
          <w:trHeight w:val="34"/>
        </w:trPr>
        <w:tc>
          <w:tcPr>
            <w:tcW w:w="2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78"/>
        </w:trPr>
        <w:tc>
          <w:tcPr>
            <w:tcW w:w="20" w:type="dxa"/>
            <w:vAlign w:val="bottom"/>
          </w:tcPr>
          <w:p>
            <w:pPr>
              <w:spacing w:after="0"/>
              <w:rPr>
                <w:sz w:val="24"/>
                <w:szCs w:val="24"/>
                <w:color w:val="auto"/>
              </w:rPr>
            </w:pPr>
          </w:p>
        </w:tc>
        <w:tc>
          <w:tcPr>
            <w:tcW w:w="9900" w:type="dxa"/>
            <w:vAlign w:val="bottom"/>
            <w:gridSpan w:val="2"/>
          </w:tcPr>
          <w:p>
            <w:pPr>
              <w:ind w:left="300"/>
              <w:spacing w:after="0"/>
              <w:rPr>
                <w:sz w:val="20"/>
                <w:szCs w:val="20"/>
                <w:color w:val="auto"/>
              </w:rPr>
            </w:pPr>
            <w:r>
              <w:rPr>
                <w:rFonts w:ascii="Arial" w:cs="Arial" w:eastAsia="Arial" w:hAnsi="Arial"/>
                <w:sz w:val="18"/>
                <w:szCs w:val="18"/>
                <w:color w:val="auto"/>
              </w:rPr>
              <w:t xml:space="preserve">Intangible assets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98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Amount</w:t>
            </w:r>
          </w:p>
        </w:tc>
      </w:tr>
      <w:tr>
        <w:trPr>
          <w:trHeight w:val="275"/>
        </w:trPr>
        <w:tc>
          <w:tcPr>
            <w:tcW w:w="20" w:type="dxa"/>
            <w:vAlign w:val="bottom"/>
          </w:tcPr>
          <w:p>
            <w:pPr>
              <w:spacing w:after="0"/>
              <w:rPr>
                <w:sz w:val="23"/>
                <w:szCs w:val="23"/>
                <w:color w:val="auto"/>
              </w:rPr>
            </w:pPr>
          </w:p>
        </w:tc>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Tenant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961</w:t>
            </w:r>
          </w:p>
        </w:tc>
      </w:tr>
      <w:tr>
        <w:trPr>
          <w:trHeight w:val="237"/>
        </w:trPr>
        <w:tc>
          <w:tcPr>
            <w:tcW w:w="20" w:type="dxa"/>
            <w:vAlign w:val="bottom"/>
          </w:tcPr>
          <w:p>
            <w:pPr>
              <w:spacing w:after="0"/>
              <w:rPr>
                <w:sz w:val="20"/>
                <w:szCs w:val="20"/>
                <w:color w:val="auto"/>
              </w:rPr>
            </w:pPr>
          </w:p>
        </w:tc>
        <w:tc>
          <w:tcPr>
            <w:tcW w:w="9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gross intangible assets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961</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9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20" w:type="dxa"/>
            <w:vAlign w:val="bottom"/>
          </w:tcPr>
          <w:p>
            <w:pPr>
              <w:spacing w:after="0"/>
              <w:rPr>
                <w:sz w:val="20"/>
                <w:szCs w:val="20"/>
                <w:color w:val="auto"/>
              </w:rPr>
            </w:pPr>
          </w:p>
        </w:tc>
        <w:tc>
          <w:tcPr>
            <w:tcW w:w="9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493</w:t>
            </w:r>
          </w:p>
        </w:tc>
      </w:tr>
      <w:tr>
        <w:trPr>
          <w:trHeight w:val="34"/>
        </w:trPr>
        <w:tc>
          <w:tcPr>
            <w:tcW w:w="2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ValuePenguin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purchase price of $106.2 million is comprised of the upfront cash payment of $106.1 million and a $0.1 million post-closing payment for working capital settlement.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7200" w:type="dxa"/>
            <w:vAlign w:val="bottom"/>
            <w:gridSpan w:val="2"/>
          </w:tcPr>
          <w:p>
            <w:pPr>
              <w:jc w:val="right"/>
              <w:ind w:right="2200"/>
              <w:spacing w:after="0"/>
              <w:rPr>
                <w:sz w:val="20"/>
                <w:szCs w:val="20"/>
                <w:color w:val="auto"/>
              </w:rPr>
            </w:pPr>
            <w:r>
              <w:rPr>
                <w:rFonts w:ascii="Arial" w:cs="Arial" w:eastAsia="Arial" w:hAnsi="Arial"/>
                <w:sz w:val="18"/>
                <w:szCs w:val="18"/>
                <w:b w:val="1"/>
                <w:bCs w:val="1"/>
                <w:color w:val="auto"/>
              </w:rPr>
              <w:t>LENDINGTREE, INC. AND SUBSIDIARIES</w:t>
            </w:r>
          </w:p>
        </w:tc>
        <w:tc>
          <w:tcPr>
            <w:tcW w:w="174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7200" w:type="dxa"/>
            <w:vAlign w:val="bottom"/>
            <w:gridSpan w:val="2"/>
          </w:tcPr>
          <w:p>
            <w:pPr>
              <w:jc w:val="right"/>
              <w:ind w:right="1600"/>
              <w:spacing w:after="0"/>
              <w:rPr>
                <w:sz w:val="20"/>
                <w:szCs w:val="20"/>
                <w:color w:val="auto"/>
              </w:rPr>
            </w:pPr>
            <w:r>
              <w:rPr>
                <w:rFonts w:ascii="Arial" w:cs="Arial" w:eastAsia="Arial" w:hAnsi="Arial"/>
                <w:sz w:val="18"/>
                <w:szCs w:val="18"/>
                <w:b w:val="1"/>
                <w:bCs w:val="1"/>
                <w:color w:val="auto"/>
              </w:rPr>
              <w:t>NOTES TO CONSOLIDATED FINANCIAL STATEMENTS</w:t>
            </w:r>
          </w:p>
        </w:tc>
        <w:tc>
          <w:tcPr>
            <w:tcW w:w="1740" w:type="dxa"/>
            <w:vAlign w:val="bottom"/>
          </w:tcPr>
          <w:p>
            <w:pPr>
              <w:spacing w:after="0"/>
              <w:rPr>
                <w:sz w:val="20"/>
                <w:szCs w:val="20"/>
                <w:color w:val="auto"/>
              </w:rPr>
            </w:pPr>
          </w:p>
        </w:tc>
      </w:tr>
      <w:tr>
        <w:trPr>
          <w:trHeight w:val="750"/>
        </w:trPr>
        <w:tc>
          <w:tcPr>
            <w:tcW w:w="24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48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7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6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2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6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31,600</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71,739</w:t>
            </w:r>
          </w:p>
        </w:tc>
      </w:tr>
      <w:tr>
        <w:trPr>
          <w:trHeight w:val="27"/>
        </w:trPr>
        <w:tc>
          <w:tcPr>
            <w:tcW w:w="2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noncurrent assets</w:t>
            </w:r>
          </w:p>
        </w:tc>
        <w:tc>
          <w:tcPr>
            <w:tcW w:w="6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3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7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106,232</w:t>
            </w:r>
          </w:p>
        </w:tc>
      </w:tr>
      <w:tr>
        <w:trPr>
          <w:trHeight w:val="34"/>
        </w:trPr>
        <w:tc>
          <w:tcPr>
            <w:tcW w:w="248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The acquired intangible assets are definite-lived assets consisting of developed technology, content and trademarks and tradenames. The estimated fair values of the developed technology were determined using the cost replacement method, the content was determined using the excess earnings method, and the trademarks and tradenames were determined using the relief from royalty method. The estimated fair value of the intangible assets are based on estimates for content lifecycles, estimates for revenue growth rates, estimates for future cash flows, the probability weighting of scenarios and discount rates, known at the acquisition date, which management believes are reasonable. The fair value of the intangible assets with definite lives is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860" w:type="dxa"/>
            <w:vAlign w:val="bottom"/>
          </w:tcPr>
          <w:p>
            <w:pPr>
              <w:spacing w:after="0"/>
              <w:rPr>
                <w:sz w:val="18"/>
                <w:szCs w:val="18"/>
                <w:color w:val="auto"/>
              </w:rPr>
            </w:pP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6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8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Content</w:t>
            </w:r>
          </w:p>
        </w:tc>
        <w:tc>
          <w:tcPr>
            <w:tcW w:w="148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26,100</w:t>
            </w:r>
          </w:p>
        </w:tc>
        <w:tc>
          <w:tcPr>
            <w:tcW w:w="20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7"/>
        </w:trPr>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480" w:type="dxa"/>
            <w:vAlign w:val="bottom"/>
            <w:tcBorders>
              <w:top w:val="single" w:sz="8" w:color="auto"/>
            </w:tcBorders>
          </w:tcPr>
          <w:p>
            <w:pPr>
              <w:jc w:val="right"/>
              <w:ind w:right="129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31,600</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 years</w:t>
            </w:r>
          </w:p>
        </w:tc>
      </w:tr>
      <w:tr>
        <w:trPr>
          <w:trHeight w:val="34"/>
        </w:trPr>
        <w:tc>
          <w:tcPr>
            <w:tcW w:w="6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goodwill of $71.7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was recorded in the Company’s then one reportable segment. For income tax purposes, the Company accounted for the acquisition as an asset purchase which would indicate the goodwill will be tax deductible.</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Subsequent to the acquisition date, the Company’s consolidated results of operations include the results of the acquired ValuePenguin business. In 2019, the Company’s consolidated results of operations include revenue of $19.8 million attributable to the ValuePenguin business. In the first six months of 2019, net income from continuing operations attributable to the ValuePenguin business was $3.1 million. Due to the integration of the ValuePenguin business subsequent to the acquisition, earnings of the acquired ValuePenguin business beginning in the third quarter of 2019 is impracticable to determine with sufficient accuracy. Acquisition-related costs were $0.1 million in 2019 and are included in general and administrative expense on the consolidated statement of operations and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QuoteWizard</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31, 2018, the Company acquired QuoteWizard.com, LLC ("QuoteWizard"),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paid $299.9 million in initial cash consideration, funded through $174.9 million of cash on hand and $125.0 million drawn on the Company's revolving credit facility, and could make up to three additional earnout payments, each ranging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purchase price of $313.4 million is comprised of the upfront cash payment of $299.9 million, $13.9 million for the estimated fair value of the earnout payments, and a $0.4 million post-closing receipt for working capital settlement.</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2019, the Company paid $23.4 million related to the earnout payment for the period of November 1, 2018 through October 31, 2019, of which $13.9 million is included within cash flows from financing activities and $9.5 million is included within cash flows from operating activities on the consolidated statement of cash flows.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2019, the estimated fair value of the contingent consideration totaled $24.4 million, which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2019 and 2018, the Company recorded $27.1 million and $6.8 million, respectively, of contingent consideration expense in the consolidated statements of operations and comprehensive income due to the change in estimated fair value of the contingent consideration.</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182,896</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313,355</w:t>
            </w:r>
          </w:p>
        </w:tc>
      </w:tr>
      <w:tr>
        <w:trPr>
          <w:trHeight w:val="34"/>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acquired intangible assets are definite-lived assets consisting of developed technology, customer relationships, content and trademarks and tradenames. The estimated fair values of the developed technology were determined using the excess earnings method, the customer relationships were determined using the distributor method, the content was determined using the cost replacement method, and the trademarks and tradenames were determined using the relief from royalty method. The fair value of the intangible assets with definite lives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86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68,900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42,700</w:t>
            </w:r>
          </w:p>
        </w:tc>
        <w:tc>
          <w:tcPr>
            <w:tcW w:w="2000" w:type="dxa"/>
            <w:vAlign w:val="bottom"/>
          </w:tcPr>
          <w:p>
            <w:pPr>
              <w:jc w:val="right"/>
              <w:spacing w:after="0"/>
              <w:rPr>
                <w:sz w:val="20"/>
                <w:szCs w:val="20"/>
                <w:color w:val="auto"/>
              </w:rPr>
            </w:pPr>
            <w:r>
              <w:rPr>
                <w:rFonts w:ascii="Arial" w:cs="Arial" w:eastAsia="Arial" w:hAnsi="Arial"/>
                <w:sz w:val="18"/>
                <w:szCs w:val="18"/>
                <w:color w:val="auto"/>
              </w:rPr>
              <w:t>14.7 years</w:t>
            </w:r>
          </w:p>
        </w:tc>
      </w:tr>
      <w:tr>
        <w:trPr>
          <w:trHeight w:val="27"/>
        </w:trPr>
        <w:tc>
          <w:tcPr>
            <w:tcW w:w="7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Content</w:t>
            </w:r>
          </w:p>
        </w:tc>
        <w:tc>
          <w:tcPr>
            <w:tcW w:w="1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Trademarks and tradenames</w:t>
            </w:r>
          </w:p>
        </w:tc>
        <w:tc>
          <w:tcPr>
            <w:tcW w:w="14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7,800</w:t>
            </w:r>
          </w:p>
        </w:tc>
        <w:tc>
          <w:tcPr>
            <w:tcW w:w="20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
        </w:trPr>
        <w:tc>
          <w:tcPr>
            <w:tcW w:w="7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9"/>
              </w:rPr>
              <w:t>120,400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 years</w:t>
            </w:r>
          </w:p>
        </w:tc>
      </w:tr>
      <w:tr>
        <w:trPr>
          <w:trHeight w:val="27"/>
        </w:trPr>
        <w:tc>
          <w:tcPr>
            <w:tcW w:w="70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recorded goodwill of $182.9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was recorded in the Company’s then one reportable segment. For income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purposes, the acquisition was an asset purchase and the goodwill will be tax deductible. Acquisition-related costs were $4.8 million in 2018 and are included in general and administrative expense on the consolidated statement of operations and comprehensive income.</w:t>
      </w:r>
    </w:p>
    <w:p>
      <w:pPr>
        <w:spacing w:after="0" w:line="11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unaudited pro forma financial results for the years ended December 31, 2018 and 2017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plant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57"/>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9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8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900,978</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701,184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110,015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1,164</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net income from continuing operations in 2018 includes the aggregate after-tax contingent consideration expense associated with the QuoteWizard earnout of $4.9 million. The unaudited pro forma net income from continuing operations for 2017 has been adjusted to include acquisition-related costs of $5.9 million incurred by the Company and QuoteWizard that are directly attributable to the acquisition, which will not have an ongoing impact. Accordingly, these acquisition-related costs have been eliminated from the unaudited pro forma net income from continuing operations for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Loan Hero</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23, 2018, the Company acquired Student Loan Hero, Inc., a personal finance website dedicated to helping student loan borrowers manage their student debt. Student Loan Hero offers current and former students in-depth financial comparison tools, educational resources, and unbiased, personalized advice. The Company made an upfront cash payment of $60.7 million at the closing of the transaction, of which $2.3 million was recognized as severance expense in the Company's consolidated statements of operations and comprehensive income. The purchase price of $60.4 million is comprised of the upfront cash payment of $60.7 million less the $2.3 million recognized as severance expense, and a $2.0 million post-closing payment for working capital settlement.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2018,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19,600</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40,856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(5,467)</w:t>
            </w:r>
          </w:p>
        </w:tc>
      </w:tr>
      <w:tr>
        <w:trPr>
          <w:trHeight w:val="27"/>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60,418</w:t>
            </w:r>
          </w:p>
        </w:tc>
      </w:tr>
      <w:tr>
        <w:trPr>
          <w:trHeight w:val="27"/>
        </w:trPr>
        <w:tc>
          <w:tcPr>
            <w:tcW w:w="9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content, customer relationships and trademarks and tradenames. The estimated fair values of the content was determined using the excess earnings method, the customer relationships were determined using the distributor method and the trademarks and tradenames were determined using the relief from royalty method.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82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Content</w:t>
            </w:r>
          </w:p>
        </w:tc>
        <w:tc>
          <w:tcPr>
            <w:tcW w:w="1520" w:type="dxa"/>
            <w:vAlign w:val="bottom"/>
            <w:tcBorders>
              <w:bottom w:val="single" w:sz="8" w:color="CCEEFF"/>
            </w:tcBorders>
            <w:shd w:val="clear" w:color="auto" w:fill="CCEEFF"/>
          </w:tcPr>
          <w:p>
            <w:pPr>
              <w:jc w:val="right"/>
              <w:ind w:right="13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8"/>
              </w:rPr>
              <w:t>16,100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52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2,500</w:t>
            </w:r>
          </w:p>
        </w:tc>
        <w:tc>
          <w:tcPr>
            <w:tcW w:w="20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7"/>
        </w:trPr>
        <w:tc>
          <w:tcPr>
            <w:tcW w:w="7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520" w:type="dxa"/>
            <w:vAlign w:val="bottom"/>
            <w:tcBorders>
              <w:top w:val="single" w:sz="8" w:color="auto"/>
            </w:tcBorders>
          </w:tcPr>
          <w:p>
            <w:pPr>
              <w:jc w:val="right"/>
              <w:ind w:right="131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19,600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 years</w:t>
            </w:r>
          </w:p>
        </w:tc>
      </w:tr>
      <w:tr>
        <w:trPr>
          <w:trHeight w:val="34"/>
        </w:trPr>
        <w:tc>
          <w:tcPr>
            <w:tcW w:w="7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goodwill of $40.9 million, which represents the excess of the purchase price over the estimated fair value of tangible and intangible assets acquired, net of the liabilities assumed. The goodwill is primarily attributable to Student Loan Hero as a going concern, which represents the ability of the Company to earn a higher return on the collection of assets and business of Student Loan Hero than if those assets and business were to be acquired and managed separately. The benefit of access to the workforce is an additional element of goodwill. The goodwill was recorded in the Company’s then one reportable segment. For income tax purposes, the acquisition was an equity purchase and the goodwill will not be tax deductible. Acquisition-related costs were $0.5 million in 2018 and are included in general and administrative expense on the consolidated statement of operations and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paid $12.2 million in initial cash consideration and could make up to two additional earnout payments, each ranging from zero to $4.4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receipt for working capital settlement.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2019, the Company paid $4.4 million related to the earnout payment for the period of July 1, 2018 through June 30, 2019, which is included within cash flows from financing activities on the consolidated statement of cash flows.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2019, the estimated fair value of the contingent consideration totaled $3.1 million, which is included in 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2018, the Company recorded $1.6 million of contingent consideration expense in the consolidated statements of operations and comprehensive income due to the change in estimated fair value of the contingent consideration.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11,280</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the excess earnings method, the customer relationships were determined using the cost savings method and the trademarks and tradenames were determined using the relief from royalty method.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1,900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recorded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was recorded in the Company’s then one reportable segment. For income tax purposes, the acquisition was an equity purchase and the goodwill will not be tax deductible. Acquisition-related costs were $0.4 million in 2018 and are included in general and administrative expense on the consolidated statement of operations and comprehensive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2017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 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2019, the Company paid $3.0 million related to the earnout payment for the period of October 1, 2017 through September 30, 2018, which is included within cash flows from financing activities on the consolidated statement of 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flows. In January 2020, the Company paid $3.0 million related to the earnout payment for the period of October 1, 2018 through September 30, 2019.</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2019, the estimated fair value of the contingent consideration totaled $5.9 million, which is included in 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2019, 2018 and 2017, the Company recorded contingent consideration expense of $2.2 million, a gain of $0.3 million and expense of $0.7 million, respectively, in the consolidated statements of operations and comprehensive income due to the change in estimated fair value of the contingent consideration.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and other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13,738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18,226</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the cost savings method, the customer relationships were determined using the excess earnings method and the trade name and trademarks were determined using the relief from royalty method.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3,300</w:t>
            </w:r>
          </w:p>
        </w:tc>
        <w:tc>
          <w:tcPr>
            <w:tcW w:w="170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4,300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$13.7 million, which represents the excess of the purchase price over the estimated fair value of the intangible assets acquired. The goodwill is primarily attributable to SnapCap as a going concern which represents the ability of the Company to earn a higher return on the collection of assets and business of SnapCap than if those assets were to be acquired and managed separately. The benefit of access to the workforce is an additional element of goodwill. The goodwill was recorded in the Company’s then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MagnifyMoney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20, 2017, the Company acquired the membership interests of Camino Del Avion (Delaware), LLC, which does business under the name MagnifyMoney (“MagnifyMoney”) for $29.6 million cash consideration at the closing of the transaction. Camino del Avion (Delaware), LLC was immediately merged with and into LendingTree, LLC following such acquisition. MagnifyMoney is a leading consumer-facing media property that offers editorial content, expert commentary, tools and resources to help consumers compare financial products and make informed financial decisions. The Company also acquired an option to purchase an affiliate in India, which provides technology and research support to MagnifyMoney under a services agreement,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an estimated fair value of $0.5 million at any time during the three years after the closing. This purchase option was exercised on December 31, 2018.</w:t>
      </w:r>
    </w:p>
    <w:p>
      <w:pPr>
        <w:spacing w:after="0" w:line="1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the Company issued two key employees of MagnifyMoney restricted stock unit awards for a total of 38,468 shares of Company common stock. In connection with the terms of the purchase option described above, the Company issued a further restricted stock unit award for 19,234 shares to a key employee of technology and research operations in India upon the exercise of the purchase option. The total value of these restricted stock unit awards was $10.0 million on June 20, 2017. Vesting of these restricted stock units was contingent on the basis of performance conditions following the acquisition.</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9,700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7"/>
        </w:trPr>
        <w:tc>
          <w:tcPr>
            <w:tcW w:w="9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29,592</w:t>
            </w:r>
          </w:p>
        </w:tc>
      </w:tr>
      <w:tr>
        <w:trPr>
          <w:trHeight w:val="34"/>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acquired intangible assets are definite-lived assets consisting primarily of content, developed technology, customer relationships and trade name and trademarks. The estimated fair values of the content was determined using the excess earnings method, developed technology was determined using the cost savings method, the customer relationships were determined using the distributor method and the trade name and trademarks were determined using the relief from royalty method.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1,100</w:t>
            </w:r>
          </w:p>
        </w:tc>
        <w:tc>
          <w:tcPr>
            <w:tcW w:w="1700" w:type="dxa"/>
            <w:vAlign w:val="bottom"/>
          </w:tcPr>
          <w:p>
            <w:pPr>
              <w:jc w:val="right"/>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Content</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7,800</w:t>
            </w:r>
          </w:p>
        </w:tc>
        <w:tc>
          <w:tcPr>
            <w:tcW w:w="17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9,700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years</w:t>
            </w:r>
          </w:p>
        </w:tc>
        <w:tc>
          <w:tcPr>
            <w:tcW w:w="0" w:type="dxa"/>
            <w:vAlign w:val="bottom"/>
          </w:tcPr>
          <w:p>
            <w:pPr>
              <w:spacing w:after="0"/>
              <w:rPr>
                <w:sz w:val="1"/>
                <w:szCs w:val="1"/>
                <w:color w:val="auto"/>
              </w:rPr>
            </w:pPr>
          </w:p>
        </w:tc>
      </w:tr>
      <w:tr>
        <w:trPr>
          <w:trHeight w:val="27"/>
        </w:trPr>
        <w:tc>
          <w:tcPr>
            <w:tcW w:w="77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recorded goodwill of $23.8 million, which represents the excess of the purchase price over the estimated fair value of the tangible and intangible assets acquired, net of the liabilities assumed. The goodwill is primarily attributable to MagnifyMoney as a going concern which represents the ability of the Company to earn a higher return on the collection of assets and business of MagnifyMoney than if those assets were to be acquired and managed separately. The benefit of access to the workforce is an additional element of goodwill. The goodwill was recorded in the Company’s then one reportable segment. For income tax purposes, the acquisition was an equity purchase and the goodwill will not be tax deductible. Acquisition-related costs were $0.4 million in 2017 and are included in general and administrative expense on the consolidated statement of operations and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third quarter of 2017, the Company made a payment of $1.0 million associated with a specified increase in the Federal Funds rate in June 2017. In each of the four quarters of 2018, the Company paid $1.0 million associated with specified increases in the Federal Funds rate in December 2017, March 2018, June 2018 and September 2018, respectively, which are included within cash flows from financing activities on the consolidated statement of cash flows, except for an immaterial portion of the fourth quarter payment included within cash flows from operating activities. In the first quarter of 2019, the Company paid $1.0 million associated with a specified increase in the Federal Funds rate in December 2018. In the second quarter of 2019, the Company paid $2.0 million associated with the one-time performance payment based on the net revenue of deposit products during the period of January 1, 2018 through December 31, 2018. The contingent consideration paid in 2019 is included within cash flows from operating activities on the consolidated statement of cash flows.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estimated fair value of the portion of the contingent consideration payments based on increases in interest rates is determined using a scenario approach based on the interest rate forecasts of Federal Open Market Committee participants.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As of December 31, 2019, no liability has been recorded in the accompanying consolidated balance sheet for the remaining contingent consideration payment based on Federal Funds interest rates. Accordingly, during 2019 the Company recorded a gain of $1.0 million in the consolidated statement of operations and comprehensive income due to the change in estimated fair value of the contingent consideration. During each of 2018 and 2017, the Company recorded $2.0 million of contingent consideration expense in the consolidated statement of operations and comprehensive income due to the change in estimated fair value of the contingent consideration.</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19,389</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28,989</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the excess earnings method, the customer relationships were determined using the distributor method and the trade name and trademarks were determined using the relief from royalty method.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5220" w:type="dxa"/>
            <w:vAlign w:val="bottom"/>
            <w:tcBorders>
              <w:bottom w:val="single" w:sz="8" w:color="CCEEFF"/>
            </w:tcBorders>
            <w:gridSpan w:val="2"/>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8,600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Pr>
          <w:p>
            <w:pPr>
              <w:jc w:val="right"/>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3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5220" w:type="dxa"/>
            <w:vAlign w:val="bottom"/>
            <w:tcBorders>
              <w:top w:val="single" w:sz="8" w:color="auto"/>
            </w:tcBorders>
            <w:gridSpan w:val="2"/>
          </w:tcPr>
          <w:p>
            <w:pPr>
              <w:jc w:val="right"/>
              <w:ind w:right="1068"/>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9,600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 years</w:t>
            </w:r>
          </w:p>
        </w:tc>
        <w:tc>
          <w:tcPr>
            <w:tcW w:w="0" w:type="dxa"/>
            <w:vAlign w:val="bottom"/>
          </w:tcPr>
          <w:p>
            <w:pPr>
              <w:spacing w:after="0"/>
              <w:rPr>
                <w:sz w:val="1"/>
                <w:szCs w:val="1"/>
                <w:color w:val="auto"/>
              </w:rPr>
            </w:pPr>
          </w:p>
        </w:tc>
      </w:tr>
      <w:tr>
        <w:trPr>
          <w:trHeight w:val="34"/>
        </w:trPr>
        <w:tc>
          <w:tcPr>
            <w:tcW w:w="38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3820" w:type="dxa"/>
            <w:vAlign w:val="bottom"/>
          </w:tcPr>
          <w:p>
            <w:pPr>
              <w:spacing w:after="0"/>
              <w:rPr>
                <w:sz w:val="24"/>
                <w:szCs w:val="24"/>
                <w:color w:val="auto"/>
              </w:rPr>
            </w:pPr>
          </w:p>
        </w:tc>
        <w:tc>
          <w:tcPr>
            <w:tcW w:w="3960" w:type="dxa"/>
            <w:vAlign w:val="bottom"/>
          </w:tcPr>
          <w:p>
            <w:pPr>
              <w:jc w:val="right"/>
              <w:ind w:right="1890"/>
              <w:spacing w:after="0"/>
              <w:rPr>
                <w:sz w:val="20"/>
                <w:szCs w:val="20"/>
                <w:color w:val="auto"/>
              </w:rPr>
            </w:pPr>
            <w:r>
              <w:rPr>
                <w:rFonts w:ascii="Arial" w:cs="Arial" w:eastAsia="Arial" w:hAnsi="Arial"/>
                <w:sz w:val="18"/>
                <w:szCs w:val="18"/>
                <w:color w:val="auto"/>
              </w:rPr>
              <w:t>81</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$19.4 million, which represents the excess of the purchase price over the estimated fair value of the intangible assets acquired. The goodwill is primarily attributable to DepositAccounts as a going concern which represents the ability of the Company to earn a higher return on the collection of assets and business of DepositAccounts than if those assets were to be acquired and managed separately. The benefit of access to the workforce is an additional element of goodwill. The goodwill was recorded in the Company’s then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results for the years ended December 31, 2019, 2018 and 2017 combine the consolidated results of the Company and DepositAccounts, MagnifyMoney, SnapCap, Ovation, Student Loan Hero, QuoteWizard and ValuePenguin, giving effect to the acquisitions as if the DepositAccounts, MagnifyMoney and SnapCap acquisitions had been completed on January 1, 2016, as if the Ovation, Student Loan Hero and QuoteWizard acquisitions had been completed on January 1, 2017, and as if the ValuePenguin acquisition had been completed on January 1, 2018. This unaudited pro forma financial information is presented for informational purposes only and is not indicative of future operations or results had the acquisitions been completed as of January 1, 2016, 2017 or 2018, or any other date.</w:t>
      </w:r>
    </w:p>
    <w:p>
      <w:pPr>
        <w:spacing w:after="0" w:line="13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unaudited pro forma financial results include adjustments for additional amortization expense based on the fair value of the intangible assets with definite lives and their estimated useful lives. Depreciation expense and interest expense were adjusted for the impact of the QuoteWizard acquisition, as described above, including incremental interest associated with debt issued to finance the acquisition. Interest expense was also adjusted to reflect incremental interest associated with debt issued to finance the ValuePenguin acquisition. The provision for income taxes from continuing operations has been adjusted to reflect taxes on the historical results of operations of DepositAccounts, SnapCap and QuoteWizard. DepositAccounts, SnapCap and QuoteWizard did not pay taxes at the entity level as these entities were limited liability companies whose members elected for them to be taxed as a partnership.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200" w:type="dxa"/>
            <w:vAlign w:val="bottom"/>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1,107,118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934,209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729,370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39,173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104,153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net income from continuing operations in 2019 includes the aggregate after-tax contingent consideration expense associated with the DepositAccounts, SnapCap, Ovation and QuoteWizard earnouts of $21.5 million. The unaudited pro forma net income from continuing operations for 2018 has been adjusted to include acquisition-related costs of $0.6 million incurred by the Company that are directly attributable to the ValuePenguin acquisition, and which will not have an ongoing impact. Accordingly, these acquisition-related costs have been eliminated from the unaudited pro forma net income from continuing operations for 2019.</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unaudited pro forma net income from continuing operations in 2018 includes the aggregate after-tax contingent consideration expense associated with the DepositAccounts, SnapCap, Ovation and QuoteWizard earnouts of $7.2 million. The unaudited pro forma net income from continuing operations for 2017 has been adjusted to include acquisition-related costs of $6.9 million incurred by the Company, Student Loan Hero and QuoteWizard that are directly attributable to the Ovation, Student Loan Hero and QuoteWizard acquisitions, which will not have an ongoing impact. Accordingly, these acquisition-related costs have been eliminated from the unaudited pro forma net income from continuing operations for 2018.</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net income from continuing operations in 2017 includes the aggregate after-tax contingent consideration expense associated with the DepositAccounts and SnapCap earnouts of $1.6 million. Acquisition-related costs of $1.0 million incurred by the Company, DepositAccounts, MagnifyMoney and SnapCap that are directly attributable to the DepositAccounts, MagnifyMoney and SnapCap acquisitions, and which will not have an ongoing impact, have been eliminated from the unaudited pro forma net income from continuing operations for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2019</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60,268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10,540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6,381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6,920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6,913</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6,885</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17,681</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13,746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112,755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93,190</w:t>
            </w:r>
          </w:p>
        </w:tc>
      </w:tr>
      <w:tr>
        <w:trPr>
          <w:trHeight w:val="34"/>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right-of use assets totaling $25.5 million are included in other non-current assets and lease liabilities totaling $28.2 million are included in accrued expenses and other current liabilities and other non-current liabilities in the accompanying balance sheet.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8"/>
              </w:rPr>
              <w:t>Year Ended December 31,</w:t>
            </w:r>
          </w:p>
        </w:tc>
      </w:tr>
      <w:tr>
        <w:trPr>
          <w:trHeight w:val="192"/>
        </w:trPr>
        <w:tc>
          <w:tcPr>
            <w:tcW w:w="9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6,346</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86</w:t>
            </w:r>
          </w:p>
        </w:tc>
      </w:tr>
      <w:tr>
        <w:trPr>
          <w:trHeight w:val="27"/>
        </w:trPr>
        <w:tc>
          <w:tcPr>
            <w:tcW w:w="9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6"/>
        </w:trPr>
        <w:tc>
          <w:tcPr>
            <w:tcW w:w="9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6,432</w:t>
            </w:r>
          </w:p>
        </w:tc>
      </w:tr>
      <w:tr>
        <w:trPr>
          <w:trHeight w:val="432"/>
        </w:trPr>
        <w:tc>
          <w:tcPr>
            <w:tcW w:w="956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Weighted average remaining lease term and discount rate for operating leases are as follows:</w:t>
            </w:r>
          </w:p>
        </w:tc>
        <w:tc>
          <w:tcPr>
            <w:tcW w:w="1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399"/>
        </w:trPr>
        <w:tc>
          <w:tcPr>
            <w:tcW w:w="9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5.0 years</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Supplemental cash flow information related to leases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98"/>
              </w:rPr>
              <w:t>Year Ended December 31,</w:t>
            </w:r>
          </w:p>
        </w:tc>
      </w:tr>
      <w:tr>
        <w:trPr>
          <w:trHeight w:val="192"/>
        </w:trPr>
        <w:tc>
          <w:tcPr>
            <w:tcW w:w="552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50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6,779</w:t>
            </w:r>
          </w:p>
        </w:tc>
      </w:tr>
      <w:tr>
        <w:trPr>
          <w:trHeight w:val="27"/>
        </w:trPr>
        <w:tc>
          <w:tcPr>
            <w:tcW w:w="5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45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21,969</w:t>
            </w:r>
          </w:p>
        </w:tc>
      </w:tr>
      <w:tr>
        <w:trPr>
          <w:trHeight w:val="648"/>
        </w:trPr>
        <w:tc>
          <w:tcPr>
            <w:tcW w:w="5520" w:type="dxa"/>
            <w:vAlign w:val="bottom"/>
          </w:tcPr>
          <w:p>
            <w:pPr>
              <w:spacing w:after="0"/>
              <w:rPr>
                <w:sz w:val="24"/>
                <w:szCs w:val="24"/>
                <w:color w:val="auto"/>
              </w:rPr>
            </w:pPr>
          </w:p>
        </w:tc>
        <w:tc>
          <w:tcPr>
            <w:tcW w:w="4040" w:type="dxa"/>
            <w:vAlign w:val="bottom"/>
          </w:tcPr>
          <w:p>
            <w:pPr>
              <w:jc w:val="right"/>
              <w:ind w:right="367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ind w:left="3940"/>
              <w:spacing w:after="0"/>
              <w:rPr>
                <w:sz w:val="20"/>
                <w:szCs w:val="20"/>
                <w:color w:val="auto"/>
              </w:rPr>
            </w:pPr>
            <w:r>
              <w:rPr>
                <w:rFonts w:ascii="Arial" w:cs="Arial" w:eastAsia="Arial" w:hAnsi="Arial"/>
                <w:sz w:val="18"/>
                <w:szCs w:val="18"/>
                <w:b w:val="1"/>
                <w:bCs w:val="1"/>
                <w:color w:val="auto"/>
              </w:rPr>
              <w:t>LENDINGTREE, INC. AND SUBSIDIARIES</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9360" w:type="dxa"/>
            <w:vAlign w:val="bottom"/>
          </w:tcPr>
          <w:p>
            <w:pPr>
              <w:ind w:left="336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94"/>
        </w:trPr>
        <w:tc>
          <w:tcPr>
            <w:tcW w:w="9360" w:type="dxa"/>
            <w:vAlign w:val="bottom"/>
          </w:tcPr>
          <w:p>
            <w:pPr>
              <w:ind w:left="340"/>
              <w:spacing w:after="0"/>
              <w:rPr>
                <w:sz w:val="20"/>
                <w:szCs w:val="20"/>
                <w:color w:val="auto"/>
              </w:rPr>
            </w:pPr>
            <w:r>
              <w:rPr>
                <w:rFonts w:ascii="Arial" w:cs="Arial" w:eastAsia="Arial" w:hAnsi="Arial"/>
                <w:sz w:val="18"/>
                <w:szCs w:val="18"/>
                <w:color w:val="auto"/>
              </w:rPr>
              <w:t xml:space="preserve">Maturities of lease liabilities as of December 31,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2"/>
        </w:trPr>
        <w:tc>
          <w:tcPr>
            <w:tcW w:w="93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5,731</w:t>
            </w: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2023</w:t>
            </w: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5,191</w:t>
            </w: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2024</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3,811</w:t>
            </w:r>
          </w:p>
        </w:tc>
      </w:tr>
      <w:tr>
        <w:trPr>
          <w:trHeight w:val="27"/>
        </w:trPr>
        <w:tc>
          <w:tcPr>
            <w:tcW w:w="9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31,767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3,524</w:t>
            </w:r>
          </w:p>
        </w:tc>
      </w:tr>
      <w:tr>
        <w:trPr>
          <w:trHeight w:val="27"/>
        </w:trPr>
        <w:tc>
          <w:tcPr>
            <w:tcW w:w="9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Present value of lease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28,243</w:t>
            </w:r>
          </w:p>
        </w:tc>
      </w:tr>
      <w:tr>
        <w:trPr>
          <w:trHeight w:val="27"/>
        </w:trPr>
        <w:tc>
          <w:tcPr>
            <w:tcW w:w="9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Rental expense for all operating leases, except those with terms of a month or less that were not renewed, charged to continuing operations was $3.4 million in 2018 and $2.0 million in 2017, which is included in general and administrative expense in the consolidated statements of operations and comprehensive income.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operated as a lessor in connection with the office buildings in Charlotte, North Carolina acquired in December 2016. The properties were sold in 2019 to an unrelated third party.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7—Assets Held for Sale for further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Rental income of $0.3 million, $0.9 million and $1.6 million in 2019, 2018, and 2017 respectively, is included in other income on the accompanying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net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94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12,504</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747</w:t>
            </w:r>
          </w:p>
        </w:tc>
        <w:tc>
          <w:tcPr>
            <w:tcW w:w="1940" w:type="dxa"/>
            <w:vAlign w:val="bottom"/>
          </w:tcPr>
          <w:p>
            <w:pPr>
              <w:jc w:val="right"/>
              <w:ind w:right="415"/>
              <w:spacing w:after="0"/>
              <w:rPr>
                <w:sz w:val="20"/>
                <w:szCs w:val="20"/>
                <w:color w:val="auto"/>
              </w:rPr>
            </w:pPr>
            <w:r>
              <w:rPr>
                <w:rFonts w:ascii="Arial" w:cs="Arial" w:eastAsia="Arial" w:hAnsi="Arial"/>
                <w:sz w:val="18"/>
                <w:szCs w:val="18"/>
                <w:color w:val="auto"/>
              </w:rPr>
              <w:t>1,043</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1,626</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153</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871</w:t>
            </w:r>
          </w:p>
        </w:tc>
        <w:tc>
          <w:tcPr>
            <w:tcW w:w="1940" w:type="dxa"/>
            <w:vAlign w:val="bottom"/>
          </w:tcPr>
          <w:p>
            <w:pPr>
              <w:jc w:val="right"/>
              <w:ind w:right="415"/>
              <w:spacing w:after="0"/>
              <w:rPr>
                <w:sz w:val="20"/>
                <w:szCs w:val="20"/>
                <w:color w:val="auto"/>
              </w:rPr>
            </w:pPr>
            <w:r>
              <w:rPr>
                <w:rFonts w:ascii="Arial" w:cs="Arial" w:eastAsia="Arial" w:hAnsi="Arial"/>
                <w:sz w:val="18"/>
                <w:szCs w:val="18"/>
                <w:color w:val="auto"/>
              </w:rPr>
              <w:t>397</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14,097</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13,682</w:t>
            </w:r>
          </w:p>
        </w:tc>
      </w:tr>
      <w:tr>
        <w:trPr>
          <w:trHeight w:val="27"/>
        </w:trPr>
        <w:tc>
          <w:tcPr>
            <w:tcW w:w="70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years ended December 31, 2019, 2018 and 2017, the weighted average shares that were anti-dilutive, and therefore excluded from the calculation of diluted income per share, included options to purchase 0.1 million, 0.4 million and 0.1 million shares of common stock, respectively.</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0.625% Convertible Senior Notes due June 1, 2022 and the warrants issued by the Company in 2017 could be converted into the Company’s common stock, subject to certain contingencies.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14—Debt for additional information. Shares of the Company’s common stock associated with these instruments were excluded from the calculation of diluted income per share during 2017 as they were anti-dilutive since the conversion price of the Convertible Senior Notes and the strike price of the warrants were greater than the average market price of the Company’s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12—Stock-Based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years ended December 31, 2019, 2018 and 2017, the Company purchased 22,731, 379,449 and 75,393 shares, respectively, of its common stock for aggregate consideration of $5.5 million, $92.6 million and $21.0 million, respectively. At December 31, 2019, $179.7 million remains authorized for share repurchase.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currently has two active plans, the Sixth Amended and Restated LendingTree 2008 Stock and Annual Incentive Plan (the "Equity Award Plan") and the LendingTree 2017 Inducement Grant Plan (the "Inducement Plan"), under which future awards may be granted, which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6.1 million and 0.5 million shares, respectively, of LendingTree common stock to employees, and, under the Equity Award Plan only, to non-employee consultants and directors.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Equity Award Plan and Inducement Plan each have a stated term of ten years and provide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7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5,785</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3,568</w:t>
            </w:r>
          </w:p>
        </w:tc>
        <w:tc>
          <w:tcPr>
            <w:tcW w:w="4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34,325</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6,450</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6,094</w:t>
            </w:r>
          </w:p>
        </w:tc>
        <w:tc>
          <w:tcPr>
            <w:tcW w:w="4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2,339</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52,167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44,365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23,361</w:t>
            </w:r>
          </w:p>
        </w:tc>
      </w:tr>
      <w:tr>
        <w:trPr>
          <w:trHeight w:val="27"/>
        </w:trPr>
        <w:tc>
          <w:tcPr>
            <w:tcW w:w="7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years ended December 31, 2019, 2018 and 2017, the Company recognized $12.2 million, $11.2 million and $9.5 million of income tax benefit related to non-cash compensation. Additionally, for the years ended December 31, 2019, 2018 and 2017, the Company recognized $17.1 million, $77.6 million and $12.9 million, respectively, of excess tax benefit, including state taxes, in income tax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 regarding excess tax benefits and deficiencies.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940,533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65.12</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43,704</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323.82</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(167,686)</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52.08</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(38,680)</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318.36</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777,871</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69.87</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4.28</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182,809</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668,976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39.73</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3.61</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176,710</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$303.44 on the last trading day of 2019 and the exercise price, multiplied by the number of shares covered by in-the-money options) that would have been received by the option holder had the option holder exercised these options on December 31, 2019. The intrinsic value changes based on the market value of the Company's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was approximately $10.5 million of unrecognized compensation cost related to stock options. These costs are expected to be recognized over a weighted-average period of approximately 2.2 years.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exercise, the intrinsic value represents the pre-tax difference between the Company's closing stock price on the exercise date and the exercise price, multiplied by the number of stock options exercised. During the years ended December 31, 2019, 2018 and 2017, the total intrinsic value of stock options that were exercised was $50.2 million, $268.3 million and $27.7 million, respectively. Cash received from stock option exercises and the related actual tax benefit realized were $8.7 million and $11.9 million, respectively, for the year ended December 31, 2019.</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2019, 2018 and 2017, the Company granted stock options with a weighted average grant date fair value per share of $167.10, $150.55 and $105.15, respectively, of which the vesting periods include (a) immediately upon grant, (b) one year from the grant date, (c) 50% over a period of two years from the grant date, (d) 33% over a period of three years from the grant date, and (e) certain grants to executive officers that vest over periods of up to five and a half years.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Year Ended December 31,</w:t>
            </w:r>
          </w:p>
        </w:tc>
        <w:tc>
          <w:tcPr>
            <w:tcW w:w="14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920" w:type="dxa"/>
            <w:vAlign w:val="bottom"/>
          </w:tcPr>
          <w:p>
            <w:pPr>
              <w:spacing w:after="0"/>
              <w:rPr>
                <w:sz w:val="18"/>
                <w:szCs w:val="18"/>
                <w:color w:val="auto"/>
              </w:rPr>
            </w:pPr>
          </w:p>
        </w:tc>
        <w:tc>
          <w:tcPr>
            <w:tcW w:w="16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2000" w:type="dxa"/>
            <w:vAlign w:val="bottom"/>
          </w:tcPr>
          <w:p>
            <w:pPr>
              <w:jc w:val="right"/>
              <w:ind w:right="813"/>
              <w:spacing w:after="0"/>
              <w:rPr>
                <w:sz w:val="20"/>
                <w:szCs w:val="20"/>
                <w:color w:val="auto"/>
              </w:rPr>
            </w:pPr>
            <w:r>
              <w:rPr>
                <w:rFonts w:ascii="Arial" w:cs="Arial" w:eastAsia="Arial" w:hAnsi="Arial"/>
                <w:sz w:val="16"/>
                <w:szCs w:val="16"/>
                <w:b w:val="1"/>
                <w:bCs w:val="1"/>
                <w:color w:val="auto"/>
              </w:rPr>
              <w:t>2018</w:t>
            </w: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33"/>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5.00 - 6.25 years</w:t>
            </w:r>
          </w:p>
        </w:tc>
        <w:tc>
          <w:tcPr>
            <w:tcW w:w="2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5.00 - 6.71 years</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5.00 - 7.00 years</w:t>
            </w: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- 55%</w:t>
            </w:r>
          </w:p>
        </w:tc>
        <w:tc>
          <w:tcPr>
            <w:tcW w:w="2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50% - 53%</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 - 52%</w:t>
            </w:r>
          </w:p>
        </w:tc>
      </w:tr>
      <w:tr>
        <w:trPr>
          <w:trHeight w:val="270"/>
        </w:trPr>
        <w:tc>
          <w:tcPr>
            <w:tcW w:w="492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16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1.46% - 2.55 %</w:t>
            </w:r>
          </w:p>
        </w:tc>
        <w:tc>
          <w:tcPr>
            <w:tcW w:w="2000" w:type="dxa"/>
            <w:vAlign w:val="bottom"/>
            <w:tcBorders>
              <w:bottom w:val="single" w:sz="8" w:color="999999"/>
            </w:tcBorders>
          </w:tcPr>
          <w:p>
            <w:pPr>
              <w:jc w:val="right"/>
              <w:ind w:right="233"/>
              <w:spacing w:after="0"/>
              <w:rPr>
                <w:sz w:val="20"/>
                <w:szCs w:val="20"/>
                <w:color w:val="auto"/>
              </w:rPr>
            </w:pPr>
            <w:r>
              <w:rPr>
                <w:rFonts w:ascii="Arial" w:cs="Arial" w:eastAsia="Arial" w:hAnsi="Arial"/>
                <w:sz w:val="18"/>
                <w:szCs w:val="18"/>
                <w:color w:val="auto"/>
              </w:rPr>
              <w:t>2.33% - 3.06%</w:t>
            </w:r>
          </w:p>
        </w:tc>
        <w:tc>
          <w:tcPr>
            <w:tcW w:w="1460" w:type="dxa"/>
            <w:vAlign w:val="bottom"/>
            <w:tcBorders>
              <w:bottom w:val="single" w:sz="8" w:color="999999"/>
            </w:tcBorders>
          </w:tcPr>
          <w:p>
            <w:pPr>
              <w:jc w:val="right"/>
              <w:ind w:right="12"/>
              <w:spacing w:after="0"/>
              <w:rPr>
                <w:sz w:val="20"/>
                <w:szCs w:val="20"/>
                <w:color w:val="auto"/>
              </w:rPr>
            </w:pPr>
            <w:r>
              <w:rPr>
                <w:rFonts w:ascii="Arial" w:cs="Arial" w:eastAsia="Arial" w:hAnsi="Arial"/>
                <w:sz w:val="18"/>
                <w:szCs w:val="18"/>
                <w:color w:val="auto"/>
              </w:rPr>
              <w:t>1.74% - 2.24%</w:t>
            </w:r>
          </w:p>
        </w:tc>
      </w:tr>
    </w:tbl>
    <w:p>
      <w:pPr>
        <w:spacing w:after="0" w:line="148" w:lineRule="exact"/>
        <w:rPr>
          <w:sz w:val="20"/>
          <w:szCs w:val="20"/>
          <w:color w:val="auto"/>
        </w:rPr>
      </w:pPr>
    </w:p>
    <w:p>
      <w:pPr>
        <w:jc w:val="both"/>
        <w:ind w:left="90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2019, 2018 and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years ended December 31, 2019, 2018 and 2017, the total fair value of options vested was $6.9 million, $11.4 million and $4.1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Performance</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37,877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308.90</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(37,877)</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308.90</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5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0.00</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0.00</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stock options with performance conditions were granted in 2019 or 2018. During 2017, the Company granted stock options with performance conditions with a weighted average grant date fair value per share of $152.45, of which vesting periods range from 1.2 years to 2.2 years, pending the attainment of certain performance targets set at the time of grant. The performance measurement period ended on December 31, 2019. The performance conditions associated with this grant were not met, and the performance-based nonqualified stock options were not earned. No compensation cost associated with these options has been recorded.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32"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2300" w:type="dxa"/>
            <w:vAlign w:val="bottom"/>
          </w:tcPr>
          <w:p>
            <w:pPr>
              <w:jc w:val="right"/>
              <w:ind w:right="673"/>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7700" w:type="dxa"/>
            <w:vAlign w:val="bottom"/>
          </w:tcPr>
          <w:p>
            <w:pPr>
              <w:spacing w:after="0"/>
              <w:rPr>
                <w:sz w:val="18"/>
                <w:szCs w:val="18"/>
                <w:color w:val="auto"/>
              </w:rPr>
            </w:pPr>
          </w:p>
        </w:tc>
        <w:tc>
          <w:tcPr>
            <w:tcW w:w="2300" w:type="dxa"/>
            <w:vAlign w:val="bottom"/>
          </w:tcPr>
          <w:p>
            <w:pPr>
              <w:jc w:val="right"/>
              <w:ind w:right="41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7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4"/>
        </w:trPr>
        <w:tc>
          <w:tcPr>
            <w:tcW w:w="77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2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5.50 - 6.00 years</w:t>
            </w:r>
          </w:p>
        </w:tc>
      </w:tr>
      <w:tr>
        <w:trPr>
          <w:trHeight w:val="270"/>
        </w:trPr>
        <w:tc>
          <w:tcPr>
            <w:tcW w:w="77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23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7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2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r>
      <w:tr>
        <w:trPr>
          <w:trHeight w:val="270"/>
        </w:trPr>
        <w:tc>
          <w:tcPr>
            <w:tcW w:w="77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2300" w:type="dxa"/>
            <w:vAlign w:val="bottom"/>
            <w:tcBorders>
              <w:bottom w:val="single" w:sz="8" w:color="999999"/>
            </w:tcBorders>
          </w:tcPr>
          <w:p>
            <w:pPr>
              <w:jc w:val="right"/>
              <w:ind w:right="13"/>
              <w:spacing w:after="0"/>
              <w:rPr>
                <w:sz w:val="20"/>
                <w:szCs w:val="20"/>
                <w:color w:val="auto"/>
              </w:rPr>
            </w:pPr>
            <w:r>
              <w:rPr>
                <w:rFonts w:ascii="Arial" w:cs="Arial" w:eastAsia="Arial" w:hAnsi="Arial"/>
                <w:sz w:val="18"/>
                <w:szCs w:val="18"/>
                <w:color w:val="auto"/>
              </w:rPr>
              <w:t>2.16% - 2.23%</w:t>
            </w:r>
          </w:p>
        </w:tc>
      </w:tr>
    </w:tbl>
    <w:p>
      <w:pPr>
        <w:spacing w:after="0" w:line="148" w:lineRule="exact"/>
        <w:rPr>
          <w:sz w:val="20"/>
          <w:szCs w:val="20"/>
          <w:color w:val="auto"/>
        </w:rPr>
      </w:pPr>
    </w:p>
    <w:p>
      <w:pPr>
        <w:jc w:val="both"/>
        <w:ind w:left="9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all stock options granted during the year ended December 31,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3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3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93"/>
              </w:rPr>
              <w:t>(in years)</w:t>
            </w:r>
          </w:p>
        </w:tc>
        <w:tc>
          <w:tcPr>
            <w:tcW w:w="26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447,193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200.51</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16,247</w:t>
            </w:r>
          </w:p>
        </w:tc>
        <w:tc>
          <w:tcPr>
            <w:tcW w:w="340" w:type="dxa"/>
            <w:vAlign w:val="bottom"/>
          </w:tcPr>
          <w:p>
            <w:pPr>
              <w:spacing w:after="0"/>
              <w:rPr>
                <w:sz w:val="21"/>
                <w:szCs w:val="21"/>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308.96</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463,440</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204.31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7.67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48,178</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$303.44 on the last trading day of 2019 and the exercise price, multiplied by the number of shares covered by in-the-money options) that would have been received by the option holder had the option holder exercised these options on December 31, 2019. The intrinsic value changes based on the market value of the Company's common stock.</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December 31, 2019, there was approximately $40.5 million of unrecognized compensation cost related to stock options with market conditions. These costs are expected to be recognized over a weighted-average period of approximately 2.8 years. The fair value of the stock options with market conditions will be recognized on a straight-line basis through each grant’s vest date, whether or not any of the total shareholder return targets are met.</w:t>
      </w:r>
    </w:p>
    <w:p>
      <w:pPr>
        <w:spacing w:after="0" w:line="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years ended December 31, 2019, 2018 and 2017, the Company granted stock options with a weighted-average grant date fair value per share of $230.81, $296.80 and $142.45, respectively, which have vest dates of March 31, 2023, March 31, 2022 and September 30, 2022, respectively.</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determining stock-based compensation expense, the weighted-average grant date fair value per share of the stock options with a market condition was estimated using the Monte Carlo simulation model, which requires the use of various key assumptions. The weighted-average assumptions used are as follows:</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40" w:type="dxa"/>
            <w:vAlign w:val="bottom"/>
          </w:tcPr>
          <w:p>
            <w:pPr>
              <w:jc w:val="right"/>
              <w:ind w:right="253"/>
              <w:spacing w:after="0"/>
              <w:rPr>
                <w:sz w:val="20"/>
                <w:szCs w:val="20"/>
                <w:color w:val="auto"/>
              </w:rPr>
            </w:pPr>
            <w:r>
              <w:rPr>
                <w:rFonts w:ascii="Arial" w:cs="Arial" w:eastAsia="Arial" w:hAnsi="Arial"/>
                <w:sz w:val="16"/>
                <w:szCs w:val="16"/>
                <w:b w:val="1"/>
                <w:bCs w:val="1"/>
                <w:color w:val="auto"/>
                <w:w w:val="95"/>
              </w:rPr>
              <w:t>Year Ended December 31,</w:t>
            </w:r>
          </w:p>
        </w:tc>
        <w:tc>
          <w:tcPr>
            <w:tcW w:w="12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2240" w:type="dxa"/>
            <w:vAlign w:val="bottom"/>
          </w:tcPr>
          <w:p>
            <w:pPr>
              <w:jc w:val="right"/>
              <w:ind w:right="993"/>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0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 years</w:t>
            </w:r>
          </w:p>
        </w:tc>
        <w:tc>
          <w:tcPr>
            <w:tcW w:w="2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7.00 - 7.15 years</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 years</w:t>
            </w:r>
          </w:p>
        </w:tc>
      </w:tr>
      <w:tr>
        <w:trPr>
          <w:trHeight w:val="270"/>
        </w:trPr>
        <w:tc>
          <w:tcPr>
            <w:tcW w:w="50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2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70"/>
        </w:trPr>
        <w:tc>
          <w:tcPr>
            <w:tcW w:w="50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1520" w:type="dxa"/>
            <w:vAlign w:val="bottom"/>
            <w:tcBorders>
              <w:bottom w:val="single" w:sz="8" w:color="999999"/>
            </w:tcBorders>
          </w:tcPr>
          <w:p>
            <w:pPr>
              <w:jc w:val="right"/>
              <w:ind w:right="32"/>
              <w:spacing w:after="0"/>
              <w:rPr>
                <w:sz w:val="20"/>
                <w:szCs w:val="20"/>
                <w:color w:val="auto"/>
              </w:rPr>
            </w:pPr>
            <w:r>
              <w:rPr>
                <w:rFonts w:ascii="Arial" w:cs="Arial" w:eastAsia="Arial" w:hAnsi="Arial"/>
                <w:sz w:val="18"/>
                <w:szCs w:val="18"/>
                <w:color w:val="auto"/>
              </w:rPr>
              <w:t>2.54%</w:t>
            </w:r>
          </w:p>
        </w:tc>
        <w:tc>
          <w:tcPr>
            <w:tcW w:w="2240" w:type="dxa"/>
            <w:vAlign w:val="bottom"/>
            <w:tcBorders>
              <w:bottom w:val="single" w:sz="8" w:color="999999"/>
            </w:tcBorders>
          </w:tcPr>
          <w:p>
            <w:pPr>
              <w:jc w:val="right"/>
              <w:ind w:right="253"/>
              <w:spacing w:after="0"/>
              <w:rPr>
                <w:sz w:val="20"/>
                <w:szCs w:val="20"/>
                <w:color w:val="auto"/>
              </w:rPr>
            </w:pPr>
            <w:r>
              <w:rPr>
                <w:rFonts w:ascii="Arial" w:cs="Arial" w:eastAsia="Arial" w:hAnsi="Arial"/>
                <w:sz w:val="18"/>
                <w:szCs w:val="18"/>
                <w:color w:val="auto"/>
              </w:rPr>
              <w:t>2.38% - 2.81%</w:t>
            </w:r>
          </w:p>
        </w:tc>
        <w:tc>
          <w:tcPr>
            <w:tcW w:w="1240" w:type="dxa"/>
            <w:vAlign w:val="bottom"/>
            <w:tcBorders>
              <w:bottom w:val="single" w:sz="8" w:color="999999"/>
            </w:tcBorders>
          </w:tcPr>
          <w:p>
            <w:pPr>
              <w:jc w:val="right"/>
              <w:ind w:right="12"/>
              <w:spacing w:after="0"/>
              <w:rPr>
                <w:sz w:val="20"/>
                <w:szCs w:val="20"/>
                <w:color w:val="auto"/>
              </w:rPr>
            </w:pPr>
            <w:r>
              <w:rPr>
                <w:rFonts w:ascii="Arial" w:cs="Arial" w:eastAsia="Arial" w:hAnsi="Arial"/>
                <w:sz w:val="18"/>
                <w:szCs w:val="18"/>
                <w:color w:val="auto"/>
              </w:rPr>
              <w:t>2.12%</w:t>
            </w:r>
          </w:p>
        </w:tc>
      </w:tr>
    </w:tbl>
    <w:p>
      <w:pPr>
        <w:spacing w:after="0" w:line="148"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during the years ended December 31, 2019, 2018 and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stock options with a market condition granted in 2019 have a target number of shares that vest upon achieving a targeted total shareholder return performance of 81% stock price appreciation and a maximum of 27,132 shares for achieving superior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performance. No shares will vest unless 41% of the targeted performance is achieved. The performance measurement period ends on March 31, 2023.</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of the stock options with a market condition granted in 2018 have a target number of shares that vest upon achieving a targeted total shareholder return performance of 110% stock price appreciation and a maximum of 52,332 shares for achieving superior performance. No shares will vest unless 70% of the targeted performance is achieved. The performance measurement period ends on September 30, 2022. The remaining stock options with a market condition granted in 2018 have a target number of shares that vest upon achieving a targeted total shareholder return performance of 81% stock price appreciation and a maximum of 21,982 shares for achieving superior performance. No shares will vest unless 41% of the targeted performance is achieved. The performance measurement period ends on March 31, 2022.</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stock options with a market condition granted 2017 have a target number of shares that vest upon achieving a targeted total shareholder return performance of 110% stock price appreciation and a maximum of 672,499 shares for achieving superior performance. No shares will vest unless 70% of the targeted performance is achieved. The performance measurement period ends on September 30, 2022.</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all stock options with market conditions, time-based service vesting conditions would also have to be satisfied in order for shares to become fully vested and no longer subject to forfeiture.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stock options with a market condition of 481,669 had been earned, which have a vest date of September 30,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00" w:type="dxa"/>
            <w:vAlign w:val="bottom"/>
          </w:tcPr>
          <w:p>
            <w:pPr>
              <w:spacing w:after="0"/>
              <w:rPr>
                <w:sz w:val="12"/>
                <w:szCs w:val="12"/>
                <w:color w:val="auto"/>
              </w:rPr>
            </w:pPr>
          </w:p>
        </w:tc>
        <w:tc>
          <w:tcPr>
            <w:tcW w:w="16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2018</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201,568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225.48</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62,248</w:t>
            </w:r>
          </w:p>
        </w:tc>
        <w:tc>
          <w:tcPr>
            <w:tcW w:w="2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318.04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(82,020)</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192.89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(36,857)</w:t>
            </w:r>
          </w:p>
        </w:tc>
        <w:tc>
          <w:tcPr>
            <w:tcW w:w="2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287.73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144,939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267.85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grant date fair value per share of the RSUs is calculated as the closing market price of LendingTree's common stock at the time of grant.</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was approximately$24.4 million of unrecognized compensation cost related to RSUs. These costs are expected to be recognized over a weighted-average period of approximately 1.6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that vested during the years ended December 31, 2019, 2018 and 2017 was $27.2 million, $21.8 million and $11.5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2018</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(46,785)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(31,049)</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14,647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RSUs with performance conditions were granted in 2019. During 2018 and 2017, the Company granted RSUs with performance conditions to certain employees, of which vesting periods range from 0.50 years to 4.00 years, pending the attainment of certain performance targets set at the time of grant. The grant date fair value per share of the RSUs with performance conditions is calculated as the closing market price of LendingTree's common stock at the time of grant.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was approximately $2.8 million of unrecognized compensation cost related to RSUs with performance conditions. These costs are expected to be recognized over a weighted-average period of approximately 1.2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with performance conditions that vested during the years ended December 31, 2019, 2018, and 2017 was $18.8 million, $7.9 million, and $0.4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performance conditions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2018</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71,412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(23,804)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47,608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RSAs with performance conditions were granted in 2019 or 2017. During 2018, the Company granted time-vested RSAs with a performance condition to its Chairman and Chief Executive Officer, which vest through December 31, 2021. The terms of this award were fixed in compensation agreements in July 2017 with a total grant date fair value of $21.9 million. The performance condition was tied to the Company's operating results during the first six months of 2018, and has been met.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was approximately $8.7 million of unrecognized compensation cost related to RSAs with performance conditions. These costs are expected to be recognized over a period of approximately 2.0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RSAs with performance conditions that vested during the years ended December 31, 2019 and 2018 was $8.2 million and $13.6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6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2018</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26,674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2019</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26,674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No RSAs with market conditions were granted in 2019 or 2017. During 2018, the Company granted RSAs with market conditions to its Chairman and Chief Executive Officer with a total grant date fair value of $1.9 million. These RSAs with a market condition have a target number of shares that vest upon achieving a targeted total shareholder return performance of 110% stock price appreciation and a maximum of 44,545 shares for achieving superior performance. No shares will vest unless 70% of the targeted performance is achieved. The performance measurement period ends on September 30, 2022. Time-based service vesting conditions would also have to be satisfied in order for shares to become fully vested and no longer subject to forfeiture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there was approximately $1.0 million of unrecognized compensation cost related to RSAs with market conditions. These costs are expected to be recognized over a weighted-average period of approximately 2.8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RSAs with a market condition of 29,601 had been earned, which have a vest date of September 30,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expense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 (benefit):</w:t>
            </w:r>
          </w:p>
        </w:tc>
        <w:tc>
          <w:tcPr>
            <w:tcW w:w="3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10,055</w:t>
            </w: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Current income tax expense (benefit)</w:t>
            </w:r>
          </w:p>
        </w:tc>
        <w:tc>
          <w:tcPr>
            <w:tcW w:w="3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(1,674)</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12,661</w:t>
            </w:r>
          </w:p>
        </w:tc>
      </w:tr>
      <w:tr>
        <w:trPr>
          <w:trHeight w:val="27"/>
        </w:trPr>
        <w:tc>
          <w:tcPr>
            <w:tcW w:w="4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 provision:</w:t>
            </w:r>
          </w:p>
        </w:tc>
        <w:tc>
          <w:tcPr>
            <w:tcW w:w="3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(10,857)</w:t>
            </w: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(44,950)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(18,951)</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income tax benefit</w:t>
            </w:r>
          </w:p>
        </w:tc>
        <w:tc>
          <w:tcPr>
            <w:tcW w:w="3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(8,555)</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(63,901)</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(6,370)</w:t>
            </w:r>
          </w:p>
        </w:tc>
      </w:tr>
      <w:tr>
        <w:trPr>
          <w:trHeight w:val="27"/>
        </w:trPr>
        <w:tc>
          <w:tcPr>
            <w:tcW w:w="4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3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(8,479)</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(65,575)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6,291</w:t>
            </w:r>
          </w:p>
        </w:tc>
      </w:tr>
      <w:tr>
        <w:trPr>
          <w:trHeight w:val="432"/>
        </w:trPr>
        <w:tc>
          <w:tcPr>
            <w:tcW w:w="428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rPr>
              <w:t>91</w:t>
            </w: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 reconciliation of the income tax expense (benefit) to the amounts computed by applying the statutory federal income tax rate to income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9,186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income taxes, net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(14,884)</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deductions on 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(59,601)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Research and experimentation tax credit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(5,794)</w:t>
            </w: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certain state legislation,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Nondeductible executive compensation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4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(release of)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meals &amp; entertainment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Impact of Tax Cuts and Jobs Act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9,062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1,227</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(8,479)</w:t>
            </w:r>
          </w:p>
        </w:tc>
        <w:tc>
          <w:tcPr>
            <w:tcW w:w="4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(65,575)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6,291</w:t>
            </w:r>
          </w:p>
        </w:tc>
      </w:tr>
      <w:tr>
        <w:trPr>
          <w:trHeight w:val="34"/>
        </w:trPr>
        <w:tc>
          <w:tcPr>
            <w:tcW w:w="7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fourth quarter of 2017, LendingTree recorded a net tax expense of $9.1 million related to the enactment of the TCJA. The expense is primarily related to the remeasurement of LendingTree’s deferred tax assets and liabilities considering the TCJA’s enacted tax rates and certain other impacts. Simultaneous with the Act, the SEC Staff released Accounting Bulletin No. 118 ("SAB 118"), which allows the use of provisional amounts (reasonable estimates) if the analysis of the impacts of the Act have not been completed when financial statements are issued. During the fourth quarter of 2018, the Company finalized the computations of the income tax effects of the Act. As such, in accordance with SAB 118, the Company's accounting for the effects of the Act is complete. The Company did not significantly adjust provisional amounts recorded in 2017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the publication of recently proposed U.S. Treasury regulations and guidance from the Internal Revenue Service and state tax authorities.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12,234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Leasing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7,299</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56,450</w:t>
            </w:r>
          </w:p>
        </w:tc>
        <w:tc>
          <w:tcPr>
            <w:tcW w:w="5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59,817</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15,805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limitation</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987</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9,366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6,124</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1,624</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109,889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105,787</w:t>
            </w:r>
          </w:p>
        </w:tc>
        <w:tc>
          <w:tcPr>
            <w:tcW w:w="5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87,176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and other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(1,744)</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Leasing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(10,175)</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deferred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95,612</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81,661</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2019, the adoption of ASC Topic 842 has no material impact to the effective tax rate. Related deferred tax positions are individually disclosed as components of deferred tax as of December 31, 2019.</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December 31, 2019, the Company had pre-tax consolidated federal net operating losses ("NOLs") of $188.2 million. The federal NOLs no longer expire under the new TCJA. The Company's NOLs will be available to offset taxable income subject to the Internal Revenue Code Section 382 annual limitation. In addition, the Company has state NOLs of approximately $484.7 million at December 31, 2019 that will expire at various times between 2021 and 2039.</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87,664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9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7,948</w:t>
            </w:r>
          </w:p>
        </w:tc>
        <w:tc>
          <w:tcPr>
            <w:tcW w:w="5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3,266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7"/>
              </w:rPr>
              <w:t>95,612</w:t>
            </w:r>
          </w:p>
        </w:tc>
        <w:tc>
          <w:tcPr>
            <w:tcW w:w="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81,661</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each reporting date, management considers both positive and negative evidence regarding the likelihood of future realization of the deferred tax assets.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2018 and 2017, the Company recorded a partial valuation allowance of $4.1 million, $2.2 million and $2.7 million, respectively, primarily related to state net operating losses, which the Company does not expect to be able to utilize prior to expiration.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Charges to earnings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1,873</w:t>
            </w: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593</w:t>
            </w:r>
          </w:p>
        </w:tc>
      </w:tr>
      <w:tr>
        <w:trPr>
          <w:trHeight w:val="27"/>
        </w:trPr>
        <w:tc>
          <w:tcPr>
            <w:tcW w:w="7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4,102</w:t>
            </w:r>
          </w:p>
        </w:tc>
        <w:tc>
          <w:tcPr>
            <w:tcW w:w="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2,229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2,694</w:t>
            </w:r>
          </w:p>
        </w:tc>
      </w:tr>
      <w:tr>
        <w:trPr>
          <w:trHeight w:val="27"/>
        </w:trPr>
        <w:tc>
          <w:tcPr>
            <w:tcW w:w="7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1,127</w:t>
            </w:r>
          </w:p>
        </w:tc>
        <w:tc>
          <w:tcPr>
            <w:tcW w:w="10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of the current period</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of the prior period</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1,996</w:t>
            </w:r>
          </w:p>
        </w:tc>
        <w:tc>
          <w:tcPr>
            <w:tcW w:w="10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1,127</w:t>
            </w:r>
          </w:p>
        </w:tc>
      </w:tr>
      <w:tr>
        <w:trPr>
          <w:trHeight w:val="34"/>
        </w:trPr>
        <w:tc>
          <w:tcPr>
            <w:tcW w:w="8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2019, 2018 and 2017 is immaterial.</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2019 and 2018, the accrual for unrecognized tax benefits, including interest, was $2.1 million and $1.2 million, respectively, which would benefit the effective tax rate if recognized. Management also believes that it is reasonably possible that the amount of unrecognized income tax benefits may decrease by $0.6 million within the next twelve months due to settlement of audits and expiration of statutes of limitations.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2019, the Company is subject to a federal income tax examination for the tax years 2014 through 2018. In addition, the Company is subject to state and local tax examinations for the tax years 2014 through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were not entitled to convert the Notes from July 1, 2018 to March 31, 2019. Holders of the Notes became entitled to convert the Notes on April 1, 2019, based on the last reported sales price of the Company's common stock, for at least 20 trading days (whether or not consecutive) during the period of 30 consecutive trading days ending on March 31, 2019, being greater than or equal to 130% of the conversion price of the Notes on each applicable trading day. Holders of the Notes will continue to have such right until March 31, 2020, based on the last reported sales price of the Company's common stock, for at least 20 trading days (whether or not consecutive) during the period of 30 consecutive trading days ending on December 31, 2019, being greater than or equal to 130% of the conversion price of the Notes on each applicable trading day.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2019, the Company recorded interest expense on the Notes of $15.3 million which consisted of $1.9 million associated with the 0.625% coupon rate, $12.0 million associated with the accretion of the debt discount, and $1.4 million associated with the amortization of the debt issuance costs. During 2018, the Company recorded interest expense on the Notes of $14.6 million which consisted of $1.9 million associated with the 0.625% coupon rate, $11.4 million associated with the accretion of the debt discount, and $1.3 million associated with the amortization of the debt issuance costs. During 2017, the Company recorded interest expense on the Notes of $8.2 million which consisted of $1.1 million associated with the 0.625% coupon rate, $6.4 million associated with the accretion of the debt discount, and $0.7 million associated with the amortization of the debt issuance costs. The debt discount is being amortized over the term of the debt.</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fair value of the Notes is estimated to be approximately $469.1 million using the Level 1 observable input of the last quoted market price on December 31, 2019.</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299,991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31,789</w:t>
            </w:r>
          </w:p>
        </w:tc>
        <w:tc>
          <w:tcPr>
            <w:tcW w:w="3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43,805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3,811</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264,391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250,943</w:t>
            </w:r>
          </w:p>
        </w:tc>
      </w:tr>
      <w:tr>
        <w:trPr>
          <w:trHeight w:val="34"/>
        </w:trPr>
        <w:tc>
          <w:tcPr>
            <w:tcW w:w="8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10, 2019, the Company's wholly-owned subsidiary, LendingTree, LLC, entered into an amended and restated $500.0 million five-year senior secured revolving credit facility (the “Amended Revolving Credit Facility”), which amended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December 31, 2019, the Company had $75.0 million in borrowings outstanding under the Amended Revolving Credit Facility at the LIBO rate option with a weighted average interest rate of 3.01%, consisting of a $50.0 million 31-day borrowing and a $25.0 million 31-day borrowing. As of December 31, 2018, the Company had a $125.0 million, 31-day borrowing outstanding under the Revolving Credit Facility bearing interest at the LIBO rate option of 4.02%.</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As of December 31, 2019, the Company has outstanding one letter of credit issued in the amount of $0.2 million.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borrowings under the Amended Revolving Credit Facility bear interest at annual rates that, at the Company’s option, will be either:</w:t>
      </w:r>
    </w:p>
    <w:p>
      <w:pPr>
        <w:spacing w:after="0" w:line="183" w:lineRule="exact"/>
        <w:rPr>
          <w:sz w:val="20"/>
          <w:szCs w:val="20"/>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December 31, 2019.</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recognized $0.3 million and $0.1 million in additional interest expense in the fourth quarters of 2019 and 2017, respectively, due to the write-off of certain unamortized debt issuance costs associated with the original revolving credit facility and previous amendments to the credit agreement. In addition to the remaining unamortized debt issuance costs associated with the original revolving credit facility and the Revolving Credit Facility, debt issuance costs of $2.8 million related to the Amended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Revolving Credit Facility entered into on December 10, 2019 are being amortized to interest expense over the life of the Amended Revolving Credit Facility, and are included in prepaid and other current assets and other non-current assets in the Company's consolidated balance sheet.</w:t>
      </w:r>
    </w:p>
    <w:p>
      <w:pPr>
        <w:spacing w:after="0" w:line="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2019, the Company recorded interest expense related to the revolving credit facility of $6.1 million which consisted of $4.9 million associated with borrowings bearing interest at the LIBO rate, $0.6 million in unused commitment fees, and $0.6 million associated with the amortization of the debt issuance costs. During 2018, the Company recorded interest expense related to the revolving credit facility of $2.0 million which consisted of $0.8 million associated with borrowing bearing interest at the base rate and the LIBO rate, $0.8 million in unused commitment fees, and $0.4 million associated with the amortization of the debt issuance costs. During 2017, the Company recorded interest expense related to the revolving credit facility of $0.5 million in unused commitment fees and $0.4 million associated with the amortization of the debt issuance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4"/>
          </w:tcPr>
          <w:p>
            <w:pPr>
              <w:jc w:val="center"/>
              <w:ind w:left="817"/>
              <w:spacing w:after="0"/>
              <w:rPr>
                <w:sz w:val="20"/>
                <w:szCs w:val="20"/>
                <w:color w:val="auto"/>
              </w:rPr>
            </w:pPr>
            <w:r>
              <w:rPr>
                <w:rFonts w:ascii="Arial" w:cs="Arial" w:eastAsia="Arial" w:hAnsi="Arial"/>
                <w:sz w:val="16"/>
                <w:szCs w:val="16"/>
                <w:b w:val="1"/>
                <w:bCs w:val="1"/>
                <w:color w:val="auto"/>
                <w:w w:val="92"/>
              </w:rPr>
              <w:t>Commitments Due By Period</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0"/>
              </w:rPr>
              <w:t>Less Than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ind w:right="176"/>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5"/>
              </w:rPr>
              <w:t>1 year</w:t>
            </w:r>
          </w:p>
        </w:tc>
        <w:tc>
          <w:tcPr>
            <w:tcW w:w="380" w:type="dxa"/>
            <w:vAlign w:val="bottom"/>
          </w:tcPr>
          <w:p>
            <w:pPr>
              <w:spacing w:after="0"/>
              <w:rPr>
                <w:sz w:val="18"/>
                <w:szCs w:val="18"/>
                <w:color w:val="auto"/>
              </w:rPr>
            </w:pPr>
          </w:p>
        </w:tc>
        <w:tc>
          <w:tcPr>
            <w:tcW w:w="1200" w:type="dxa"/>
            <w:vAlign w:val="bottom"/>
          </w:tcPr>
          <w:p>
            <w:pPr>
              <w:jc w:val="center"/>
              <w:ind w:right="214"/>
              <w:spacing w:after="0"/>
              <w:rPr>
                <w:sz w:val="20"/>
                <w:szCs w:val="20"/>
                <w:color w:val="auto"/>
              </w:rPr>
            </w:pPr>
            <w:r>
              <w:rPr>
                <w:rFonts w:ascii="Arial" w:cs="Arial" w:eastAsia="Arial" w:hAnsi="Arial"/>
                <w:sz w:val="16"/>
                <w:szCs w:val="16"/>
                <w:b w:val="1"/>
                <w:bCs w:val="1"/>
                <w:color w:val="auto"/>
                <w:w w:val="89"/>
              </w:rPr>
              <w:t>1-3 years</w:t>
            </w:r>
          </w:p>
        </w:tc>
        <w:tc>
          <w:tcPr>
            <w:tcW w:w="40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6"/>
                <w:szCs w:val="16"/>
                <w:b w:val="1"/>
                <w:bCs w:val="1"/>
                <w:color w:val="auto"/>
              </w:rPr>
              <w:t>3-5 years</w:t>
            </w:r>
          </w:p>
        </w:tc>
        <w:tc>
          <w:tcPr>
            <w:tcW w:w="124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5,278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5,253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500" w:hanging="330"/>
        <w:spacing w:after="0" w:line="279" w:lineRule="auto"/>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certain other commitments through 2036, where the aggregate commitments for these contracts range from $4.2 million to $11.2 million each year throughout the remaining life of the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16,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December 31, 2019, the Company had litigation settlement accruals of $0.2 million and $31.0 million in continuing operations and discontinued operations, respectively. As of December 31, 2018, the Company had litigation settlement accruals of $0.2 million and $8.0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20—Discontinued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Other than the Notes and the Warrants, the carrying amounts of the Company's financial instruments are equal to fair value at December 31, 2019.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14—Debt for additional information on the Notes and the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Contingent consideration payments related to acquisitions are measured at fair value each reporting period using Level 3 unobservable inputs. The changes in the fair value of the Company's Level 3 liabilities during the years ended December 31, 2019, 2018 and 2017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57,349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net losses included in earnings (realized and unrealized)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28,402</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10,788</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23,931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19,700</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11,318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(33,775)</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(49,000)</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33,464</w:t>
            </w:r>
          </w:p>
        </w:tc>
        <w:tc>
          <w:tcPr>
            <w:tcW w:w="4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38,837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57,349</w:t>
            </w:r>
          </w:p>
        </w:tc>
      </w:tr>
      <w:tr>
        <w:trPr>
          <w:trHeight w:val="34"/>
        </w:trPr>
        <w:tc>
          <w:tcPr>
            <w:tcW w:w="7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contingent consideration liability at December 31, 2019 and 2018 consisted of the estimated fair value of the earnout payments of the DepositAccounts, SnapCap, Ovation, and QuoteWizard acquisitions. The contingent consideration liability at December 31, 2017 was the estimated fair value of the earnout payments of the CompareCards, DepositAccounts, and SnapCap acquisitions. The Company will make earnout payments ranging from zero to $1.0 million based on the achievement of defined milestone targets for DepositAccounts, payments ranging from $3.0 million to $6.0 million based on the achievement of certain defined earnings targets for SnapCap, payments ranging from zero to $4.4 million based on the achievement of certain defined operating metrics for Ovation, and payments ranging from zero to $46.8 million based on the achievement of certain defined performance targets for QuoteWizard.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8—Business Acquisitions for additional information on the contingent consideration for each of these respective acquisitions.</w:t>
      </w:r>
    </w:p>
    <w:p>
      <w:pPr>
        <w:spacing w:after="0" w:line="11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18—RELATED PARTY TRANSACTIONS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One of the Company's board of directors served as a director to a marketing partner of the Company through 2018. During 2018 and 2017, the Company recognized $0.7 million and $1.2 million, respectively, of expenses for this marketing partner through the normal course of business.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2017, the Company's Board of Directors approved a $10.0 million contribution to fund the newly formed LendingTree Foundation. The Company paid $3.3 million of the $10.0 million contribution in 2019, and expects to pay the remainder in equal installments in 2020 and 2021. Officers of the Company serve as officers of the LendingTree Foundation. The contribution is recorded in general and administrative expense on the consolidated statement of operations and comprehensive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19—BENEFIT PLANS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($19,000 for 2019, $18,500 for 2018, and $18,000 for 2017).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$2.0 million, $1.4 million and $0.9 million for the years ended December 31, 2019, 2018 and 2017,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20—DISCONTINUED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Of the purchase price received, a portion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Liability for losses on previously sold loans remains with HLC and is discussed below.</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On June 21, 2019, the U.S. District Court of Minnesota entered judgment in </w:t>
      </w:r>
      <w:r>
        <w:rPr>
          <w:rFonts w:ascii="Arial" w:cs="Arial" w:eastAsia="Arial" w:hAnsi="Arial"/>
          <w:sz w:val="16"/>
          <w:szCs w:val="16"/>
          <w:i w:val="1"/>
          <w:iCs w:val="1"/>
          <w:color w:val="auto"/>
        </w:rPr>
        <w:t>ResCap Liquidating Trust v. Home Loan Center, Inc.</w:t>
      </w:r>
      <w:r>
        <w:rPr>
          <w:rFonts w:ascii="Arial" w:cs="Arial" w:eastAsia="Arial" w:hAnsi="Arial"/>
          <w:sz w:val="16"/>
          <w:szCs w:val="16"/>
          <w:color w:val="auto"/>
        </w:rPr>
        <w:t xml:space="preserve">, against HLC for $68.5 million, </w:t>
      </w:r>
      <w:r>
        <w:rPr>
          <w:rFonts w:ascii="Arial" w:cs="Arial" w:eastAsia="Arial" w:hAnsi="Arial"/>
          <w:sz w:val="16"/>
          <w:szCs w:val="16"/>
          <w:i w:val="1"/>
          <w:iCs w:val="1"/>
          <w:color w:val="auto"/>
        </w:rPr>
        <w:t>see</w:t>
      </w:r>
      <w:r>
        <w:rPr>
          <w:rFonts w:ascii="Arial" w:cs="Arial" w:eastAsia="Arial" w:hAnsi="Arial"/>
          <w:sz w:val="16"/>
          <w:szCs w:val="16"/>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HLC’s filing under the Bankruptcy Code creates an automatic stay of enforcement of the judgment entered against HLC by the Minnesota court in </w:t>
      </w:r>
      <w:r>
        <w:rPr>
          <w:rFonts w:ascii="Arial" w:cs="Arial" w:eastAsia="Arial" w:hAnsi="Arial"/>
          <w:sz w:val="16"/>
          <w:szCs w:val="16"/>
          <w:i w:val="1"/>
          <w:iCs w:val="1"/>
          <w:color w:val="auto"/>
        </w:rPr>
        <w:t xml:space="preserve">ResCap Liquidating Trust v. Home Loan Center, Inc. </w:t>
      </w:r>
      <w:r>
        <w:rPr>
          <w:rFonts w:ascii="Arial" w:cs="Arial" w:eastAsia="Arial" w:hAnsi="Arial"/>
          <w:sz w:val="16"/>
          <w:szCs w:val="16"/>
          <w:color w:val="auto"/>
        </w:rPr>
        <w:t>described above and in Litigation Related to Discontinued Operations below. As a result of the voluntary</w:t>
      </w:r>
      <w:r>
        <w:rPr>
          <w:rFonts w:ascii="Arial" w:cs="Arial" w:eastAsia="Arial" w:hAnsi="Arial"/>
          <w:sz w:val="16"/>
          <w:szCs w:val="16"/>
          <w:i w:val="1"/>
          <w:iCs w:val="1"/>
          <w:color w:val="auto"/>
        </w:rPr>
        <w:t xml:space="preserve"> </w:t>
      </w:r>
      <w:r>
        <w:rPr>
          <w:rFonts w:ascii="Arial" w:cs="Arial" w:eastAsia="Arial" w:hAnsi="Arial"/>
          <w:sz w:val="16"/>
          <w:szCs w:val="16"/>
          <w:color w:val="auto"/>
        </w:rPr>
        <w:t>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 The derecognition of HLC’s cash of $5.9 million removed from the consolidated balance sheet on the deconsolidation date of July 21, 2019 is included within cash flows from operating activities attributable to discontinued operations in the accompanying consolidated statement of cash flows.</w:t>
      </w:r>
    </w:p>
    <w:p>
      <w:pPr>
        <w:spacing w:after="0" w:line="1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The Company is obligated to advance any expenses to the officers and directors related to these claims and to indemnify them to the maximum extent permitted by law. LendingTree, LLC believes the declaration of the dividend was proper, that the amounts paid to LendingTree, LLC following such declaration are not subject to recovery by HLC and that any claims by HLC relating to such dividend declaration are without merit. LendingTree, LLC intends to vigorously contest such claims. During the third quarter of 2019, LendingTree, LLC made a settlement offer to HLC after it filed for bankruptcy for $31.0 million for the release of any and all claims against the Company, including the dividend claim. LendingTree estimates the range of potential losses related to the dividend matter to be $0.0 million to $40.0 million plus a potential award of prejudgment interest. An estimated liability of $31.0 million is included in the accompanying consolidated balance sheet as of December 31, 2019 related to LendingTree LLC's ownership in HLC. HLC’s voluntary petition under the Bankruptcy Code does not represent an event of default under LendingTree, LLC’s Second Amended and Restated Credit Agreement dated as of December 10, 2019 or the Company’s indenture dated May 31, 2017 with respect to the Company’s 0.625% Convertible Senior Notes due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Prior to the sale of its LendingTree Loans Business on June 6, 2012, HLC sold loans it originated through its LendingTree Loans Business to investors on a servicing-released basis, so the risk of loss or default by the borrower was generally transferred to the investor. However, HLC was required by these investors to make certain representations and warranties relating to credit information, loan documentation and collateral. These representations and warranties may extend through the contractual life of the loan. If underwriting deficiencies, borrower fraud or documentation defects, arising prior to the sale of the loan by HLC to such investor, are discovered in individual loans, HLC may be obligated to repurchase the respective loan or indemnify such investor for any losses from borrower defaults if such deficiency or defect cannot be cured within the contractually specified period following discovery.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HLC continues to be liable for these indemnification obligations, repurchase obligations and premium repayment obligations following the sale of substantially all of its operating assets, including the LendingTree Loans Business, in the second quarter of 2012. The liability for losses on previously sold loans was presented as current liabilities of discontinued operations in the accompanying consolidated balance sheet as of December 31, 2018.</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guaranteed certain loans sold to investors in the event that HLC is unable to satisfy its repurchase and warranty obligations related to such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6"/>
          <w:szCs w:val="16"/>
          <w:i w:val="1"/>
          <w:iCs w:val="1"/>
          <w:color w:val="auto"/>
        </w:rPr>
        <w:t>ResCap Liquidating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LendingTree, LCC, et al., Case No. 19-cv-2360 (U.S. Dist. Ct., Minn.)</w:t>
      </w:r>
      <w:r>
        <w:rPr>
          <w:rFonts w:ascii="Arial" w:cs="Arial" w:eastAsia="Arial" w:hAnsi="Arial"/>
          <w:sz w:val="16"/>
          <w:szCs w:val="16"/>
          <w:color w:val="auto"/>
        </w:rPr>
        <w:t>, seeking to hold the Company liable for the judgment against HLC, under assumption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liability, agency and alter ego theories. The Company believes that these claims lack merit and intends to defend this action vigorously. On October 17, 2019, the Company filed a motion to dismiss the liability and agency claims, and oral arguments with respect to such motion were held on January 10,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 defendants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 HLC’s filing under the Bankruptcy Code discussed above in Home Loan Center, Inc. Bankruptcy Filing creates an automatic stay of this proceeding.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r>
      <w:tr>
        <w:trPr>
          <w:trHeight w:val="318"/>
        </w:trPr>
        <w:tc>
          <w:tcPr>
            <w:tcW w:w="7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removal of HLC's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(35,002)</w:t>
            </w:r>
          </w:p>
        </w:tc>
        <w:tc>
          <w:tcPr>
            <w:tcW w:w="4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(16,228)</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(5,159)</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(30,487)</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(16,228)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8,855</w:t>
            </w:r>
          </w:p>
        </w:tc>
        <w:tc>
          <w:tcPr>
            <w:tcW w:w="4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3,408</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2,069</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(21,632)</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(12,820)</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(3,840)</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 as well as a gain upon deconsolidation due to the accounting effect of HLC’s bankruptcy filing on the consolidated financial statements.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21—SEGMENT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for the purpose of assessing performance and allocating resources. The Company changed its reportable segments in the fourth quarter of 2019 and previously reported segment results have been revised to conform to the Company's reportable segments at December 31, 2019.</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and revenue from home improvement referrals, and the related variable marketing and advertising expenses, are included within the Other category.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2"/>
              </w:rPr>
              <w:t>Year Ended December 31, 2019</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0"/>
        </w:trPr>
        <w:tc>
          <w:tcPr>
            <w:tcW w:w="5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Consumer</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Insurance</w:t>
            </w: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277,935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515,037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284,792</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28,839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1,106,603</w:t>
            </w: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174,814</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301,852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170,153</w:t>
            </w:r>
          </w:p>
        </w:tc>
        <w:tc>
          <w:tcPr>
            <w:tcW w:w="42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27,466</w:t>
            </w:r>
          </w:p>
        </w:tc>
        <w:tc>
          <w:tcPr>
            <w:tcW w:w="2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674,285</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103,121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213,185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114,639</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1,373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432,318</w:t>
            </w:r>
          </w:p>
        </w:tc>
      </w:tr>
      <w:tr>
        <w:trPr>
          <w:trHeight w:val="200"/>
        </w:trPr>
        <w:tc>
          <w:tcPr>
            <w:tcW w:w="5720" w:type="dxa"/>
            <w:vAlign w:val="bottom"/>
          </w:tcPr>
          <w:p>
            <w:pPr>
              <w:ind w:left="180"/>
              <w:spacing w:after="0"/>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6"/>
        </w:trPr>
        <w:tc>
          <w:tcPr>
            <w:tcW w:w="5720" w:type="dxa"/>
            <w:vAlign w:val="bottom"/>
          </w:tcPr>
          <w:p>
            <w:pPr>
              <w:ind w:left="180"/>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45,624</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83,650</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116,847</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39,953</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10,998</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55,241</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28,402</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1,026</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50,728</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(20,271)</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r>
      <w:tr>
        <w:trPr>
          <w:trHeight w:val="257"/>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30,981</w:t>
            </w:r>
          </w:p>
        </w:tc>
      </w:tr>
      <w:tr>
        <w:trPr>
          <w:trHeight w:val="507"/>
        </w:trPr>
        <w:tc>
          <w:tcPr>
            <w:tcW w:w="5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2"/>
              </w:rPr>
              <w:t>Year Ended December 31, 2018</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0"/>
        </w:trPr>
        <w:tc>
          <w:tcPr>
            <w:tcW w:w="5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Consumer</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Insurance</w:t>
            </w: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319,176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395,615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31,369</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18,705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764,865</w:t>
            </w: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214,475</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207,891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20,011</w:t>
            </w:r>
          </w:p>
        </w:tc>
        <w:tc>
          <w:tcPr>
            <w:tcW w:w="42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17,351</w:t>
            </w:r>
          </w:p>
        </w:tc>
        <w:tc>
          <w:tcPr>
            <w:tcW w:w="2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459,728</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104,701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187,724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11,358</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1,354</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305,137</w:t>
            </w:r>
          </w:p>
        </w:tc>
      </w:tr>
      <w:tr>
        <w:trPr>
          <w:trHeight w:val="200"/>
        </w:trPr>
        <w:tc>
          <w:tcPr>
            <w:tcW w:w="5720" w:type="dxa"/>
            <w:vAlign w:val="bottom"/>
          </w:tcPr>
          <w:p>
            <w:pPr>
              <w:ind w:left="180"/>
              <w:spacing w:after="0"/>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6"/>
        </w:trPr>
        <w:tc>
          <w:tcPr>
            <w:tcW w:w="5720" w:type="dxa"/>
            <w:vAlign w:val="bottom"/>
          </w:tcPr>
          <w:p>
            <w:pPr>
              <w:ind w:left="180"/>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27,587</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49,375</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101,219</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26,958</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7,385</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23,468</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10,788</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2,352</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56,191</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(12,437)</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43,744</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5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Consumer</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Insurance</w:t>
            </w: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0"/>
              </w:rPr>
              <w:t>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340,377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276,091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617,736</w:t>
            </w: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204,135</w:t>
            </w:r>
          </w:p>
        </w:tc>
        <w:tc>
          <w:tcPr>
            <w:tcW w:w="22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160,384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42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1,756</w:t>
            </w: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366,345</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136,242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115,707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(624)</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251,391</w:t>
            </w:r>
          </w:p>
        </w:tc>
      </w:tr>
      <w:tr>
        <w:trPr>
          <w:trHeight w:val="200"/>
        </w:trPr>
        <w:tc>
          <w:tcPr>
            <w:tcW w:w="5720" w:type="dxa"/>
            <w:vAlign w:val="bottom"/>
          </w:tcPr>
          <w:p>
            <w:pPr>
              <w:ind w:left="180"/>
              <w:spacing w:after="0"/>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6"/>
        </w:trPr>
        <w:tc>
          <w:tcPr>
            <w:tcW w:w="5720" w:type="dxa"/>
            <w:vAlign w:val="bottom"/>
          </w:tcPr>
          <w:p>
            <w:pPr>
              <w:ind w:left="180"/>
              <w:spacing w:after="0"/>
              <w:rPr>
                <w:sz w:val="20"/>
                <w:szCs w:val="20"/>
                <w:color w:val="auto"/>
              </w:rPr>
            </w:pPr>
            <w:r>
              <w:rPr>
                <w:rFonts w:ascii="Arial" w:cs="Arial" w:eastAsia="Arial" w:hAnsi="Arial"/>
                <w:sz w:val="16"/>
                <w:szCs w:val="16"/>
                <w:color w:val="auto"/>
              </w:rPr>
              <w:t>above)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17,223</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66,439</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71,541</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17,925</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7,085</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12,992</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23,931</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718</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33,133</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(7,028)</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57"/>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25,709</w:t>
            </w: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CODM does not review information on segment assets and as such, no segment asset information is reported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22—QUARTERLY FINANCIAL INFORMATION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summary financial information for the years ended December 31, 2019 and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262,390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278,421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310,605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255,187</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(loss) income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12,316</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31,193</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9,021</w:t>
            </w:r>
          </w:p>
        </w:tc>
      </w:tr>
      <w:tr>
        <w:trPr>
          <w:trHeight w:val="270"/>
        </w:trPr>
        <w:tc>
          <w:tcPr>
            <w:tcW w:w="5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12,981</w:t>
            </w:r>
          </w:p>
        </w:tc>
        <w:tc>
          <w:tcPr>
            <w:tcW w:w="40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24,463</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1,466</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(20,199)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(loss) income and comprehensive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12,218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4,264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1,858</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1.90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0.11</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income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0.03</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0.33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quarter of 2019 includes contingent consideration expense of $14.4 million for the QuoteWizard acquisition due to an increased probability of achievement of certain defined performance targets for QuoteWizard.</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181,035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184,101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197,057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202,672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15,350</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18,123</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20,290</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2,428</w:t>
            </w:r>
          </w:p>
        </w:tc>
      </w:tr>
      <w:tr>
        <w:trPr>
          <w:trHeight w:val="270"/>
        </w:trPr>
        <w:tc>
          <w:tcPr>
            <w:tcW w:w="5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35,857</w:t>
            </w:r>
          </w:p>
        </w:tc>
        <w:tc>
          <w:tcPr>
            <w:tcW w:w="4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44,849</w:t>
            </w:r>
          </w:p>
        </w:tc>
        <w:tc>
          <w:tcPr>
            <w:tcW w:w="40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28,362</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31,524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42,547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25,728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2.22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hanging="330"/>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fourth quarter of 2018 includes contingent consideration expense of $6.8 million for the QuoteWizard acquisition due to an increased probability of achievement of certain defined performance targets for QuoteWizard.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2019,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Management, with the participation of our Chief Executive Officer and Chief Financial Officer, assessed the effectiveness of our internal control over financial reporting as of December 31, 2019.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2019. The effectiveness of our internal control over financial reporting as of December 31, 2019 has been audited by PricewaterhouseCoopers LLP, an independent registered public accounting firm, as stated in their report appearing under "Item 8. Financial Statements and Supplementary Data"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2019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2020 Annual Meeting of Stockholders and which will be filed with the Securities and Exchange Commission not later than 120 days after the end of the Company's fiscal year ended December 31, 2019 (the "2020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2020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2020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2019, 2018 and 2017.</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2019, 2018 and 2017.</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 w:lineRule="exact"/>
        <w:rPr>
          <w:sz w:val="20"/>
          <w:szCs w:val="20"/>
          <w:color w:val="auto"/>
        </w:rPr>
      </w:pPr>
    </w:p>
    <w:p>
      <w:pPr>
        <w:ind w:left="1200" w:right="4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2.1</w:t>
      </w:r>
      <w:r>
        <w:rPr>
          <w:sz w:val="20"/>
          <w:szCs w:val="20"/>
          <w:color w:val="auto"/>
        </w:rPr>
        <w:tab/>
      </w:r>
      <w:hyperlink r:id="rId17">
        <w:r>
          <w:rPr>
            <w:rFonts w:ascii="Arial" w:cs="Arial" w:eastAsia="Arial" w:hAnsi="Arial"/>
            <w:sz w:val="18"/>
            <w:szCs w:val="18"/>
            <w:u w:val="single" w:color="auto"/>
            <w:color w:val="0000FF"/>
          </w:rPr>
          <w:t xml:space="preserve">Separation and Distribution Agreement among IAC/InterActiveCorp,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2.1 to the Registrant's Registration Statement on Form S-1</w:t>
      </w:r>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HSN, Inc., Interval Leisure Group, Inc., Ticketmaster and Tree.com,</w:t>
        </w:r>
        <w:r>
          <w:rPr>
            <w:rFonts w:ascii="Arial" w:cs="Arial" w:eastAsia="Arial" w:hAnsi="Arial"/>
            <w:sz w:val="18"/>
            <w:szCs w:val="18"/>
            <w:color w:val="0000FF"/>
          </w:rPr>
          <w:t xml:space="preserve"> </w:t>
        </w:r>
      </w:hyperlink>
      <w:r>
        <w:rPr>
          <w:rFonts w:ascii="Arial" w:cs="Arial" w:eastAsia="Arial" w:hAnsi="Arial"/>
          <w:sz w:val="18"/>
          <w:szCs w:val="18"/>
          <w:color w:val="000000"/>
        </w:rPr>
        <w:t>(No.</w:t>
      </w:r>
      <w:r>
        <w:rPr>
          <w:rFonts w:ascii="Arial" w:cs="Arial" w:eastAsia="Arial" w:hAnsi="Arial"/>
          <w:sz w:val="18"/>
          <w:szCs w:val="18"/>
          <w:color w:val="0000FF"/>
        </w:rPr>
        <w:t xml:space="preserve"> </w:t>
      </w:r>
      <w:r>
        <w:rPr>
          <w:rFonts w:ascii="Arial" w:cs="Arial" w:eastAsia="Arial" w:hAnsi="Arial"/>
          <w:sz w:val="18"/>
          <w:szCs w:val="18"/>
          <w:color w:val="000000"/>
        </w:rPr>
        <w:t>333-152700), filed August 1,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Inc., dated August 20, 2008.</w:t>
        </w:r>
      </w:hyperlink>
    </w:p>
    <w:p>
      <w:pPr>
        <w:spacing w:after="0" w:line="4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2.2</w:t>
      </w:r>
      <w:r>
        <w:rPr>
          <w:sz w:val="20"/>
          <w:szCs w:val="20"/>
          <w:color w:val="auto"/>
        </w:rPr>
        <w:tab/>
      </w:r>
      <w:hyperlink r:id="rId18">
        <w:r>
          <w:rPr>
            <w:rFonts w:ascii="Arial" w:cs="Arial" w:eastAsia="Arial" w:hAnsi="Arial"/>
            <w:sz w:val="18"/>
            <w:szCs w:val="18"/>
            <w:u w:val="single" w:color="auto"/>
            <w:color w:val="0000FF"/>
          </w:rPr>
          <w:t xml:space="preserve">Tax Sharing Agreement among IAC/InterActiveCorp, HSN, Inc.,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10.2 to the Registrant's Current Report on Form 8-K (No.</w:t>
      </w:r>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Interval Leisure Group, Inc., Ticketmaster and Tree.com, Inc., dated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2.3</w:t>
      </w:r>
      <w:r>
        <w:rPr>
          <w:sz w:val="20"/>
          <w:szCs w:val="20"/>
          <w:color w:val="auto"/>
        </w:rPr>
        <w:tab/>
      </w:r>
      <w:hyperlink r:id="rId20">
        <w:r>
          <w:rPr>
            <w:rFonts w:ascii="Arial" w:cs="Arial" w:eastAsia="Arial" w:hAnsi="Arial"/>
            <w:sz w:val="18"/>
            <w:szCs w:val="18"/>
            <w:u w:val="single" w:color="auto"/>
            <w:color w:val="0000FF"/>
          </w:rPr>
          <w:t xml:space="preserve">Employee Matters Agreement among IAC/InterActiveCorp, HSN, Inc.,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10.3 to the Registrant's Current Report on Form 8-K (No.</w:t>
      </w:r>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Interval Leisure Group, Inc., Ticketmaster and Tree.com, Inc., dated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August 20, 2008.</w:t>
        </w:r>
      </w:hyperlink>
    </w:p>
    <w:p>
      <w:pPr>
        <w:spacing w:after="0" w:line="4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2.4</w:t>
      </w:r>
      <w:r>
        <w:rPr>
          <w:sz w:val="20"/>
          <w:szCs w:val="20"/>
          <w:color w:val="auto"/>
        </w:rPr>
        <w:tab/>
      </w:r>
      <w:hyperlink r:id="rId21">
        <w:r>
          <w:rPr>
            <w:rFonts w:ascii="Arial" w:cs="Arial" w:eastAsia="Arial" w:hAnsi="Arial"/>
            <w:sz w:val="18"/>
            <w:szCs w:val="18"/>
            <w:u w:val="single" w:color="auto"/>
            <w:color w:val="0000FF"/>
          </w:rPr>
          <w:t xml:space="preserve">Transition Services Agreement among IAC/InterActiveCorp, HSN,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10.4 to the Registrant's Current Report on Form 8-K (No.</w:t>
      </w:r>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Inc., Interval Leisure Group, Inc., Ticketmaster and Tree.com, Inc.,</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dated 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820"/>
        <w:spacing w:after="0"/>
        <w:tabs>
          <w:tab w:leader="none" w:pos="1180" w:val="left"/>
          <w:tab w:leader="none" w:pos="1960" w:val="left"/>
          <w:tab w:leader="none" w:pos="3100" w:val="left"/>
          <w:tab w:leader="none" w:pos="3640" w:val="left"/>
          <w:tab w:leader="none" w:pos="4780" w:val="left"/>
          <w:tab w:leader="none" w:pos="5860" w:val="left"/>
        </w:tabs>
        <w:rPr>
          <w:rFonts w:ascii="Arial" w:cs="Arial" w:eastAsia="Arial" w:hAnsi="Arial"/>
          <w:sz w:val="17"/>
          <w:szCs w:val="17"/>
          <w:u w:val="single" w:color="auto"/>
          <w:color w:val="0000FF"/>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0000FF"/>
        </w:rPr>
        <w:t>Spinco</w:t>
      </w:r>
      <w:r>
        <w:rPr>
          <w:sz w:val="20"/>
          <w:szCs w:val="20"/>
          <w:color w:val="auto"/>
        </w:rPr>
        <w:tab/>
      </w:r>
      <w:r>
        <w:rPr>
          <w:rFonts w:ascii="Arial" w:cs="Arial" w:eastAsia="Arial" w:hAnsi="Arial"/>
          <w:sz w:val="18"/>
          <w:szCs w:val="18"/>
          <w:u w:val="single" w:color="auto"/>
          <w:color w:val="0000FF"/>
        </w:rPr>
        <w:t>Assignment</w:t>
      </w:r>
      <w:r>
        <w:rPr>
          <w:sz w:val="20"/>
          <w:szCs w:val="20"/>
          <w:color w:val="auto"/>
        </w:rPr>
        <w:tab/>
      </w:r>
      <w:r>
        <w:rPr>
          <w:rFonts w:ascii="Arial" w:cs="Arial" w:eastAsia="Arial" w:hAnsi="Arial"/>
          <w:sz w:val="18"/>
          <w:szCs w:val="18"/>
          <w:u w:val="single" w:color="auto"/>
          <w:color w:val="0000FF"/>
        </w:rPr>
        <w:t>and</w:t>
      </w:r>
      <w:r>
        <w:rPr>
          <w:sz w:val="20"/>
          <w:szCs w:val="20"/>
          <w:color w:val="auto"/>
        </w:rPr>
        <w:tab/>
      </w:r>
      <w:r>
        <w:rPr>
          <w:rFonts w:ascii="Arial" w:cs="Arial" w:eastAsia="Arial" w:hAnsi="Arial"/>
          <w:sz w:val="18"/>
          <w:szCs w:val="18"/>
          <w:u w:val="single" w:color="auto"/>
          <w:color w:val="0000FF"/>
        </w:rPr>
        <w:t>Assumption</w:t>
      </w:r>
      <w:r>
        <w:rPr>
          <w:sz w:val="20"/>
          <w:szCs w:val="20"/>
          <w:color w:val="auto"/>
        </w:rPr>
        <w:tab/>
      </w:r>
      <w:r>
        <w:rPr>
          <w:rFonts w:ascii="Arial" w:cs="Arial" w:eastAsia="Arial" w:hAnsi="Arial"/>
          <w:sz w:val="18"/>
          <w:szCs w:val="18"/>
          <w:u w:val="single" w:color="auto"/>
          <w:color w:val="0000FF"/>
        </w:rPr>
        <w:t>Agreement</w:t>
      </w:r>
      <w:r>
        <w:rPr>
          <w:sz w:val="20"/>
          <w:szCs w:val="20"/>
          <w:color w:val="auto"/>
        </w:rPr>
        <w:tab/>
      </w:r>
      <w:hyperlink r:id="rId23">
        <w:r>
          <w:rPr>
            <w:rFonts w:ascii="Arial" w:cs="Arial" w:eastAsia="Arial" w:hAnsi="Arial"/>
            <w:sz w:val="17"/>
            <w:szCs w:val="17"/>
            <w:u w:val="single" w:color="auto"/>
            <w:color w:val="0000FF"/>
          </w:rPr>
          <w:t xml:space="preserve">among </w:t>
        </w:r>
      </w:hyperlink>
      <w:r>
        <w:rPr>
          <w:rFonts w:ascii="Arial" w:cs="Arial" w:eastAsia="Arial" w:hAnsi="Arial"/>
          <w:sz w:val="17"/>
          <w:szCs w:val="17"/>
          <w:color w:val="000000"/>
        </w:rPr>
        <w:t>Exhibit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10.6 to the Registrant's Current Report on Form 8-K (No.</w:t>
      </w:r>
    </w:p>
    <w:p>
      <w:pPr>
        <w:spacing w:after="0" w:line="23" w:lineRule="exact"/>
        <w:rPr>
          <w:sz w:val="20"/>
          <w:szCs w:val="20"/>
          <w:color w:val="auto"/>
        </w:rPr>
      </w:pPr>
    </w:p>
    <w:p>
      <w:pPr>
        <w:ind w:left="1200" w:right="2520"/>
        <w:spacing w:after="0" w:line="261"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IAC/InterActiveCorp, Tree.com, Inc., Liberty Media Corporation and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Liberty USA Holdings, LLC, dated August 20, 2008.</w:t>
        </w:r>
      </w:hyperlink>
    </w:p>
    <w:p>
      <w:pPr>
        <w:spacing w:after="0" w:line="22" w:lineRule="exact"/>
        <w:rPr>
          <w:sz w:val="20"/>
          <w:szCs w:val="20"/>
          <w:color w:val="auto"/>
        </w:rPr>
      </w:pPr>
    </w:p>
    <w:p>
      <w:pPr>
        <w:ind w:left="1200" w:right="4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2.6</w:t>
      </w:r>
      <w:r>
        <w:rPr>
          <w:sz w:val="20"/>
          <w:szCs w:val="20"/>
          <w:color w:val="auto"/>
        </w:rPr>
        <w:tab/>
      </w:r>
      <w:hyperlink r:id="rId24">
        <w:r>
          <w:rPr>
            <w:rFonts w:ascii="Arial" w:cs="Arial" w:eastAsia="Arial" w:hAnsi="Arial"/>
            <w:sz w:val="18"/>
            <w:szCs w:val="18"/>
            <w:u w:val="single" w:color="auto"/>
            <w:color w:val="0000FF"/>
          </w:rPr>
          <w:t xml:space="preserve">Asset Purchase Agreement among Home Loan Center, Inc., First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2.1 to Registrant's Current Report on Form 8-K (No. 001-</w:t>
      </w:r>
      <w:hyperlink r:id="rId24">
        <w:r>
          <w:rPr>
            <w:rFonts w:ascii="Arial" w:cs="Arial" w:eastAsia="Arial" w:hAnsi="Arial"/>
            <w:sz w:val="18"/>
            <w:szCs w:val="18"/>
            <w:u w:val="single" w:color="auto"/>
            <w:color w:val="0000FF"/>
          </w:rPr>
          <w:t>Residential Mortgage Network, Inc. dba SurePoint Lending, and the</w:t>
        </w:r>
        <w:r>
          <w:rPr>
            <w:rFonts w:ascii="Arial" w:cs="Arial" w:eastAsia="Arial" w:hAnsi="Arial"/>
            <w:sz w:val="18"/>
            <w:szCs w:val="18"/>
            <w:color w:val="0000FF"/>
          </w:rPr>
          <w:t xml:space="preserve"> </w:t>
        </w:r>
      </w:hyperlink>
      <w:r>
        <w:rPr>
          <w:rFonts w:ascii="Arial" w:cs="Arial" w:eastAsia="Arial" w:hAnsi="Arial"/>
          <w:sz w:val="18"/>
          <w:szCs w:val="18"/>
          <w:color w:val="000000"/>
        </w:rPr>
        <w:t>34063)</w:t>
      </w:r>
      <w:r>
        <w:rPr>
          <w:rFonts w:ascii="Arial" w:cs="Arial" w:eastAsia="Arial" w:hAnsi="Arial"/>
          <w:sz w:val="18"/>
          <w:szCs w:val="18"/>
          <w:color w:val="0000FF"/>
        </w:rPr>
        <w:t xml:space="preserve"> </w:t>
      </w:r>
      <w:r>
        <w:rPr>
          <w:rFonts w:ascii="Arial" w:cs="Arial" w:eastAsia="Arial" w:hAnsi="Arial"/>
          <w:sz w:val="18"/>
          <w:szCs w:val="18"/>
          <w:color w:val="000000"/>
        </w:rPr>
        <w:t>filed November 16, 2010</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shareholders of First Residential Mortgage Network named therein,</w:t>
        </w:r>
      </w:hyperlink>
    </w:p>
    <w:p>
      <w:pPr>
        <w:spacing w:after="0" w:line="9" w:lineRule="exact"/>
        <w:rPr>
          <w:sz w:val="20"/>
          <w:szCs w:val="20"/>
          <w:color w:val="auto"/>
        </w:rPr>
      </w:pPr>
    </w:p>
    <w:p>
      <w:pPr>
        <w:ind w:left="12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dated November 15, 2010.</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5800" w:type="dxa"/>
            <w:vAlign w:val="bottom"/>
            <w:gridSpan w:val="4"/>
            <w:shd w:val="clear" w:color="auto" w:fill="CCEEFF"/>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 xml:space="preserve">First Amendment to Asset Purchase Agreement among HLC, SurePoint </w:t>
              </w:r>
            </w:hyperlink>
            <w:r>
              <w:rPr>
                <w:rFonts w:ascii="Arial" w:cs="Arial" w:eastAsia="Arial" w:hAnsi="Arial"/>
                <w:sz w:val="18"/>
                <w:szCs w:val="18"/>
                <w:color w:val="000000"/>
                <w:w w:val="91"/>
              </w:rPr>
              <w:t>Exhibit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the Registrant's Current Report on Form 8-K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and the shareholders party thereto, dated March 14, 2011.</w:t>
              </w:r>
            </w:hyperlink>
          </w:p>
        </w:tc>
        <w:tc>
          <w:tcPr>
            <w:tcW w:w="5040" w:type="dxa"/>
            <w:vAlign w:val="bottom"/>
            <w:tcBorders>
              <w:top w:val="single" w:sz="8" w:color="CCEEFF"/>
            </w:tcBorders>
            <w:gridSpan w:val="4"/>
            <w:shd w:val="clear" w:color="auto" w:fill="CCEEFF"/>
          </w:tcPr>
          <w:p>
            <w:pPr>
              <w:ind w:left="60"/>
              <w:spacing w:after="0" w:line="196" w:lineRule="exact"/>
              <w:rPr>
                <w:sz w:val="20"/>
                <w:szCs w:val="20"/>
                <w:color w:val="auto"/>
              </w:rPr>
            </w:pPr>
            <w:r>
              <w:rPr>
                <w:rFonts w:ascii="Arial" w:cs="Arial" w:eastAsia="Arial" w:hAnsi="Arial"/>
                <w:sz w:val="18"/>
                <w:szCs w:val="18"/>
                <w:color w:val="auto"/>
              </w:rPr>
              <w:t>March 21, 2011</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1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w:t>
            </w:r>
          </w:p>
        </w:tc>
        <w:tc>
          <w:tcPr>
            <w:tcW w:w="5800" w:type="dxa"/>
            <w:vAlign w:val="bottom"/>
            <w:gridSpan w:val="4"/>
          </w:tcPr>
          <w:p>
            <w:pP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 xml:space="preserve">Second  Amendment  to  Asset  Purchase  Agreement  among  HLC, </w:t>
              </w:r>
            </w:hyperlink>
            <w:r>
              <w:rPr>
                <w:rFonts w:ascii="Arial" w:cs="Arial" w:eastAsia="Arial" w:hAnsi="Arial"/>
                <w:sz w:val="18"/>
                <w:szCs w:val="18"/>
                <w:color w:val="000000"/>
                <w:w w:val="95"/>
              </w:rPr>
              <w:t>Exhibit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5"/>
              </w:rPr>
              <w:t>2.2</w:t>
            </w:r>
          </w:p>
        </w:tc>
        <w:tc>
          <w:tcPr>
            <w:tcW w:w="220" w:type="dxa"/>
            <w:vAlign w:val="bottom"/>
          </w:tcPr>
          <w:p>
            <w:pPr>
              <w:ind w:left="40"/>
              <w:spacing w:after="0" w:line="202" w:lineRule="exact"/>
              <w:rPr>
                <w:sz w:val="20"/>
                <w:szCs w:val="20"/>
                <w:color w:val="auto"/>
              </w:rPr>
            </w:pPr>
            <w:r>
              <w:rPr>
                <w:rFonts w:ascii="Arial" w:cs="Arial" w:eastAsia="Arial" w:hAnsi="Arial"/>
                <w:sz w:val="18"/>
                <w:szCs w:val="18"/>
                <w:color w:val="auto"/>
              </w:rPr>
              <w:t>to</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w w:val="98"/>
              </w:rPr>
              <w:t>the Registrant's Current Report on Form 8-K filed</w:t>
            </w:r>
          </w:p>
        </w:tc>
      </w:tr>
      <w:tr>
        <w:trPr>
          <w:trHeight w:val="196"/>
        </w:trPr>
        <w:tc>
          <w:tcPr>
            <w:tcW w:w="120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SurePoint and the shareholders party thereto, dated March 15, 2011.</w:t>
              </w:r>
            </w:hyperlink>
          </w:p>
        </w:tc>
        <w:tc>
          <w:tcPr>
            <w:tcW w:w="280" w:type="dxa"/>
            <w:vAlign w:val="bottom"/>
            <w:tcBorders>
              <w:top w:val="single" w:sz="8" w:color="0000FF"/>
            </w:tcBorders>
          </w:tcPr>
          <w:p>
            <w:pPr>
              <w:spacing w:after="0"/>
              <w:rPr>
                <w:sz w:val="17"/>
                <w:szCs w:val="17"/>
                <w:color w:val="auto"/>
              </w:rPr>
            </w:pPr>
          </w:p>
        </w:tc>
        <w:tc>
          <w:tcPr>
            <w:tcW w:w="5040" w:type="dxa"/>
            <w:vAlign w:val="bottom"/>
            <w:gridSpan w:val="4"/>
          </w:tcPr>
          <w:p>
            <w:pPr>
              <w:ind w:left="60"/>
              <w:spacing w:after="0" w:line="196" w:lineRule="exact"/>
              <w:rPr>
                <w:sz w:val="20"/>
                <w:szCs w:val="20"/>
                <w:color w:val="auto"/>
              </w:rPr>
            </w:pPr>
            <w:r>
              <w:rPr>
                <w:rFonts w:ascii="Arial" w:cs="Arial" w:eastAsia="Arial" w:hAnsi="Arial"/>
                <w:sz w:val="18"/>
                <w:szCs w:val="18"/>
                <w:color w:val="auto"/>
              </w:rPr>
              <w:t>March 21, 2011</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18"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4"/>
          </w:tcPr>
          <w:p>
            <w:pPr>
              <w:ind w:left="180"/>
              <w:spacing w:after="0"/>
              <w:rPr>
                <w:sz w:val="20"/>
                <w:szCs w:val="20"/>
                <w:color w:val="auto"/>
              </w:rPr>
            </w:pPr>
            <w:r>
              <w:rPr>
                <w:rFonts w:ascii="Arial" w:cs="Arial" w:eastAsia="Arial" w:hAnsi="Arial"/>
                <w:sz w:val="18"/>
                <w:szCs w:val="18"/>
                <w:b w:val="1"/>
                <w:bCs w:val="1"/>
                <w:color w:val="auto"/>
              </w:rPr>
              <w:t>Description</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16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2.9</w:t>
            </w:r>
          </w:p>
        </w:tc>
        <w:tc>
          <w:tcPr>
            <w:tcW w:w="5180" w:type="dxa"/>
            <w:vAlign w:val="bottom"/>
            <w:tcBorders>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Asset Purchase Agreement among Tree.com, Inc.,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 xml:space="preserve">Inc., LendingTree, LLC, HLC Escrow, Inc. and Discover Bank, dated </w:t>
              </w:r>
            </w:hyperlink>
            <w:r>
              <w:rPr>
                <w:rFonts w:ascii="Arial" w:cs="Arial" w:eastAsia="Arial" w:hAnsi="Arial"/>
                <w:sz w:val="18"/>
                <w:szCs w:val="18"/>
                <w:color w:val="000000"/>
              </w:rPr>
              <w:t>May</w:t>
            </w:r>
            <w:r>
              <w:rPr>
                <w:rFonts w:ascii="Arial" w:cs="Arial" w:eastAsia="Arial" w:hAnsi="Arial"/>
                <w:sz w:val="18"/>
                <w:szCs w:val="18"/>
                <w:color w:val="0000FF"/>
              </w:rPr>
              <w:t xml:space="preserve"> </w:t>
            </w:r>
            <w:r>
              <w:rPr>
                <w:rFonts w:ascii="Arial" w:cs="Arial" w:eastAsia="Arial" w:hAnsi="Arial"/>
                <w:sz w:val="18"/>
                <w:szCs w:val="18"/>
                <w:color w:val="000000"/>
              </w:rPr>
              <w:t>16, 2011</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May 12, 2011**</w:t>
              </w:r>
            </w:hyperlink>
          </w:p>
        </w:tc>
        <w:tc>
          <w:tcPr>
            <w:tcW w:w="248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2.10</w:t>
            </w:r>
          </w:p>
        </w:tc>
        <w:tc>
          <w:tcPr>
            <w:tcW w:w="10220" w:type="dxa"/>
            <w:vAlign w:val="bottom"/>
            <w:gridSpan w:val="23"/>
          </w:tcPr>
          <w:p>
            <w:pPr>
              <w:spacing w:after="0" w:line="202"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 xml:space="preserve">Asset Purchase Agreement among LendingTree, LLC, RealEstate.com,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2.1 to the Registrant's Current Report on Form 8-K filed</w:t>
            </w:r>
          </w:p>
        </w:tc>
      </w:tr>
      <w:tr>
        <w:trPr>
          <w:trHeight w:val="196"/>
        </w:trPr>
        <w:tc>
          <w:tcPr>
            <w:tcW w:w="1200" w:type="dxa"/>
            <w:vAlign w:val="bottom"/>
          </w:tcPr>
          <w:p>
            <w:pPr>
              <w:spacing w:after="0"/>
              <w:rPr>
                <w:sz w:val="17"/>
                <w:szCs w:val="17"/>
                <w:color w:val="auto"/>
              </w:rPr>
            </w:pPr>
          </w:p>
        </w:tc>
        <w:tc>
          <w:tcPr>
            <w:tcW w:w="4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 and Market Leader, Inc., dated September 15, 2011**</w:t>
              </w:r>
            </w:hyperlink>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September 21, 2011</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2.11</w:t>
            </w:r>
          </w:p>
        </w:tc>
        <w:tc>
          <w:tcPr>
            <w:tcW w:w="5180" w:type="dxa"/>
            <w:vAlign w:val="bottom"/>
            <w:tcBorders>
              <w:bottom w:val="single" w:sz="8" w:color="0000FF"/>
              <w:right w:val="single" w:sz="8" w:color="CCEEFF"/>
            </w:tcBorders>
            <w:gridSpan w:val="21"/>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Amendment to Asset Purchase Agreement among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 xml:space="preserve">Inc., HLC Escrow, Inc., LendingTree, LLC, Tree.com, Inc., Discover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8, 2012</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Bank and Discover Financial Services, dated February 7, 2012**</w:t>
              </w:r>
            </w:hyperlink>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2.12</w:t>
            </w:r>
          </w:p>
        </w:tc>
        <w:tc>
          <w:tcPr>
            <w:tcW w:w="10220" w:type="dxa"/>
            <w:vAlign w:val="bottom"/>
            <w:gridSpan w:val="23"/>
          </w:tcPr>
          <w:p>
            <w:pPr>
              <w:spacing w:after="0" w:line="202"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 xml:space="preserve">Membership Interest Purchase Agreement, dated as of November 16,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2.1 to the Registrant's Current Report on Form 8-K filed</w:t>
            </w:r>
          </w:p>
        </w:tc>
      </w:tr>
      <w:tr>
        <w:trPr>
          <w:trHeight w:val="20"/>
        </w:trPr>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2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 xml:space="preserve">2016, by and among LendingTree, LLC, Iron Horse Holdings, LLC, all </w:t>
              </w:r>
            </w:hyperlink>
            <w:r>
              <w:rPr>
                <w:rFonts w:ascii="Arial" w:cs="Arial" w:eastAsia="Arial" w:hAnsi="Arial"/>
                <w:sz w:val="18"/>
                <w:szCs w:val="18"/>
                <w:color w:val="000000"/>
              </w:rPr>
              <w:t>November</w:t>
            </w:r>
            <w:r>
              <w:rPr>
                <w:rFonts w:ascii="Arial" w:cs="Arial" w:eastAsia="Arial" w:hAnsi="Arial"/>
                <w:sz w:val="18"/>
                <w:szCs w:val="18"/>
                <w:color w:val="0000FF"/>
              </w:rPr>
              <w:t xml:space="preserve"> </w:t>
            </w:r>
            <w:r>
              <w:rPr>
                <w:rFonts w:ascii="Arial" w:cs="Arial" w:eastAsia="Arial" w:hAnsi="Arial"/>
                <w:sz w:val="18"/>
                <w:szCs w:val="18"/>
                <w:color w:val="000000"/>
              </w:rPr>
              <w:t>22, 2016</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of the members of Iron Horse Holdings, LLC and Christopher J.</w:t>
              </w:r>
            </w:hyperlink>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60" w:type="dxa"/>
            <w:vAlign w:val="bottom"/>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Mettler. **</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2.13</w:t>
            </w:r>
          </w:p>
        </w:tc>
        <w:tc>
          <w:tcPr>
            <w:tcW w:w="10220" w:type="dxa"/>
            <w:vAlign w:val="bottom"/>
            <w:gridSpan w:val="23"/>
            <w:shd w:val="clear" w:color="auto" w:fill="CCEEFF"/>
          </w:tcPr>
          <w:p>
            <w:pPr>
              <w:spacing w:after="0" w:line="202"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 xml:space="preserve">Assignment and Assumption Agreement, dated November 2, 2017, by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99.7(D) to the Registrant's Current Report on Form SC</w:t>
            </w:r>
          </w:p>
        </w:tc>
      </w:tr>
      <w:tr>
        <w:trPr>
          <w:trHeight w:val="20"/>
        </w:trPr>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tcBorders>
              <w:left w:val="single" w:sz="8" w:color="0000FF"/>
            </w:tcBorders>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3660" w:type="dxa"/>
            <w:vAlign w:val="bottom"/>
            <w:gridSpan w:val="1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and  among  General  Communication,  Inc.,</w:t>
              </w:r>
            </w:hyperlink>
          </w:p>
        </w:tc>
        <w:tc>
          <w:tcPr>
            <w:tcW w:w="6560" w:type="dxa"/>
            <w:vAlign w:val="bottom"/>
            <w:gridSpan w:val="11"/>
            <w:shd w:val="clear" w:color="auto" w:fill="CCEEFF"/>
          </w:tcPr>
          <w:p>
            <w:pPr>
              <w:ind w:left="40"/>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 xml:space="preserve">Liberty  Interactive </w:t>
              </w:r>
            </w:hyperlink>
            <w:r>
              <w:rPr>
                <w:rFonts w:ascii="Arial" w:cs="Arial" w:eastAsia="Arial" w:hAnsi="Arial"/>
                <w:sz w:val="18"/>
                <w:szCs w:val="18"/>
                <w:color w:val="000000"/>
              </w:rPr>
              <w:t>13D/A</w:t>
            </w:r>
            <w:r>
              <w:rPr>
                <w:rFonts w:ascii="Arial" w:cs="Arial" w:eastAsia="Arial" w:hAnsi="Arial"/>
                <w:sz w:val="18"/>
                <w:szCs w:val="18"/>
                <w:color w:val="0000FF"/>
              </w:rPr>
              <w:t xml:space="preserve"> </w:t>
            </w:r>
            <w:r>
              <w:rPr>
                <w:rFonts w:ascii="Arial" w:cs="Arial" w:eastAsia="Arial" w:hAnsi="Arial"/>
                <w:sz w:val="18"/>
                <w:szCs w:val="18"/>
                <w:color w:val="000000"/>
              </w:rPr>
              <w:t>filed November 3, 2017</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Corporation, Liberty USA Holdings, LLC, Ventures Holdco, LLC, and</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3660" w:type="dxa"/>
            <w:vAlign w:val="bottom"/>
            <w:gridSpan w:val="1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LendingTree, Inc.</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2.14</w:t>
            </w:r>
          </w:p>
        </w:tc>
        <w:tc>
          <w:tcPr>
            <w:tcW w:w="10220" w:type="dxa"/>
            <w:vAlign w:val="bottom"/>
            <w:gridSpan w:val="23"/>
          </w:tcPr>
          <w:p>
            <w:pPr>
              <w:spacing w:after="0" w:line="202"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 xml:space="preserve">Unit Purchase Agreement dated as of October 4, 2018 by and among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2.1 to the Registrant’s Current Report on Form 8-K/A filed</w:t>
            </w:r>
          </w:p>
        </w:tc>
      </w:tr>
      <w:tr>
        <w:trPr>
          <w:trHeight w:val="20"/>
        </w:trPr>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23"/>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 xml:space="preserve">LendingTree, LLC, QuoteWizard.com, LLC, all of the members of </w:t>
              </w:r>
            </w:hyperlink>
            <w:r>
              <w:rPr>
                <w:rFonts w:ascii="Arial" w:cs="Arial" w:eastAsia="Arial" w:hAnsi="Arial"/>
                <w:sz w:val="18"/>
                <w:szCs w:val="18"/>
                <w:color w:val="000000"/>
              </w:rPr>
              <w:t>October</w:t>
            </w:r>
            <w:r>
              <w:rPr>
                <w:rFonts w:ascii="Arial" w:cs="Arial" w:eastAsia="Arial" w:hAnsi="Arial"/>
                <w:sz w:val="18"/>
                <w:szCs w:val="18"/>
                <w:color w:val="0000FF"/>
              </w:rPr>
              <w:t xml:space="preserve"> </w:t>
            </w:r>
            <w:r>
              <w:rPr>
                <w:rFonts w:ascii="Arial" w:cs="Arial" w:eastAsia="Arial" w:hAnsi="Arial"/>
                <w:sz w:val="18"/>
                <w:szCs w:val="18"/>
                <w:color w:val="000000"/>
              </w:rPr>
              <w:t>12, 2018</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21"/>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QuoteWizard.com,  LLC,  and  Scott  Peyree  as  the  Securityholders</w:t>
              </w:r>
            </w:hyperlink>
          </w:p>
        </w:tc>
        <w:tc>
          <w:tcPr>
            <w:tcW w:w="40" w:type="dxa"/>
            <w:vAlign w:val="bottom"/>
            <w:tcBorders>
              <w:top w:val="single" w:sz="8" w:color="0000FF"/>
            </w:tcBorders>
          </w:tcPr>
          <w:p>
            <w:pPr>
              <w:spacing w:after="0"/>
              <w:rPr>
                <w:sz w:val="17"/>
                <w:szCs w:val="17"/>
                <w:color w:val="auto"/>
              </w:rPr>
            </w:pPr>
          </w:p>
        </w:tc>
        <w:tc>
          <w:tcPr>
            <w:tcW w:w="50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Representative. **</w:t>
              </w:r>
            </w:hyperlink>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2.15</w:t>
            </w:r>
          </w:p>
        </w:tc>
        <w:tc>
          <w:tcPr>
            <w:tcW w:w="10220" w:type="dxa"/>
            <w:vAlign w:val="bottom"/>
            <w:gridSpan w:val="23"/>
            <w:shd w:val="clear" w:color="auto" w:fill="CCEEFF"/>
          </w:tcPr>
          <w:p>
            <w:pPr>
              <w:spacing w:after="0" w:line="202" w:lineRule="exact"/>
              <w:rPr>
                <w:rFonts w:ascii="Arial" w:cs="Arial" w:eastAsia="Arial" w:hAnsi="Arial"/>
                <w:sz w:val="18"/>
                <w:szCs w:val="18"/>
                <w:color w:val="0000FF"/>
                <w:w w:val="97"/>
              </w:rPr>
            </w:pPr>
            <w:hyperlink r:id="rId33">
              <w:r>
                <w:rPr>
                  <w:rFonts w:ascii="Arial" w:cs="Arial" w:eastAsia="Arial" w:hAnsi="Arial"/>
                  <w:sz w:val="18"/>
                  <w:szCs w:val="18"/>
                  <w:color w:val="0000FF"/>
                  <w:w w:val="97"/>
                </w:rPr>
                <w:t xml:space="preserve">Stock Purchase Agreement dated as of December 20, 2018 by and </w:t>
              </w:r>
            </w:hyperlink>
            <w:r>
              <w:rPr>
                <w:rFonts w:ascii="Arial" w:cs="Arial" w:eastAsia="Arial" w:hAnsi="Arial"/>
                <w:sz w:val="18"/>
                <w:szCs w:val="18"/>
                <w:color w:val="000000"/>
                <w:w w:val="97"/>
              </w:rPr>
              <w:t>Exhibit</w:t>
            </w:r>
            <w:r>
              <w:rPr>
                <w:rFonts w:ascii="Arial" w:cs="Arial" w:eastAsia="Arial" w:hAnsi="Arial"/>
                <w:sz w:val="18"/>
                <w:szCs w:val="18"/>
                <w:color w:val="0000FF"/>
                <w:w w:val="97"/>
              </w:rPr>
              <w:t xml:space="preserve"> </w:t>
            </w:r>
            <w:r>
              <w:rPr>
                <w:rFonts w:ascii="Arial" w:cs="Arial" w:eastAsia="Arial" w:hAnsi="Arial"/>
                <w:sz w:val="18"/>
                <w:szCs w:val="18"/>
                <w:color w:val="000000"/>
                <w:w w:val="97"/>
              </w:rPr>
              <w:t>2.1 to the Registrant’s Current Report on Form 8-K filed</w:t>
            </w:r>
          </w:p>
        </w:tc>
      </w:tr>
      <w:tr>
        <w:trPr>
          <w:trHeight w:val="20"/>
        </w:trPr>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tcBorders>
              <w:left w:val="single" w:sz="8" w:color="CCEEFF"/>
            </w:tcBorders>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3"/>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 xml:space="preserve">among LendingTree, LLC, Value Holding Inc., all of the shareholders </w:t>
              </w:r>
            </w:hyperlink>
            <w:r>
              <w:rPr>
                <w:rFonts w:ascii="Arial" w:cs="Arial" w:eastAsia="Arial" w:hAnsi="Arial"/>
                <w:sz w:val="18"/>
                <w:szCs w:val="18"/>
                <w:color w:val="000000"/>
              </w:rPr>
              <w:t>December</w:t>
            </w:r>
            <w:r>
              <w:rPr>
                <w:rFonts w:ascii="Arial" w:cs="Arial" w:eastAsia="Arial" w:hAnsi="Arial"/>
                <w:sz w:val="18"/>
                <w:szCs w:val="18"/>
                <w:color w:val="0000FF"/>
              </w:rPr>
              <w:t xml:space="preserve"> </w:t>
            </w:r>
            <w:r>
              <w:rPr>
                <w:rFonts w:ascii="Arial" w:cs="Arial" w:eastAsia="Arial" w:hAnsi="Arial"/>
                <w:sz w:val="18"/>
                <w:szCs w:val="18"/>
                <w:color w:val="000000"/>
              </w:rPr>
              <w:t>27, 2018</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of Value Holding Inc., and Jonathan Wu as the Sellers’ Representative.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w:t>
              </w:r>
            </w:hyperlink>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w:t>
            </w:r>
          </w:p>
        </w:tc>
        <w:tc>
          <w:tcPr>
            <w:tcW w:w="3660" w:type="dxa"/>
            <w:vAlign w:val="bottom"/>
            <w:gridSpan w:val="12"/>
          </w:tcPr>
          <w:p>
            <w:pPr>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Amended   and   Restated   Certificate   of</w:t>
              </w:r>
            </w:hyperlink>
          </w:p>
        </w:tc>
        <w:tc>
          <w:tcPr>
            <w:tcW w:w="1160" w:type="dxa"/>
            <w:vAlign w:val="bottom"/>
            <w:gridSpan w:val="5"/>
          </w:tcPr>
          <w:p>
            <w:pPr>
              <w:ind w:left="140"/>
              <w:spacing w:after="0" w:line="202"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Incorporation</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gridSpan w:val="4"/>
          </w:tcPr>
          <w:p>
            <w:pPr>
              <w:ind w:left="40"/>
              <w:spacing w:after="0" w:line="202" w:lineRule="exact"/>
              <w:rPr>
                <w:rFonts w:ascii="Arial" w:cs="Arial" w:eastAsia="Arial" w:hAnsi="Arial"/>
                <w:sz w:val="18"/>
                <w:szCs w:val="18"/>
                <w:color w:val="0000FF"/>
                <w:w w:val="98"/>
              </w:rPr>
            </w:pPr>
            <w:hyperlink r:id="rId34">
              <w:r>
                <w:rPr>
                  <w:rFonts w:ascii="Arial" w:cs="Arial" w:eastAsia="Arial" w:hAnsi="Arial"/>
                  <w:sz w:val="18"/>
                  <w:szCs w:val="18"/>
                  <w:color w:val="0000FF"/>
                  <w:w w:val="98"/>
                </w:rPr>
                <w:t xml:space="preserve">of </w:t>
              </w:r>
            </w:hyperlink>
            <w:r>
              <w:rPr>
                <w:rFonts w:ascii="Arial" w:cs="Arial" w:eastAsia="Arial" w:hAnsi="Arial"/>
                <w:sz w:val="18"/>
                <w:szCs w:val="18"/>
                <w:color w:val="000000"/>
                <w:w w:val="98"/>
              </w:rPr>
              <w:t>Exhibit</w:t>
            </w:r>
            <w:r>
              <w:rPr>
                <w:rFonts w:ascii="Arial" w:cs="Arial" w:eastAsia="Arial" w:hAnsi="Arial"/>
                <w:sz w:val="18"/>
                <w:szCs w:val="18"/>
                <w:color w:val="0000FF"/>
                <w:w w:val="98"/>
              </w:rPr>
              <w:t xml:space="preserve"> </w:t>
            </w:r>
            <w:r>
              <w:rPr>
                <w:rFonts w:ascii="Arial" w:cs="Arial" w:eastAsia="Arial" w:hAnsi="Arial"/>
                <w:sz w:val="18"/>
                <w:szCs w:val="18"/>
                <w:color w:val="000000"/>
                <w:w w:val="98"/>
              </w:rPr>
              <w:t>3.1 to the Registrant's Current Report on Form 8-K (No.</w:t>
            </w:r>
          </w:p>
        </w:tc>
      </w:tr>
      <w:tr>
        <w:trPr>
          <w:trHeight w:val="196"/>
        </w:trPr>
        <w:tc>
          <w:tcPr>
            <w:tcW w:w="1200" w:type="dxa"/>
            <w:vAlign w:val="bottom"/>
          </w:tcPr>
          <w:p>
            <w:pPr>
              <w:spacing w:after="0"/>
              <w:rPr>
                <w:sz w:val="17"/>
                <w:szCs w:val="17"/>
                <w:color w:val="auto"/>
              </w:rPr>
            </w:pPr>
          </w:p>
        </w:tc>
        <w:tc>
          <w:tcPr>
            <w:tcW w:w="36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LendingTree, Inc.</w:t>
              </w:r>
            </w:hyperlink>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001-34063) filed August 25, 2008</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w:t>
            </w:r>
          </w:p>
        </w:tc>
        <w:tc>
          <w:tcPr>
            <w:tcW w:w="4820" w:type="dxa"/>
            <w:vAlign w:val="bottom"/>
            <w:gridSpan w:val="17"/>
            <w:shd w:val="clear" w:color="auto" w:fill="CCEEFF"/>
          </w:tcPr>
          <w:p>
            <w:pPr>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Fourth Amended and Restated By-laws of LendingTree, Inc.</w:t>
              </w:r>
            </w:hyperlink>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Exhibit 3.1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4.1</w:t>
            </w:r>
          </w:p>
        </w:tc>
        <w:tc>
          <w:tcPr>
            <w:tcW w:w="10220" w:type="dxa"/>
            <w:vAlign w:val="bottom"/>
            <w:gridSpan w:val="23"/>
          </w:tcPr>
          <w:p>
            <w:pPr>
              <w:spacing w:after="0" w:line="202"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 xml:space="preserve">Amended  and  Restated  Restricted  Share  Grant  and  Shareholders'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10.8 to the Registrant's Registration Statement on Form S-1</w:t>
            </w:r>
          </w:p>
        </w:tc>
      </w:tr>
      <w:tr>
        <w:trPr>
          <w:trHeight w:val="20"/>
        </w:trPr>
        <w:tc>
          <w:tcPr>
            <w:tcW w:w="12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60" w:type="dxa"/>
            <w:vAlign w:val="bottom"/>
            <w:gridSpan w:val="1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Agreement,  among  Forest  Merger  Corp.,</w:t>
              </w:r>
            </w:hyperlink>
          </w:p>
        </w:tc>
        <w:tc>
          <w:tcPr>
            <w:tcW w:w="1160" w:type="dxa"/>
            <w:vAlign w:val="bottom"/>
            <w:gridSpan w:val="5"/>
          </w:tcPr>
          <w:p>
            <w:pPr>
              <w:ind w:left="40"/>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LendingTree,</w:t>
              </w:r>
            </w:hyperlink>
          </w:p>
        </w:tc>
        <w:tc>
          <w:tcPr>
            <w:tcW w:w="5400" w:type="dxa"/>
            <w:vAlign w:val="bottom"/>
            <w:gridSpan w:val="6"/>
          </w:tcPr>
          <w:p>
            <w:pPr>
              <w:ind w:left="40"/>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 xml:space="preserve">Inc., </w:t>
              </w:r>
            </w:hyperlink>
            <w:r>
              <w:rPr>
                <w:rFonts w:ascii="Arial" w:cs="Arial" w:eastAsia="Arial" w:hAnsi="Arial"/>
                <w:sz w:val="18"/>
                <w:szCs w:val="18"/>
                <w:color w:val="000000"/>
              </w:rPr>
              <w:t>(No.</w:t>
            </w:r>
            <w:r>
              <w:rPr>
                <w:rFonts w:ascii="Arial" w:cs="Arial" w:eastAsia="Arial" w:hAnsi="Arial"/>
                <w:sz w:val="18"/>
                <w:szCs w:val="18"/>
                <w:color w:val="0000FF"/>
              </w:rPr>
              <w:t xml:space="preserve"> </w:t>
            </w:r>
            <w:r>
              <w:rPr>
                <w:rFonts w:ascii="Arial" w:cs="Arial" w:eastAsia="Arial" w:hAnsi="Arial"/>
                <w:sz w:val="18"/>
                <w:szCs w:val="18"/>
                <w:color w:val="000000"/>
              </w:rPr>
              <w:t>333-152700), filed August 1, 2008</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21"/>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InterActiveCorp and the Grantees named therein, dated July 7, 2003*</w:t>
              </w:r>
            </w:hyperlink>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4.2</w:t>
            </w:r>
          </w:p>
        </w:tc>
        <w:tc>
          <w:tcPr>
            <w:tcW w:w="10220" w:type="dxa"/>
            <w:vAlign w:val="bottom"/>
            <w:gridSpan w:val="23"/>
            <w:shd w:val="clear" w:color="auto" w:fill="CCEEFF"/>
          </w:tcPr>
          <w:p>
            <w:pPr>
              <w:spacing w:after="0" w:line="202"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 xml:space="preserve">Registration Rights Agreement among Tree.com, Inc., Liberty Media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10.5 to the Registrant's Current Report on Form 8-K (No.</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5180" w:type="dxa"/>
            <w:vAlign w:val="bottom"/>
            <w:tcBorders>
              <w:top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Corporation and Liberty USA Holdings, LLC, dated August 20, 2008.</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001-34063) filed August 25, 2008</w:t>
            </w:r>
          </w:p>
        </w:tc>
      </w:tr>
      <w:tr>
        <w:trPr>
          <w:trHeight w:val="203"/>
        </w:trPr>
        <w:tc>
          <w:tcPr>
            <w:tcW w:w="1200" w:type="dxa"/>
            <w:vAlign w:val="bottom"/>
            <w:tcBorders>
              <w:top w:val="single" w:sz="8" w:color="CCEEFF"/>
            </w:tcBorders>
          </w:tcPr>
          <w:p>
            <w:pPr>
              <w:jc w:val="right"/>
              <w:ind w:right="70"/>
              <w:spacing w:after="0" w:line="202" w:lineRule="exact"/>
              <w:rPr>
                <w:sz w:val="20"/>
                <w:szCs w:val="20"/>
                <w:color w:val="auto"/>
              </w:rPr>
            </w:pPr>
            <w:r>
              <w:rPr>
                <w:rFonts w:ascii="Arial" w:cs="Arial" w:eastAsia="Arial" w:hAnsi="Arial"/>
                <w:sz w:val="18"/>
                <w:szCs w:val="18"/>
                <w:color w:val="auto"/>
              </w:rPr>
              <w:t>4.3</w:t>
            </w:r>
          </w:p>
        </w:tc>
        <w:tc>
          <w:tcPr>
            <w:tcW w:w="4820" w:type="dxa"/>
            <w:vAlign w:val="bottom"/>
            <w:tcBorders>
              <w:top w:val="single" w:sz="8" w:color="0000FF"/>
            </w:tcBorders>
            <w:gridSpan w:val="17"/>
          </w:tcPr>
          <w:p>
            <w:pPr>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Indenture for .0625% Convertible Senior Notes due 2022</w:t>
              </w:r>
            </w:hyperlink>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w w:val="99"/>
              </w:rPr>
              <w:t>Exhibit 4.1 to the Registrant's Current Report on Form 8-K filed</w:t>
            </w:r>
          </w:p>
        </w:tc>
      </w:tr>
      <w:tr>
        <w:trPr>
          <w:trHeight w:val="237"/>
        </w:trPr>
        <w:tc>
          <w:tcPr>
            <w:tcW w:w="12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4.4</w:t>
            </w:r>
          </w:p>
        </w:tc>
        <w:tc>
          <w:tcPr>
            <w:tcW w:w="5180" w:type="dxa"/>
            <w:vAlign w:val="bottom"/>
            <w:tcBorders>
              <w:right w:val="single" w:sz="8" w:color="CCEEFF"/>
            </w:tcBorders>
            <w:gridSpan w:val="21"/>
            <w:shd w:val="clear" w:color="auto" w:fill="CCEEFF"/>
          </w:tcPr>
          <w:p>
            <w:pPr>
              <w:spacing w:after="0" w:line="202"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Purchase Agreement for .0625% Convertible Senior Notes due 2022</w:t>
              </w:r>
            </w:hyperlink>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w:t>
            </w:r>
          </w:p>
        </w:tc>
        <w:tc>
          <w:tcPr>
            <w:tcW w:w="3660" w:type="dxa"/>
            <w:vAlign w:val="bottom"/>
            <w:gridSpan w:val="12"/>
          </w:tcPr>
          <w:p>
            <w:pPr>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Base Issuer Warrant Transaction</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7"/>
              </w:rPr>
              <w:t>Exhibit 99.4 to the Registrant's Current Report on Form 8-K filed</w:t>
            </w:r>
          </w:p>
        </w:tc>
      </w:tr>
      <w:tr>
        <w:trPr>
          <w:trHeight w:val="237"/>
        </w:trPr>
        <w:tc>
          <w:tcPr>
            <w:tcW w:w="12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4.6</w:t>
            </w:r>
          </w:p>
        </w:tc>
        <w:tc>
          <w:tcPr>
            <w:tcW w:w="3660" w:type="dxa"/>
            <w:vAlign w:val="bottom"/>
            <w:gridSpan w:val="12"/>
            <w:shd w:val="clear" w:color="auto" w:fill="CCEEFF"/>
          </w:tcPr>
          <w:p>
            <w:pPr>
              <w:spacing w:after="0" w:line="202" w:lineRule="exact"/>
              <w:rPr>
                <w:rFonts w:ascii="Arial" w:cs="Arial" w:eastAsia="Arial" w:hAnsi="Arial"/>
                <w:sz w:val="18"/>
                <w:szCs w:val="18"/>
                <w:color w:val="0000FF"/>
              </w:rPr>
            </w:pPr>
            <w:hyperlink r:id="rId41">
              <w:r>
                <w:rPr>
                  <w:rFonts w:ascii="Arial" w:cs="Arial" w:eastAsia="Arial" w:hAnsi="Arial"/>
                  <w:sz w:val="18"/>
                  <w:szCs w:val="18"/>
                  <w:color w:val="0000FF"/>
                </w:rPr>
                <w:t>Additional Issuer Warrant Transaction</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Exhibit 99.5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4.7</w:t>
            </w:r>
          </w:p>
        </w:tc>
        <w:tc>
          <w:tcPr>
            <w:tcW w:w="10220" w:type="dxa"/>
            <w:vAlign w:val="bottom"/>
            <w:gridSpan w:val="23"/>
          </w:tcPr>
          <w:p>
            <w:pPr>
              <w:spacing w:after="0" w:line="202" w:lineRule="exact"/>
              <w:rPr>
                <w:rFonts w:ascii="Arial" w:cs="Arial" w:eastAsia="Arial" w:hAnsi="Arial"/>
                <w:sz w:val="18"/>
                <w:szCs w:val="18"/>
                <w:color w:val="0000FF"/>
              </w:rPr>
            </w:pPr>
            <w:hyperlink w:anchor="page116">
              <w:r>
                <w:rPr>
                  <w:rFonts w:ascii="Arial" w:cs="Arial" w:eastAsia="Arial" w:hAnsi="Arial"/>
                  <w:sz w:val="18"/>
                  <w:szCs w:val="18"/>
                  <w:color w:val="0000FF"/>
                </w:rPr>
                <w:t xml:space="preserve">Description  of  the  Registrant's  Securities  Registered  Pursuant  to </w:t>
              </w:r>
            </w:hyperlink>
            <w:r>
              <w:rPr>
                <w:rFonts w:ascii="Arial" w:cs="Arial" w:eastAsia="Arial" w:hAnsi="Arial"/>
                <w:sz w:val="18"/>
                <w:szCs w:val="18"/>
                <w:color w:val="000000"/>
              </w:rPr>
              <w:t>†</w:t>
            </w:r>
          </w:p>
        </w:tc>
      </w:tr>
      <w:tr>
        <w:trPr>
          <w:trHeight w:val="196"/>
        </w:trPr>
        <w:tc>
          <w:tcPr>
            <w:tcW w:w="1200" w:type="dxa"/>
            <w:vAlign w:val="bottom"/>
          </w:tcPr>
          <w:p>
            <w:pPr>
              <w:spacing w:after="0"/>
              <w:rPr>
                <w:sz w:val="17"/>
                <w:szCs w:val="17"/>
                <w:color w:val="auto"/>
              </w:rPr>
            </w:pPr>
          </w:p>
        </w:tc>
        <w:tc>
          <w:tcPr>
            <w:tcW w:w="3660" w:type="dxa"/>
            <w:vAlign w:val="bottom"/>
            <w:tcBorders>
              <w:top w:val="single" w:sz="8" w:color="0000FF"/>
            </w:tcBorders>
            <w:gridSpan w:val="12"/>
          </w:tcPr>
          <w:p>
            <w:pPr>
              <w:spacing w:after="0" w:line="19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Section 12 of the Securities Exchange Act of 1934</w:t>
              </w:r>
            </w:hyperlink>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w:t>
            </w:r>
          </w:p>
        </w:tc>
        <w:tc>
          <w:tcPr>
            <w:tcW w:w="10220" w:type="dxa"/>
            <w:vAlign w:val="bottom"/>
            <w:gridSpan w:val="23"/>
            <w:shd w:val="clear" w:color="auto" w:fill="CCEEFF"/>
          </w:tcPr>
          <w:p>
            <w:pPr>
              <w:spacing w:after="0" w:line="202"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 xml:space="preserve">Employment Agreement between Douglas Lebda and the Company,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10.3 to the Registrant's Quarterly Report on Form 10-Q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dated September 20, 2017*</w:t>
              </w:r>
            </w:hyperlink>
          </w:p>
        </w:tc>
        <w:tc>
          <w:tcPr>
            <w:tcW w:w="4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October 26, 2017</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w:t>
            </w:r>
          </w:p>
        </w:tc>
        <w:tc>
          <w:tcPr>
            <w:tcW w:w="5180" w:type="dxa"/>
            <w:vAlign w:val="bottom"/>
            <w:tcBorders>
              <w:bottom w:val="single" w:sz="8" w:color="0000FF"/>
            </w:tcBorders>
            <w:gridSpan w:val="21"/>
          </w:tcPr>
          <w:p>
            <w:pPr>
              <w:spacing w:after="0" w:line="202"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Letter Agreement between Tree.com, Inc. and Carla Shumate, dated</w:t>
              </w:r>
            </w:hyperlink>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5"/>
              </w:rPr>
              <w:t>Exhibit 10.1 to the Registrant's Annual Report on Form 10-K filed</w:t>
            </w:r>
          </w:p>
        </w:tc>
      </w:tr>
      <w:tr>
        <w:trPr>
          <w:trHeight w:val="196"/>
        </w:trPr>
        <w:tc>
          <w:tcPr>
            <w:tcW w:w="1200" w:type="dxa"/>
            <w:vAlign w:val="bottom"/>
          </w:tcPr>
          <w:p>
            <w:pPr>
              <w:spacing w:after="0"/>
              <w:rPr>
                <w:sz w:val="17"/>
                <w:szCs w:val="17"/>
                <w:color w:val="auto"/>
              </w:rPr>
            </w:pPr>
          </w:p>
        </w:tc>
        <w:tc>
          <w:tcPr>
            <w:tcW w:w="3660" w:type="dxa"/>
            <w:vAlign w:val="bottom"/>
            <w:gridSpan w:val="1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December 11, 2012*</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April 1, 2013</w:t>
            </w:r>
          </w:p>
        </w:tc>
      </w:tr>
      <w:tr>
        <w:trPr>
          <w:trHeight w:val="48"/>
        </w:trPr>
        <w:tc>
          <w:tcPr>
            <w:tcW w:w="12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w:t>
            </w:r>
          </w:p>
        </w:tc>
        <w:tc>
          <w:tcPr>
            <w:tcW w:w="5180" w:type="dxa"/>
            <w:vAlign w:val="bottom"/>
            <w:tcBorders>
              <w:right w:val="single" w:sz="8" w:color="CCEEFF"/>
            </w:tcBorders>
            <w:gridSpan w:val="21"/>
            <w:shd w:val="clear" w:color="auto" w:fill="CCEEFF"/>
          </w:tcPr>
          <w:p>
            <w:pPr>
              <w:spacing w:after="0" w:line="202"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Letter Agreement between LendingTree, Inc. and Carla Shumate, dated</w:t>
              </w:r>
            </w:hyperlink>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March 11, 2015*</w:t>
              </w:r>
            </w:hyperlink>
          </w:p>
        </w:tc>
        <w:tc>
          <w:tcPr>
            <w:tcW w:w="4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April 30, 2015</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10.4</w:t>
            </w:r>
          </w:p>
        </w:tc>
        <w:tc>
          <w:tcPr>
            <w:tcW w:w="5180" w:type="dxa"/>
            <w:vAlign w:val="bottom"/>
            <w:gridSpan w:val="21"/>
          </w:tcPr>
          <w:p>
            <w:pPr>
              <w:spacing w:after="0" w:line="202"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Letter Agreement between LendingTree, Inc. and Carla Shumate, dated</w:t>
              </w:r>
            </w:hyperlink>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5"/>
              </w:rPr>
              <w:t>Exhibit 10.6 to the Registrant's Annual Report on Form 10-K filed</w:t>
            </w:r>
          </w:p>
        </w:tc>
      </w:tr>
      <w:tr>
        <w:trPr>
          <w:trHeight w:val="196"/>
        </w:trPr>
        <w:tc>
          <w:tcPr>
            <w:tcW w:w="1200" w:type="dxa"/>
            <w:vAlign w:val="bottom"/>
          </w:tcPr>
          <w:p>
            <w:pPr>
              <w:spacing w:after="0"/>
              <w:rPr>
                <w:sz w:val="17"/>
                <w:szCs w:val="17"/>
                <w:color w:val="auto"/>
              </w:rPr>
            </w:pPr>
          </w:p>
        </w:tc>
        <w:tc>
          <w:tcPr>
            <w:tcW w:w="36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December 31, 2015*</w:t>
              </w:r>
            </w:hyperlink>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March 1, 2016</w:t>
            </w:r>
          </w:p>
        </w:tc>
      </w:tr>
      <w:tr>
        <w:trPr>
          <w:trHeight w:val="480"/>
        </w:trPr>
        <w:tc>
          <w:tcPr>
            <w:tcW w:w="12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11"/>
          </w:tcPr>
          <w:p>
            <w:pPr>
              <w:ind w:left="12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0"/>
                <w:szCs w:val="20"/>
                <w:color w:val="auto"/>
              </w:rPr>
            </w:pPr>
          </w:p>
        </w:tc>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10.5</w:t>
            </w:r>
          </w:p>
        </w:tc>
        <w:tc>
          <w:tcPr>
            <w:tcW w:w="498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Fifth Amended and Restated 2008 Stock and Annual Incentive Plan*</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1"/>
              </w:rPr>
              <w:t>Exhibit 4.3(A) to the Registrant's Registration Statement on Form S-</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10.6</w:t>
            </w:r>
          </w:p>
        </w:tc>
        <w:tc>
          <w:tcPr>
            <w:tcW w:w="10220" w:type="dxa"/>
            <w:vAlign w:val="bottom"/>
            <w:gridSpan w:val="16"/>
          </w:tcPr>
          <w:p>
            <w:pPr>
              <w:spacing w:after="0" w:line="202"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 xml:space="preserve">Form of Notice of Stock Option Award Granted Under the 2008 Stock </w:t>
              </w:r>
            </w:hyperlink>
            <w:r>
              <w:rPr>
                <w:rFonts w:ascii="Arial" w:cs="Arial" w:eastAsia="Arial" w:hAnsi="Arial"/>
                <w:sz w:val="18"/>
                <w:szCs w:val="18"/>
                <w:color w:val="000000"/>
                <w:w w:val="95"/>
              </w:rPr>
              <w:t>Exhibit</w:t>
            </w:r>
            <w:r>
              <w:rPr>
                <w:rFonts w:ascii="Arial" w:cs="Arial" w:eastAsia="Arial" w:hAnsi="Arial"/>
                <w:sz w:val="18"/>
                <w:szCs w:val="18"/>
                <w:color w:val="0000FF"/>
                <w:w w:val="95"/>
              </w:rPr>
              <w:t xml:space="preserve"> </w:t>
            </w:r>
            <w:r>
              <w:rPr>
                <w:rFonts w:ascii="Arial" w:cs="Arial" w:eastAsia="Arial" w:hAnsi="Arial"/>
                <w:sz w:val="18"/>
                <w:szCs w:val="18"/>
                <w:color w:val="000000"/>
                <w:w w:val="95"/>
              </w:rPr>
              <w:t>10.6 to the Registrant's Current Report on Form 8-K (No.</w:t>
            </w:r>
          </w:p>
        </w:tc>
      </w:tr>
      <w:tr>
        <w:trPr>
          <w:trHeight w:val="196"/>
        </w:trPr>
        <w:tc>
          <w:tcPr>
            <w:tcW w:w="1200" w:type="dxa"/>
            <w:vAlign w:val="bottom"/>
          </w:tcPr>
          <w:p>
            <w:pPr>
              <w:spacing w:after="0"/>
              <w:rPr>
                <w:sz w:val="17"/>
                <w:szCs w:val="17"/>
                <w:color w:val="auto"/>
              </w:rPr>
            </w:pPr>
          </w:p>
        </w:tc>
        <w:tc>
          <w:tcPr>
            <w:tcW w:w="49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and Annual Incentive Plan*</w:t>
              </w:r>
            </w:hyperlink>
          </w:p>
        </w:tc>
        <w:tc>
          <w:tcPr>
            <w:tcW w:w="200" w:type="dxa"/>
            <w:vAlign w:val="bottom"/>
            <w:tcBorders>
              <w:top w:val="single" w:sz="8" w:color="0000FF"/>
            </w:tcBorders>
          </w:tcPr>
          <w:p>
            <w:pPr>
              <w:spacing w:after="0"/>
              <w:rPr>
                <w:sz w:val="17"/>
                <w:szCs w:val="17"/>
                <w:color w:val="auto"/>
              </w:rPr>
            </w:pPr>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001-34063) filed March 27, 2009</w:t>
            </w: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10.7</w:t>
            </w:r>
          </w:p>
        </w:tc>
        <w:tc>
          <w:tcPr>
            <w:tcW w:w="4980" w:type="dxa"/>
            <w:vAlign w:val="bottom"/>
            <w:gridSpan w:val="14"/>
            <w:shd w:val="clear" w:color="auto" w:fill="CCEEFF"/>
          </w:tcPr>
          <w:p>
            <w:pPr>
              <w:spacing w:after="0" w:line="202" w:lineRule="exact"/>
              <w:rPr>
                <w:rFonts w:ascii="Arial" w:cs="Arial" w:eastAsia="Arial" w:hAnsi="Arial"/>
                <w:sz w:val="18"/>
                <w:szCs w:val="18"/>
                <w:color w:val="0000FF"/>
              </w:rPr>
            </w:pPr>
            <w:hyperlink r:id="rId48">
              <w:r>
                <w:rPr>
                  <w:rFonts w:ascii="Arial" w:cs="Arial" w:eastAsia="Arial" w:hAnsi="Arial"/>
                  <w:sz w:val="18"/>
                  <w:szCs w:val="18"/>
                  <w:color w:val="0000FF"/>
                </w:rPr>
                <w:t>Form of Notice of Restricted Stock Unit Award*</w:t>
              </w:r>
            </w:hyperlink>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10.3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7, 2014</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10.8</w:t>
            </w:r>
          </w:p>
        </w:tc>
        <w:tc>
          <w:tcPr>
            <w:tcW w:w="4980" w:type="dxa"/>
            <w:vAlign w:val="bottom"/>
            <w:gridSpan w:val="14"/>
          </w:tcPr>
          <w:p>
            <w:pPr>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Form of Notice of Restricted Stock Award*</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37"/>
        </w:trPr>
        <w:tc>
          <w:tcPr>
            <w:tcW w:w="12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May 7, 2014</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10.9</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 xml:space="preserve">Form of Notice of Stock Option Award Granted Under the 2008 Stock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10.5 to the Registrant's Quarterly Report on Form 10-Q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and Annual Incentive Plan*</w:t>
              </w:r>
            </w:hyperlink>
          </w:p>
        </w:tc>
        <w:tc>
          <w:tcPr>
            <w:tcW w:w="200" w:type="dxa"/>
            <w:vAlign w:val="bottom"/>
            <w:tcBorders>
              <w:top w:val="single" w:sz="8" w:color="0000FF"/>
            </w:tcBorders>
            <w:shd w:val="clear" w:color="auto" w:fill="CCEEFF"/>
          </w:tcPr>
          <w:p>
            <w:pPr>
              <w:spacing w:after="0"/>
              <w:rPr>
                <w:sz w:val="17"/>
                <w:szCs w:val="17"/>
                <w:color w:val="auto"/>
              </w:rPr>
            </w:pPr>
          </w:p>
        </w:tc>
        <w:tc>
          <w:tcPr>
            <w:tcW w:w="50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May 7, 2014</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10.10</w:t>
            </w:r>
          </w:p>
        </w:tc>
        <w:tc>
          <w:tcPr>
            <w:tcW w:w="4980" w:type="dxa"/>
            <w:vAlign w:val="bottom"/>
            <w:gridSpan w:val="14"/>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LendingTree, Inc. 2017 Inducement Grant Plan*</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1"/>
              </w:rPr>
              <w:t>Exhibit 4.4(A) to the Registrant's Registration Statement on Form S-</w:t>
            </w:r>
          </w:p>
        </w:tc>
      </w:tr>
      <w:tr>
        <w:trPr>
          <w:trHeight w:val="237"/>
        </w:trPr>
        <w:tc>
          <w:tcPr>
            <w:tcW w:w="12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8 (No. 333-218747), filed June 14, 2017</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10.11</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 xml:space="preserve">Notice of Restricted Stock Unit Award Granted Under the LendingTree, </w:t>
              </w:r>
            </w:hyperlink>
            <w:r>
              <w:rPr>
                <w:rFonts w:ascii="Arial" w:cs="Arial" w:eastAsia="Arial" w:hAnsi="Arial"/>
                <w:sz w:val="18"/>
                <w:szCs w:val="18"/>
                <w:color w:val="000000"/>
                <w:w w:val="91"/>
              </w:rPr>
              <w:t>Exhibit</w:t>
            </w:r>
            <w:r>
              <w:rPr>
                <w:rFonts w:ascii="Arial" w:cs="Arial" w:eastAsia="Arial" w:hAnsi="Arial"/>
                <w:sz w:val="18"/>
                <w:szCs w:val="18"/>
                <w:color w:val="0000FF"/>
                <w:w w:val="91"/>
              </w:rPr>
              <w:t xml:space="preserve"> </w:t>
            </w:r>
            <w:r>
              <w:rPr>
                <w:rFonts w:ascii="Arial" w:cs="Arial" w:eastAsia="Arial" w:hAnsi="Arial"/>
                <w:sz w:val="18"/>
                <w:szCs w:val="18"/>
                <w:color w:val="000000"/>
                <w:w w:val="91"/>
              </w:rPr>
              <w:t>4.4(B) to the Registrant's Registration Statement on Form S-</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Inc. 2017 Inducement Plan*</w:t>
              </w:r>
            </w:hyperlink>
          </w:p>
        </w:tc>
        <w:tc>
          <w:tcPr>
            <w:tcW w:w="200" w:type="dxa"/>
            <w:vAlign w:val="bottom"/>
            <w:tcBorders>
              <w:top w:val="single" w:sz="8" w:color="0000FF"/>
            </w:tcBorders>
            <w:shd w:val="clear" w:color="auto" w:fill="CCEEFF"/>
          </w:tcPr>
          <w:p>
            <w:pPr>
              <w:spacing w:after="0"/>
              <w:rPr>
                <w:sz w:val="17"/>
                <w:szCs w:val="17"/>
                <w:color w:val="auto"/>
              </w:rPr>
            </w:pPr>
          </w:p>
        </w:tc>
        <w:tc>
          <w:tcPr>
            <w:tcW w:w="50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8 (No. 333-218747), filed June 14, 2017</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10.12</w:t>
            </w:r>
          </w:p>
        </w:tc>
        <w:tc>
          <w:tcPr>
            <w:tcW w:w="4980" w:type="dxa"/>
            <w:vAlign w:val="bottom"/>
            <w:gridSpan w:val="14"/>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Restricted Stock Award Agreement*</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1"/>
              </w:rPr>
              <w:t>Exhibit 4.4(C) to the Registrant's Registration Statement on Form S-</w:t>
            </w:r>
          </w:p>
        </w:tc>
      </w:tr>
      <w:tr>
        <w:trPr>
          <w:trHeight w:val="237"/>
        </w:trPr>
        <w:tc>
          <w:tcPr>
            <w:tcW w:w="12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8 (No. 333-218747), filed June 14, 2017</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10.13</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 xml:space="preserve">Notice  of  [YEAR]  Stock  Option  Award  Granted  Under  the </w:t>
              </w:r>
            </w:hyperlink>
            <w:r>
              <w:rPr>
                <w:rFonts w:ascii="Arial" w:cs="Arial" w:eastAsia="Arial" w:hAnsi="Arial"/>
                <w:sz w:val="18"/>
                <w:szCs w:val="18"/>
                <w:color w:val="000000"/>
                <w:w w:val="98"/>
              </w:rPr>
              <w:t>Exhibit</w:t>
            </w:r>
            <w:r>
              <w:rPr>
                <w:rFonts w:ascii="Arial" w:cs="Arial" w:eastAsia="Arial" w:hAnsi="Arial"/>
                <w:sz w:val="18"/>
                <w:szCs w:val="18"/>
                <w:color w:val="0000FF"/>
                <w:w w:val="98"/>
              </w:rPr>
              <w:t xml:space="preserve"> </w:t>
            </w:r>
            <w:r>
              <w:rPr>
                <w:rFonts w:ascii="Arial" w:cs="Arial" w:eastAsia="Arial" w:hAnsi="Arial"/>
                <w:sz w:val="18"/>
                <w:szCs w:val="18"/>
                <w:color w:val="000000"/>
                <w:w w:val="98"/>
              </w:rPr>
              <w:t>4.4(D)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50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LendingTree, Inc. 2017 Inducement Grant Plan*</w:t>
              </w:r>
            </w:hyperlink>
          </w:p>
        </w:tc>
        <w:tc>
          <w:tcPr>
            <w:tcW w:w="148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10.14</w:t>
            </w:r>
          </w:p>
        </w:tc>
        <w:tc>
          <w:tcPr>
            <w:tcW w:w="4980" w:type="dxa"/>
            <w:vAlign w:val="bottom"/>
            <w:gridSpan w:val="14"/>
          </w:tcPr>
          <w:p>
            <w:pPr>
              <w:spacing w:after="0" w:line="202" w:lineRule="exact"/>
              <w:rPr>
                <w:rFonts w:ascii="Arial" w:cs="Arial" w:eastAsia="Arial" w:hAnsi="Arial"/>
                <w:sz w:val="18"/>
                <w:szCs w:val="18"/>
                <w:color w:val="0000FF"/>
                <w:w w:val="97"/>
              </w:rPr>
            </w:pPr>
            <w:hyperlink r:id="rId55">
              <w:r>
                <w:rPr>
                  <w:rFonts w:ascii="Arial" w:cs="Arial" w:eastAsia="Arial" w:hAnsi="Arial"/>
                  <w:sz w:val="18"/>
                  <w:szCs w:val="18"/>
                  <w:color w:val="0000FF"/>
                  <w:w w:val="97"/>
                </w:rPr>
                <w:t>2011 Deferred Compensation Plan for Non-Employee Directors*</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7"/>
        </w:trPr>
        <w:tc>
          <w:tcPr>
            <w:tcW w:w="12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April 30, 2015</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10.15</w:t>
            </w:r>
          </w:p>
        </w:tc>
        <w:tc>
          <w:tcPr>
            <w:tcW w:w="4980" w:type="dxa"/>
            <w:vAlign w:val="bottom"/>
            <w:gridSpan w:val="14"/>
            <w:shd w:val="clear" w:color="auto" w:fill="CCEEFF"/>
          </w:tcPr>
          <w:p>
            <w:pPr>
              <w:spacing w:after="0" w:line="202" w:lineRule="exact"/>
              <w:rPr>
                <w:rFonts w:ascii="Arial" w:cs="Arial" w:eastAsia="Arial" w:hAnsi="Arial"/>
                <w:sz w:val="18"/>
                <w:szCs w:val="18"/>
                <w:color w:val="0000FF"/>
              </w:rPr>
            </w:pPr>
            <w:hyperlink r:id="rId56">
              <w:r>
                <w:rPr>
                  <w:rFonts w:ascii="Arial" w:cs="Arial" w:eastAsia="Arial" w:hAnsi="Arial"/>
                  <w:sz w:val="18"/>
                  <w:szCs w:val="18"/>
                  <w:color w:val="0000FF"/>
                </w:rPr>
                <w:t>Deferred Compensation Plan for Non-Employee Directors*</w:t>
              </w:r>
            </w:hyperlink>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10.15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 (No. 333-152700), filed August 1, 2008</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10.16</w:t>
            </w:r>
          </w:p>
        </w:tc>
        <w:tc>
          <w:tcPr>
            <w:tcW w:w="10220" w:type="dxa"/>
            <w:vAlign w:val="bottom"/>
            <w:gridSpan w:val="16"/>
          </w:tcPr>
          <w:p>
            <w:pPr>
              <w:spacing w:after="0" w:line="202"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 xml:space="preserve">Standard Terms and Conditions to Restricted Stock Award Letters of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10.2 to the Registrant's Current Report on Form 8-K filed</w:t>
            </w:r>
          </w:p>
        </w:tc>
      </w:tr>
      <w:tr>
        <w:trPr>
          <w:trHeight w:val="196"/>
        </w:trPr>
        <w:tc>
          <w:tcPr>
            <w:tcW w:w="1200" w:type="dxa"/>
            <w:vAlign w:val="bottom"/>
          </w:tcPr>
          <w:p>
            <w:pPr>
              <w:spacing w:after="0"/>
              <w:rPr>
                <w:sz w:val="17"/>
                <w:szCs w:val="17"/>
                <w:color w:val="auto"/>
              </w:rPr>
            </w:pPr>
          </w:p>
        </w:tc>
        <w:tc>
          <w:tcPr>
            <w:tcW w:w="49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Tree.com BU Holding Company, Inc.*</w:t>
              </w:r>
            </w:hyperlink>
          </w:p>
        </w:tc>
        <w:tc>
          <w:tcPr>
            <w:tcW w:w="200" w:type="dxa"/>
            <w:vAlign w:val="bottom"/>
            <w:tcBorders>
              <w:top w:val="single" w:sz="8" w:color="0000FF"/>
            </w:tcBorders>
          </w:tcPr>
          <w:p>
            <w:pPr>
              <w:spacing w:after="0"/>
              <w:rPr>
                <w:sz w:val="17"/>
                <w:szCs w:val="17"/>
                <w:color w:val="auto"/>
              </w:rPr>
            </w:pPr>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February 3, 2011</w:t>
            </w: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10.17</w:t>
            </w:r>
          </w:p>
        </w:tc>
        <w:tc>
          <w:tcPr>
            <w:tcW w:w="4980" w:type="dxa"/>
            <w:vAlign w:val="bottom"/>
            <w:gridSpan w:val="14"/>
            <w:shd w:val="clear" w:color="auto" w:fill="CCEEFF"/>
          </w:tcPr>
          <w:p>
            <w:pPr>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Form of Notice of Restricted Stock Unit Award*</w:t>
              </w:r>
            </w:hyperlink>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10.86(b) to the Registrant's Post-Effective Amendment to its</w:t>
            </w:r>
          </w:p>
        </w:tc>
      </w:tr>
      <w:tr>
        <w:trPr>
          <w:trHeight w:val="222"/>
        </w:trPr>
        <w:tc>
          <w:tcPr>
            <w:tcW w:w="1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15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16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0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7"/>
        </w:trPr>
        <w:tc>
          <w:tcPr>
            <w:tcW w:w="1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July 13, 2012</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10.18</w:t>
            </w:r>
          </w:p>
        </w:tc>
        <w:tc>
          <w:tcPr>
            <w:tcW w:w="4980" w:type="dxa"/>
            <w:vAlign w:val="bottom"/>
            <w:gridSpan w:val="14"/>
          </w:tcPr>
          <w:p>
            <w:pPr>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Form of Restricted Stock Award*</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2"/>
              </w:rPr>
              <w:t>Exhibit 10.86(c) to the Registrant's Post-Effective Amendment to its</w:t>
            </w:r>
          </w:p>
        </w:tc>
      </w:tr>
      <w:tr>
        <w:trPr>
          <w:trHeight w:val="222"/>
        </w:trPr>
        <w:tc>
          <w:tcPr>
            <w:tcW w:w="120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5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July 13, 2012</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10.19</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 xml:space="preserve">Form of Notice of Stock Option Award Granted Under the Amended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10.86(d) to the Registrant's Post-Effective Amendment to its</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and Restated 2008 Stock and Annual Incentive Plan*</w:t>
              </w:r>
            </w:hyperlink>
          </w:p>
        </w:tc>
        <w:tc>
          <w:tcPr>
            <w:tcW w:w="200" w:type="dxa"/>
            <w:vAlign w:val="bottom"/>
            <w:tcBorders>
              <w:top w:val="single" w:sz="8" w:color="0000FF"/>
            </w:tcBorders>
            <w:shd w:val="clear" w:color="auto" w:fill="CCEEFF"/>
          </w:tcPr>
          <w:p>
            <w:pPr>
              <w:spacing w:after="0"/>
              <w:rPr>
                <w:sz w:val="17"/>
                <w:szCs w:val="17"/>
                <w:color w:val="auto"/>
              </w:rPr>
            </w:pPr>
          </w:p>
        </w:tc>
        <w:tc>
          <w:tcPr>
            <w:tcW w:w="50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6"/>
              </w:rPr>
              <w:t>Registration  Statement  on  Form  S-1  (No.  333-152700),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July 13, 2012</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10.20</w:t>
            </w:r>
          </w:p>
        </w:tc>
        <w:tc>
          <w:tcPr>
            <w:tcW w:w="10220" w:type="dxa"/>
            <w:vAlign w:val="bottom"/>
            <w:gridSpan w:val="16"/>
          </w:tcPr>
          <w:p>
            <w:pPr>
              <w:spacing w:after="0" w:line="202"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 xml:space="preserve">Form of Notice of Stock Option Award Granted Under the Second </w:t>
              </w:r>
            </w:hyperlink>
            <w:r>
              <w:rPr>
                <w:rFonts w:ascii="Arial" w:cs="Arial" w:eastAsia="Arial" w:hAnsi="Arial"/>
                <w:sz w:val="18"/>
                <w:szCs w:val="18"/>
                <w:color w:val="000000"/>
                <w:w w:val="98"/>
              </w:rPr>
              <w:t>Exhibit</w:t>
            </w:r>
            <w:r>
              <w:rPr>
                <w:rFonts w:ascii="Arial" w:cs="Arial" w:eastAsia="Arial" w:hAnsi="Arial"/>
                <w:sz w:val="18"/>
                <w:szCs w:val="18"/>
                <w:color w:val="0000FF"/>
                <w:w w:val="98"/>
              </w:rPr>
              <w:t xml:space="preserve"> </w:t>
            </w:r>
            <w:r>
              <w:rPr>
                <w:rFonts w:ascii="Arial" w:cs="Arial" w:eastAsia="Arial" w:hAnsi="Arial"/>
                <w:sz w:val="18"/>
                <w:szCs w:val="18"/>
                <w:color w:val="000000"/>
                <w:w w:val="98"/>
              </w:rPr>
              <w:t>10.13 to the Registrant's Quarterly Report on Form 10-Q</w:t>
            </w:r>
          </w:p>
        </w:tc>
      </w:tr>
      <w:tr>
        <w:trPr>
          <w:trHeight w:val="196"/>
        </w:trPr>
        <w:tc>
          <w:tcPr>
            <w:tcW w:w="1200" w:type="dxa"/>
            <w:vAlign w:val="bottom"/>
          </w:tcPr>
          <w:p>
            <w:pPr>
              <w:spacing w:after="0"/>
              <w:rPr>
                <w:sz w:val="17"/>
                <w:szCs w:val="17"/>
                <w:color w:val="auto"/>
              </w:rPr>
            </w:pPr>
          </w:p>
        </w:tc>
        <w:tc>
          <w:tcPr>
            <w:tcW w:w="4980" w:type="dxa"/>
            <w:vAlign w:val="bottom"/>
            <w:tcBorders>
              <w:top w:val="single" w:sz="8" w:color="0000FF"/>
            </w:tcBorders>
            <w:gridSpan w:val="14"/>
          </w:tcPr>
          <w:p>
            <w:pPr>
              <w:spacing w:after="0" w:line="196"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Amended and Restated 2008 Stock and Annual Incentive Plan*</w:t>
              </w:r>
            </w:hyperlink>
          </w:p>
        </w:tc>
        <w:tc>
          <w:tcPr>
            <w:tcW w:w="200" w:type="dxa"/>
            <w:vAlign w:val="bottom"/>
            <w:tcBorders>
              <w:top w:val="single" w:sz="8" w:color="0000FF"/>
            </w:tcBorders>
          </w:tcPr>
          <w:p>
            <w:pPr>
              <w:spacing w:after="0"/>
              <w:rPr>
                <w:sz w:val="17"/>
                <w:szCs w:val="17"/>
                <w:color w:val="auto"/>
              </w:rPr>
            </w:pPr>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(No. 001-34063) filed May 12, 2010</w:t>
            </w: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10.21</w:t>
            </w:r>
          </w:p>
        </w:tc>
        <w:tc>
          <w:tcPr>
            <w:tcW w:w="4980" w:type="dxa"/>
            <w:vAlign w:val="bottom"/>
            <w:gridSpan w:val="14"/>
            <w:shd w:val="clear" w:color="auto" w:fill="CCEEFF"/>
          </w:tcPr>
          <w:p>
            <w:pPr>
              <w:spacing w:after="0" w:line="202" w:lineRule="exact"/>
              <w:rPr>
                <w:rFonts w:ascii="Arial" w:cs="Arial" w:eastAsia="Arial" w:hAnsi="Arial"/>
                <w:sz w:val="18"/>
                <w:szCs w:val="18"/>
                <w:color w:val="0000FF"/>
              </w:rPr>
            </w:pPr>
            <w:hyperlink r:id="rId62">
              <w:r>
                <w:rPr>
                  <w:rFonts w:ascii="Arial" w:cs="Arial" w:eastAsia="Arial" w:hAnsi="Arial"/>
                  <w:sz w:val="18"/>
                  <w:szCs w:val="18"/>
                  <w:color w:val="0000FF"/>
                </w:rPr>
                <w:t>Base Convertible Bond Hedge Transaction</w:t>
              </w:r>
            </w:hyperlink>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7"/>
              </w:rPr>
              <w:t>Exhibit 99.2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10.22</w:t>
            </w:r>
          </w:p>
        </w:tc>
        <w:tc>
          <w:tcPr>
            <w:tcW w:w="4980" w:type="dxa"/>
            <w:vAlign w:val="bottom"/>
            <w:gridSpan w:val="14"/>
          </w:tcPr>
          <w:p>
            <w:pPr>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Additional Convertible Bond Hedge Transaction</w:t>
              </w:r>
            </w:hyperlink>
          </w:p>
        </w:tc>
        <w:tc>
          <w:tcPr>
            <w:tcW w:w="200" w:type="dxa"/>
            <w:vAlign w:val="bottom"/>
          </w:tcPr>
          <w:p>
            <w:pPr>
              <w:spacing w:after="0"/>
              <w:rPr>
                <w:sz w:val="17"/>
                <w:szCs w:val="17"/>
                <w:color w:val="auto"/>
              </w:rPr>
            </w:pP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7"/>
              </w:rPr>
              <w:t>Exhibit 99.3 to the Registrant's Current Report on Form 8-K filed</w:t>
            </w:r>
          </w:p>
        </w:tc>
      </w:tr>
      <w:tr>
        <w:trPr>
          <w:trHeight w:val="237"/>
        </w:trPr>
        <w:tc>
          <w:tcPr>
            <w:tcW w:w="120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10.23</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 xml:space="preserve">Amended and Restated Credit Agreement, dated as of November 21,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10.38 to the Registrant's Annual Report on Form 10-K filed</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2017+</w:t>
              </w:r>
            </w:hyperlink>
          </w:p>
        </w:tc>
        <w:tc>
          <w:tcPr>
            <w:tcW w:w="15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0000FF"/>
              <w:bottom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504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February 26, 2018</w:t>
            </w:r>
          </w:p>
        </w:tc>
      </w:tr>
      <w:tr>
        <w:trPr>
          <w:trHeight w:val="48"/>
        </w:trPr>
        <w:tc>
          <w:tcPr>
            <w:tcW w:w="1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4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499" w:right="239" w:bottom="1440" w:gutter="0" w:footer="0" w:header="0"/>
        </w:sectPr>
      </w:pPr>
    </w:p>
    <w:p>
      <w:pPr>
        <w:ind w:left="1200" w:hanging="553"/>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65">
        <w:r>
          <w:rPr>
            <w:rFonts w:ascii="Arial" w:cs="Arial" w:eastAsia="Arial" w:hAnsi="Arial"/>
            <w:sz w:val="18"/>
            <w:szCs w:val="18"/>
            <w:u w:val="single" w:color="auto"/>
            <w:color w:val="0000FF"/>
          </w:rPr>
          <w:t>Joinder to Amended and Restated Credit Agreement, dated as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October 26,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hanging="210"/>
        <w:spacing w:after="0" w:line="277" w:lineRule="auto"/>
        <w:rPr>
          <w:rFonts w:ascii="Arial" w:cs="Arial" w:eastAsia="Arial" w:hAnsi="Arial"/>
          <w:sz w:val="18"/>
          <w:szCs w:val="18"/>
          <w:color w:val="0000FF"/>
        </w:rPr>
      </w:pPr>
      <w:hyperlink r:id="rId65">
        <w:r>
          <w:rPr>
            <w:rFonts w:ascii="Arial" w:cs="Arial" w:eastAsia="Arial" w:hAnsi="Arial"/>
            <w:sz w:val="18"/>
            <w:szCs w:val="18"/>
            <w:u w:val="single" w:color="auto"/>
            <w:color w:val="0000FF"/>
          </w:rPr>
          <w:t>of</w:t>
        </w:r>
        <w:r>
          <w:rPr>
            <w:rFonts w:ascii="Arial" w:cs="Arial" w:eastAsia="Arial" w:hAnsi="Arial"/>
            <w:sz w:val="18"/>
            <w:szCs w:val="18"/>
            <w:color w:val="0000FF"/>
          </w:rPr>
          <w:t xml:space="preserve"> </w:t>
        </w:r>
      </w:hyperlink>
      <w:r>
        <w:rPr>
          <w:rFonts w:ascii="Arial" w:cs="Arial" w:eastAsia="Arial" w:hAnsi="Arial"/>
          <w:sz w:val="18"/>
          <w:szCs w:val="18"/>
          <w:color w:val="000000"/>
        </w:rPr>
        <w:t>Exhibit</w:t>
      </w:r>
      <w:r>
        <w:rPr>
          <w:rFonts w:ascii="Arial" w:cs="Arial" w:eastAsia="Arial" w:hAnsi="Arial"/>
          <w:sz w:val="18"/>
          <w:szCs w:val="18"/>
          <w:color w:val="0000FF"/>
        </w:rPr>
        <w:t xml:space="preserve"> </w:t>
      </w:r>
      <w:r>
        <w:rPr>
          <w:rFonts w:ascii="Arial" w:cs="Arial" w:eastAsia="Arial" w:hAnsi="Arial"/>
          <w:sz w:val="18"/>
          <w:szCs w:val="18"/>
          <w:color w:val="000000"/>
        </w:rPr>
        <w:t>10.30 to the Registrant's Annual Report on Form 10-K filed</w:t>
      </w:r>
      <w:r>
        <w:rPr>
          <w:rFonts w:ascii="Arial" w:cs="Arial" w:eastAsia="Arial" w:hAnsi="Arial"/>
          <w:sz w:val="18"/>
          <w:szCs w:val="18"/>
          <w:color w:val="0000FF"/>
        </w:rPr>
        <w:t xml:space="preserve"> </w:t>
      </w:r>
      <w:r>
        <w:rPr>
          <w:rFonts w:ascii="Arial" w:cs="Arial" w:eastAsia="Arial" w:hAnsi="Arial"/>
          <w:sz w:val="18"/>
          <w:szCs w:val="18"/>
          <w:color w:val="000000"/>
        </w:rPr>
        <w:t>February 28, 2019</w:t>
      </w:r>
    </w:p>
    <w:p>
      <w:pPr>
        <w:spacing w:after="0" w:line="8" w:lineRule="exact"/>
        <w:rPr>
          <w:sz w:val="20"/>
          <w:szCs w:val="20"/>
          <w:color w:val="auto"/>
        </w:rPr>
      </w:pPr>
    </w:p>
    <w:p>
      <w:pPr>
        <w:sectPr>
          <w:pgSz w:w="11900" w:h="16838" w:orient="portrait"/>
          <w:cols w:equalWidth="0" w:num="2">
            <w:col w:w="6120" w:space="320"/>
            <w:col w:w="4980"/>
          </w:cols>
          <w:pgMar w:left="240" w:top="499" w:right="239" w:bottom="1440" w:gutter="0" w:footer="0" w:header="0"/>
          <w:type w:val="continuous"/>
        </w:sectPr>
      </w:pPr>
    </w:p>
    <w:p>
      <w:pPr>
        <w:ind w:left="1200" w:right="40" w:hanging="55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10.25</w:t>
      </w:r>
      <w:r>
        <w:rPr>
          <w:sz w:val="20"/>
          <w:szCs w:val="20"/>
          <w:color w:val="auto"/>
        </w:rPr>
        <w:tab/>
      </w:r>
      <w:hyperlink r:id="rId67">
        <w:r>
          <w:rPr>
            <w:rFonts w:ascii="Arial" w:cs="Arial" w:eastAsia="Arial" w:hAnsi="Arial"/>
            <w:sz w:val="18"/>
            <w:szCs w:val="18"/>
            <w:u w:val="single" w:color="auto"/>
            <w:color w:val="0000FF"/>
          </w:rPr>
          <w:t xml:space="preserve">Agreement of Purchase and Sale, by and among LendingTree, LLC and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10.31 to the Registrant's Annual Report on Form 10-K filed</w:t>
      </w:r>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an affiliate of Greenstreet Real Estate Partners, L.P., dated October 17,</w:t>
        </w:r>
        <w:r>
          <w:rPr>
            <w:rFonts w:ascii="Arial" w:cs="Arial" w:eastAsia="Arial" w:hAnsi="Arial"/>
            <w:sz w:val="18"/>
            <w:szCs w:val="18"/>
            <w:color w:val="0000FF"/>
          </w:rPr>
          <w:t xml:space="preserve">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28, 2017</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2016</w:t>
        </w:r>
      </w:hyperlink>
    </w:p>
    <w:p>
      <w:pPr>
        <w:spacing w:after="0" w:line="49" w:lineRule="exact"/>
        <w:rPr>
          <w:sz w:val="20"/>
          <w:szCs w:val="20"/>
          <w:color w:val="auto"/>
        </w:rPr>
      </w:pPr>
    </w:p>
    <w:p>
      <w:pPr>
        <w:ind w:left="1200" w:right="40" w:hanging="55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10.26</w:t>
      </w:r>
      <w:r>
        <w:rPr>
          <w:sz w:val="20"/>
          <w:szCs w:val="20"/>
          <w:color w:val="auto"/>
        </w:rPr>
        <w:tab/>
      </w:r>
      <w:hyperlink r:id="rId68">
        <w:r>
          <w:rPr>
            <w:rFonts w:ascii="Arial" w:cs="Arial" w:eastAsia="Arial" w:hAnsi="Arial"/>
            <w:sz w:val="18"/>
            <w:szCs w:val="18"/>
            <w:u w:val="single" w:color="auto"/>
            <w:color w:val="0000FF"/>
          </w:rPr>
          <w:t xml:space="preserve">First Amendment to Purchase and Sale, by and among LendingTree,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10.32 to the Registrant's Annual Report on Form 10-K filed</w:t>
      </w:r>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LLC and an affiliate of Greenstreet Real Estate Partners, L.P., dated</w:t>
        </w:r>
        <w:r>
          <w:rPr>
            <w:rFonts w:ascii="Arial" w:cs="Arial" w:eastAsia="Arial" w:hAnsi="Arial"/>
            <w:sz w:val="18"/>
            <w:szCs w:val="18"/>
            <w:color w:val="0000FF"/>
          </w:rPr>
          <w:t xml:space="preserve">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28, 2017</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November 28, 2016</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99"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6"/>
          </w:tcPr>
          <w:p>
            <w:pPr>
              <w:ind w:left="720"/>
              <w:spacing w:after="0"/>
              <w:rPr>
                <w:sz w:val="20"/>
                <w:szCs w:val="20"/>
                <w:color w:val="auto"/>
              </w:rPr>
            </w:pPr>
            <w:r>
              <w:rPr>
                <w:rFonts w:ascii="Arial" w:cs="Arial" w:eastAsia="Arial" w:hAnsi="Arial"/>
                <w:sz w:val="18"/>
                <w:szCs w:val="18"/>
                <w:b w:val="1"/>
                <w:bCs w:val="1"/>
                <w:color w:val="auto"/>
              </w:rPr>
              <w:t>Description</w:t>
            </w:r>
          </w:p>
        </w:tc>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10.27</w:t>
            </w:r>
          </w:p>
        </w:tc>
        <w:tc>
          <w:tcPr>
            <w:tcW w:w="518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Employment Agreement dated December 21, 2017, among John David</w:t>
              </w:r>
            </w:hyperlink>
          </w:p>
        </w:tc>
        <w:tc>
          <w:tcPr>
            <w:tcW w:w="5040" w:type="dxa"/>
            <w:vAlign w:val="bottom"/>
            <w:tcBorders>
              <w:left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Exhibit 10.1 to the Registrant’s Quarterly Report on Form 10-Q</w:t>
            </w:r>
          </w:p>
        </w:tc>
      </w:tr>
      <w:tr>
        <w:trPr>
          <w:trHeight w:val="196"/>
        </w:trPr>
        <w:tc>
          <w:tcPr>
            <w:tcW w:w="1200" w:type="dxa"/>
            <w:vAlign w:val="bottom"/>
            <w:shd w:val="clear" w:color="auto" w:fill="CCEEFF"/>
          </w:tcPr>
          <w:p>
            <w:pPr>
              <w:spacing w:after="0"/>
              <w:rPr>
                <w:sz w:val="17"/>
                <w:szCs w:val="17"/>
                <w:color w:val="auto"/>
              </w:rPr>
            </w:pPr>
          </w:p>
        </w:tc>
        <w:tc>
          <w:tcPr>
            <w:tcW w:w="5180" w:type="dxa"/>
            <w:vAlign w:val="bottom"/>
            <w:gridSpan w:val="10"/>
            <w:shd w:val="clear" w:color="auto" w:fill="CCEEFF"/>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Moriarty, LendingTree, Inc., and LendingTree, LLC.*</w:t>
              </w:r>
            </w:hyperlink>
          </w:p>
        </w:tc>
        <w:tc>
          <w:tcPr>
            <w:tcW w:w="5040" w:type="dxa"/>
            <w:vAlign w:val="bottom"/>
            <w:tcBorders>
              <w:lef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filed April 27, 2018</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10.28</w:t>
            </w:r>
          </w:p>
        </w:tc>
        <w:tc>
          <w:tcPr>
            <w:tcW w:w="5180" w:type="dxa"/>
            <w:vAlign w:val="bottom"/>
            <w:tcBorders>
              <w:bottom w:val="single" w:sz="8" w:color="0000FF"/>
            </w:tcBorders>
            <w:gridSpan w:val="10"/>
          </w:tcPr>
          <w:p>
            <w:pPr>
              <w:spacing w:after="0" w:line="202"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Employment Agreement, dated January 2, 2018, among Neil Salvage,</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9"/>
              </w:rPr>
              <w:t>Exhibit 10.2 to the Registrant’s Quarterly Report on Form 10-Q</w:t>
            </w:r>
          </w:p>
        </w:tc>
      </w:tr>
      <w:tr>
        <w:trPr>
          <w:trHeight w:val="196"/>
        </w:trPr>
        <w:tc>
          <w:tcPr>
            <w:tcW w:w="1200" w:type="dxa"/>
            <w:vAlign w:val="bottom"/>
          </w:tcPr>
          <w:p>
            <w:pPr>
              <w:spacing w:after="0"/>
              <w:rPr>
                <w:sz w:val="17"/>
                <w:szCs w:val="17"/>
                <w:color w:val="auto"/>
              </w:rPr>
            </w:pPr>
          </w:p>
        </w:tc>
        <w:tc>
          <w:tcPr>
            <w:tcW w:w="5180" w:type="dxa"/>
            <w:vAlign w:val="bottom"/>
            <w:gridSpan w:val="1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LendingTree, Inc., and LendingTree, LLC*</w:t>
              </w:r>
            </w:hyperlink>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filed April 27, 2018</w:t>
            </w:r>
          </w:p>
        </w:tc>
      </w:tr>
      <w:tr>
        <w:trPr>
          <w:trHeight w:val="48"/>
        </w:trPr>
        <w:tc>
          <w:tcPr>
            <w:tcW w:w="12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10.29</w:t>
            </w:r>
          </w:p>
        </w:tc>
        <w:tc>
          <w:tcPr>
            <w:tcW w:w="518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Second  Amended  and  Restated  Credit  Agreement,  dated  as  of</w:t>
              </w:r>
            </w:hyperlink>
          </w:p>
        </w:tc>
        <w:tc>
          <w:tcPr>
            <w:tcW w:w="5040" w:type="dxa"/>
            <w:vAlign w:val="bottom"/>
            <w:tcBorders>
              <w:left w:val="single" w:sz="8" w:color="CCEEFF"/>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December 10, 2019</w:t>
              </w:r>
            </w:hyperlink>
          </w:p>
        </w:tc>
        <w:tc>
          <w:tcPr>
            <w:tcW w:w="3760" w:type="dxa"/>
            <w:vAlign w:val="bottom"/>
            <w:tcBorders>
              <w:bottom w:val="single" w:sz="8" w:color="CCEEFF"/>
            </w:tcBorders>
            <w:gridSpan w:val="6"/>
            <w:shd w:val="clear" w:color="auto" w:fill="CCEEFF"/>
          </w:tcPr>
          <w:p>
            <w:pPr>
              <w:spacing w:after="0"/>
              <w:rPr>
                <w:sz w:val="21"/>
                <w:szCs w:val="21"/>
                <w:color w:val="auto"/>
              </w:rPr>
            </w:pPr>
          </w:p>
        </w:tc>
        <w:tc>
          <w:tcPr>
            <w:tcW w:w="5040" w:type="dxa"/>
            <w:vAlign w:val="bottom"/>
            <w:tcBorders>
              <w:left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December 13, 2019</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10.30</w:t>
            </w:r>
          </w:p>
        </w:tc>
        <w:tc>
          <w:tcPr>
            <w:tcW w:w="5180" w:type="dxa"/>
            <w:vAlign w:val="bottom"/>
            <w:tcBorders>
              <w:bottom w:val="single" w:sz="8" w:color="0000FF"/>
            </w:tcBorders>
            <w:gridSpan w:val="10"/>
          </w:tcPr>
          <w:p>
            <w:pPr>
              <w:spacing w:after="0" w:line="202"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Sixth Amended and Restated LendingTree, Inc. 2008 Stock and Annual</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1"/>
              </w:rPr>
              <w:t>Exhibit 4.3(A)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gridSpan w:val="1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Incentive Plan*</w:t>
              </w:r>
            </w:hyperlink>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8 (No. 333-233035), filed August 6, 2019</w:t>
            </w:r>
          </w:p>
        </w:tc>
      </w:tr>
      <w:tr>
        <w:trPr>
          <w:trHeight w:val="48"/>
        </w:trPr>
        <w:tc>
          <w:tcPr>
            <w:tcW w:w="12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21.1</w:t>
            </w:r>
          </w:p>
        </w:tc>
        <w:tc>
          <w:tcPr>
            <w:tcW w:w="5180" w:type="dxa"/>
            <w:vAlign w:val="bottom"/>
            <w:gridSpan w:val="10"/>
            <w:shd w:val="clear" w:color="auto" w:fill="CCEEFF"/>
          </w:tcPr>
          <w:p>
            <w:pPr>
              <w:spacing w:after="0" w:line="202" w:lineRule="exact"/>
              <w:rPr>
                <w:rFonts w:ascii="Arial" w:cs="Arial" w:eastAsia="Arial" w:hAnsi="Arial"/>
                <w:sz w:val="18"/>
                <w:szCs w:val="18"/>
                <w:color w:val="0000FF"/>
              </w:rPr>
            </w:pPr>
            <w:hyperlink w:anchor="page119">
              <w:r>
                <w:rPr>
                  <w:rFonts w:ascii="Arial" w:cs="Arial" w:eastAsia="Arial" w:hAnsi="Arial"/>
                  <w:sz w:val="18"/>
                  <w:szCs w:val="18"/>
                  <w:color w:val="0000FF"/>
                </w:rPr>
                <w:t>Subsidiaries of LendingTree, Inc.</w:t>
              </w:r>
            </w:hyperlink>
          </w:p>
        </w:tc>
        <w:tc>
          <w:tcPr>
            <w:tcW w:w="5040" w:type="dxa"/>
            <w:vAlign w:val="bottom"/>
            <w:tcBorders>
              <w:lef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23.1</w:t>
            </w:r>
          </w:p>
        </w:tc>
        <w:tc>
          <w:tcPr>
            <w:tcW w:w="5180" w:type="dxa"/>
            <w:vAlign w:val="bottom"/>
            <w:gridSpan w:val="10"/>
          </w:tcPr>
          <w:p>
            <w:pPr>
              <w:spacing w:after="0" w:line="202" w:lineRule="exact"/>
              <w:rPr>
                <w:rFonts w:ascii="Arial" w:cs="Arial" w:eastAsia="Arial" w:hAnsi="Arial"/>
                <w:sz w:val="18"/>
                <w:szCs w:val="18"/>
                <w:color w:val="0000FF"/>
              </w:rPr>
            </w:pPr>
            <w:hyperlink w:anchor="page120">
              <w:r>
                <w:rPr>
                  <w:rFonts w:ascii="Arial" w:cs="Arial" w:eastAsia="Arial" w:hAnsi="Arial"/>
                  <w:sz w:val="18"/>
                  <w:szCs w:val="18"/>
                  <w:color w:val="0000FF"/>
                </w:rPr>
                <w:t>Consent of independent registered public accounting firm.</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r>
      <w:tr>
        <w:trPr>
          <w:trHeight w:val="48"/>
        </w:trPr>
        <w:tc>
          <w:tcPr>
            <w:tcW w:w="12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24.1</w:t>
            </w:r>
          </w:p>
        </w:tc>
        <w:tc>
          <w:tcPr>
            <w:tcW w:w="10220" w:type="dxa"/>
            <w:vAlign w:val="bottom"/>
            <w:gridSpan w:val="11"/>
            <w:shd w:val="clear" w:color="auto" w:fill="CCEEFF"/>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 xml:space="preserve">Power of Attorney (included on signature page of this Annual Report </w:t>
              </w:r>
            </w:hyperlink>
            <w:r>
              <w:rPr>
                <w:rFonts w:ascii="Arial" w:cs="Arial" w:eastAsia="Arial" w:hAnsi="Arial"/>
                <w:sz w:val="18"/>
                <w:szCs w:val="18"/>
                <w:color w:val="000000"/>
              </w:rPr>
              <w:t>†</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on Form 10-K)</w:t>
              </w:r>
            </w:hyperlink>
          </w:p>
        </w:tc>
        <w:tc>
          <w:tcPr>
            <w:tcW w:w="50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31.1</w:t>
            </w:r>
          </w:p>
        </w:tc>
        <w:tc>
          <w:tcPr>
            <w:tcW w:w="10220" w:type="dxa"/>
            <w:vAlign w:val="bottom"/>
            <w:gridSpan w:val="11"/>
          </w:tcPr>
          <w:p>
            <w:pPr>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 xml:space="preserve">Certification of the Chief Executive Officer pursuant to Rule 13a-14(a) </w:t>
              </w:r>
            </w:hyperlink>
            <w:r>
              <w:rPr>
                <w:rFonts w:ascii="Arial" w:cs="Arial" w:eastAsia="Arial" w:hAnsi="Arial"/>
                <w:sz w:val="18"/>
                <w:szCs w:val="18"/>
                <w:color w:val="000000"/>
              </w:rPr>
              <w:t>†</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3"/>
              </w:rPr>
            </w:pPr>
            <w:hyperlink w:anchor="page121">
              <w:r>
                <w:rPr>
                  <w:rFonts w:ascii="Arial" w:cs="Arial" w:eastAsia="Arial" w:hAnsi="Arial"/>
                  <w:sz w:val="18"/>
                  <w:szCs w:val="18"/>
                  <w:color w:val="0000FF"/>
                  <w:w w:val="93"/>
                </w:rPr>
                <w:t>or Rule 15d-14(a) of the Securities Exchange Act of 1934 as adopted</w:t>
              </w:r>
            </w:hyperlink>
          </w:p>
        </w:tc>
        <w:tc>
          <w:tcPr>
            <w:tcW w:w="50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180" w:type="dxa"/>
            <w:vAlign w:val="bottom"/>
            <w:gridSpan w:val="10"/>
          </w:tcPr>
          <w:p>
            <w:pPr>
              <w:spacing w:after="0" w:line="196" w:lineRule="exact"/>
              <w:rPr>
                <w:rFonts w:ascii="Arial" w:cs="Arial" w:eastAsia="Arial" w:hAnsi="Arial"/>
                <w:sz w:val="18"/>
                <w:szCs w:val="18"/>
                <w:color w:val="0000FF"/>
              </w:rPr>
            </w:pPr>
            <w:hyperlink w:anchor="page121">
              <w:r>
                <w:rPr>
                  <w:rFonts w:ascii="Arial" w:cs="Arial" w:eastAsia="Arial" w:hAnsi="Arial"/>
                  <w:sz w:val="18"/>
                  <w:szCs w:val="18"/>
                  <w:color w:val="0000FF"/>
                </w:rPr>
                <w:t>pursuant to Section 302 of the Sarbanes-Oxley Act of 2002</w:t>
              </w:r>
            </w:hyperlink>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31.2</w:t>
            </w:r>
          </w:p>
        </w:tc>
        <w:tc>
          <w:tcPr>
            <w:tcW w:w="10220" w:type="dxa"/>
            <w:vAlign w:val="bottom"/>
            <w:gridSpan w:val="11"/>
            <w:shd w:val="clear" w:color="auto" w:fill="CCEEFF"/>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 xml:space="preserve">Certification of the Chief Financial Officer pursuant to Rule 13a-14(a) </w:t>
              </w:r>
            </w:hyperlink>
            <w:r>
              <w:rPr>
                <w:rFonts w:ascii="Arial" w:cs="Arial" w:eastAsia="Arial" w:hAnsi="Arial"/>
                <w:sz w:val="18"/>
                <w:szCs w:val="18"/>
                <w:color w:val="000000"/>
              </w:rPr>
              <w:t>†</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3"/>
              </w:rPr>
            </w:pPr>
            <w:hyperlink w:anchor="page122">
              <w:r>
                <w:rPr>
                  <w:rFonts w:ascii="Arial" w:cs="Arial" w:eastAsia="Arial" w:hAnsi="Arial"/>
                  <w:sz w:val="18"/>
                  <w:szCs w:val="18"/>
                  <w:color w:val="0000FF"/>
                  <w:w w:val="93"/>
                </w:rPr>
                <w:t>or Rule 15d-14(a) of the Securities Exchange Act of 1934 as adopted</w:t>
              </w:r>
            </w:hyperlink>
          </w:p>
        </w:tc>
        <w:tc>
          <w:tcPr>
            <w:tcW w:w="50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5180" w:type="dxa"/>
            <w:vAlign w:val="bottom"/>
            <w:gridSpan w:val="10"/>
            <w:shd w:val="clear" w:color="auto" w:fill="CCEEFF"/>
          </w:tcPr>
          <w:p>
            <w:pPr>
              <w:spacing w:after="0" w:line="196" w:lineRule="exact"/>
              <w:rPr>
                <w:rFonts w:ascii="Arial" w:cs="Arial" w:eastAsia="Arial" w:hAnsi="Arial"/>
                <w:sz w:val="18"/>
                <w:szCs w:val="18"/>
                <w:color w:val="0000FF"/>
              </w:rPr>
            </w:pPr>
            <w:hyperlink w:anchor="page122">
              <w:r>
                <w:rPr>
                  <w:rFonts w:ascii="Arial" w:cs="Arial" w:eastAsia="Arial" w:hAnsi="Arial"/>
                  <w:sz w:val="18"/>
                  <w:szCs w:val="18"/>
                  <w:color w:val="0000FF"/>
                </w:rPr>
                <w:t>pursuant to Section 302 of the Sarbanes-Oxley Act of 2002</w:t>
              </w:r>
            </w:hyperlink>
          </w:p>
        </w:tc>
        <w:tc>
          <w:tcPr>
            <w:tcW w:w="5040" w:type="dxa"/>
            <w:vAlign w:val="bottom"/>
            <w:tcBorders>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32.1</w:t>
            </w:r>
          </w:p>
        </w:tc>
        <w:tc>
          <w:tcPr>
            <w:tcW w:w="10220" w:type="dxa"/>
            <w:vAlign w:val="bottom"/>
            <w:gridSpan w:val="11"/>
          </w:tcPr>
          <w:p>
            <w:pPr>
              <w:spacing w:after="0" w:line="202" w:lineRule="exact"/>
              <w:rPr>
                <w:rFonts w:ascii="Arial" w:cs="Arial" w:eastAsia="Arial" w:hAnsi="Arial"/>
                <w:sz w:val="18"/>
                <w:szCs w:val="18"/>
                <w:color w:val="0000FF"/>
              </w:rPr>
            </w:pPr>
            <w:hyperlink w:anchor="page123">
              <w:r>
                <w:rPr>
                  <w:rFonts w:ascii="Arial" w:cs="Arial" w:eastAsia="Arial" w:hAnsi="Arial"/>
                  <w:sz w:val="18"/>
                  <w:szCs w:val="18"/>
                  <w:color w:val="0000FF"/>
                </w:rPr>
                <w:t xml:space="preserve">Certification of the Chief Executive Officer pursuant to 18 U.S.C. </w:t>
              </w:r>
            </w:hyperlink>
            <w:r>
              <w:rPr>
                <w:rFonts w:ascii="Arial" w:cs="Arial" w:eastAsia="Arial" w:hAnsi="Arial"/>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320" w:type="dxa"/>
            <w:vAlign w:val="bottom"/>
            <w:gridSpan w:val="9"/>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w:anchor="page123">
              <w:r>
                <w:rPr>
                  <w:rFonts w:ascii="Arial" w:cs="Arial" w:eastAsia="Arial" w:hAnsi="Arial"/>
                  <w:sz w:val="18"/>
                  <w:szCs w:val="18"/>
                  <w:color w:val="0000FF"/>
                  <w:w w:val="88"/>
                </w:rPr>
                <w:t>Section 1350 as adopted pursuant to Section 906 of the Sarbanes-Oxley</w:t>
              </w:r>
            </w:hyperlink>
          </w:p>
        </w:tc>
        <w:tc>
          <w:tcPr>
            <w:tcW w:w="50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180" w:type="dxa"/>
            <w:vAlign w:val="bottom"/>
            <w:gridSpan w:val="10"/>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Act of 2002</w:t>
              </w:r>
            </w:hyperlink>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32.2</w:t>
            </w:r>
          </w:p>
        </w:tc>
        <w:tc>
          <w:tcPr>
            <w:tcW w:w="10220" w:type="dxa"/>
            <w:vAlign w:val="bottom"/>
            <w:gridSpan w:val="11"/>
            <w:shd w:val="clear" w:color="auto" w:fill="CCEEFF"/>
          </w:tcPr>
          <w:p>
            <w:pPr>
              <w:spacing w:after="0" w:line="202" w:lineRule="exact"/>
              <w:rPr>
                <w:rFonts w:ascii="Arial" w:cs="Arial" w:eastAsia="Arial" w:hAnsi="Arial"/>
                <w:sz w:val="18"/>
                <w:szCs w:val="18"/>
                <w:color w:val="0000FF"/>
              </w:rPr>
            </w:pPr>
            <w:hyperlink w:anchor="page124">
              <w:r>
                <w:rPr>
                  <w:rFonts w:ascii="Arial" w:cs="Arial" w:eastAsia="Arial" w:hAnsi="Arial"/>
                  <w:sz w:val="18"/>
                  <w:szCs w:val="18"/>
                  <w:color w:val="0000FF"/>
                </w:rPr>
                <w:t xml:space="preserve">Certification of the Chief Financial Officer pursuant to 18 U.S.C. </w:t>
              </w:r>
            </w:hyperlink>
            <w:r>
              <w:rPr>
                <w:rFonts w:ascii="Arial" w:cs="Arial" w:eastAsia="Arial" w:hAnsi="Arial"/>
                <w:sz w:val="18"/>
                <w:szCs w:val="18"/>
                <w:color w:val="000000"/>
              </w:rPr>
              <w:t>††</w:t>
            </w:r>
          </w:p>
        </w:tc>
      </w:tr>
      <w:tr>
        <w:trPr>
          <w:trHeight w:val="20"/>
        </w:trPr>
        <w:tc>
          <w:tcPr>
            <w:tcW w:w="1200" w:type="dxa"/>
            <w:vAlign w:val="bottom"/>
            <w:shd w:val="clear" w:color="auto" w:fill="CCEEFF"/>
          </w:tcPr>
          <w:p>
            <w:pPr>
              <w:spacing w:after="0" w:line="20" w:lineRule="exact"/>
              <w:rPr>
                <w:sz w:val="1"/>
                <w:szCs w:val="1"/>
                <w:color w:val="auto"/>
              </w:rPr>
            </w:pPr>
          </w:p>
        </w:tc>
        <w:tc>
          <w:tcPr>
            <w:tcW w:w="5180" w:type="dxa"/>
            <w:vAlign w:val="bottom"/>
            <w:gridSpan w:val="10"/>
            <w:shd w:val="clear" w:color="auto" w:fill="0000FF"/>
          </w:tcPr>
          <w:p>
            <w:pPr>
              <w:spacing w:after="0" w:line="20" w:lineRule="exact"/>
              <w:rPr>
                <w:sz w:val="1"/>
                <w:szCs w:val="1"/>
                <w:color w:val="auto"/>
              </w:rPr>
            </w:pPr>
          </w:p>
        </w:tc>
        <w:tc>
          <w:tcPr>
            <w:tcW w:w="50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88"/>
              </w:rPr>
            </w:pPr>
            <w:hyperlink w:anchor="page124">
              <w:r>
                <w:rPr>
                  <w:rFonts w:ascii="Arial" w:cs="Arial" w:eastAsia="Arial" w:hAnsi="Arial"/>
                  <w:sz w:val="18"/>
                  <w:szCs w:val="18"/>
                  <w:color w:val="0000FF"/>
                  <w:w w:val="88"/>
                </w:rPr>
                <w:t>Section 1350 as adopted pursuant to Section 906 of the Sarbanes-Oxley</w:t>
              </w:r>
            </w:hyperlink>
          </w:p>
        </w:tc>
        <w:tc>
          <w:tcPr>
            <w:tcW w:w="50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2"/>
              </w:rPr>
            </w:pPr>
            <w:hyperlink w:anchor="page124">
              <w:r>
                <w:rPr>
                  <w:rFonts w:ascii="Arial" w:cs="Arial" w:eastAsia="Arial" w:hAnsi="Arial"/>
                  <w:sz w:val="18"/>
                  <w:szCs w:val="18"/>
                  <w:color w:val="0000FF"/>
                  <w:w w:val="92"/>
                </w:rPr>
                <w:t>Act of 2002</w:t>
              </w:r>
            </w:hyperlink>
          </w:p>
        </w:tc>
        <w:tc>
          <w:tcPr>
            <w:tcW w:w="4320" w:type="dxa"/>
            <w:vAlign w:val="bottom"/>
            <w:tcBorders>
              <w:bottom w:val="single" w:sz="8" w:color="CCEEFF"/>
            </w:tcBorders>
            <w:gridSpan w:val="9"/>
            <w:shd w:val="clear" w:color="auto" w:fill="CCEEFF"/>
          </w:tcPr>
          <w:p>
            <w:pPr>
              <w:spacing w:after="0"/>
              <w:rPr>
                <w:sz w:val="21"/>
                <w:szCs w:val="21"/>
                <w:color w:val="auto"/>
              </w:rPr>
            </w:pPr>
          </w:p>
        </w:tc>
        <w:tc>
          <w:tcPr>
            <w:tcW w:w="50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101.CAL</w:t>
            </w:r>
          </w:p>
        </w:tc>
        <w:tc>
          <w:tcPr>
            <w:tcW w:w="51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0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101.DEF</w:t>
            </w:r>
          </w:p>
        </w:tc>
        <w:tc>
          <w:tcPr>
            <w:tcW w:w="51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101.INS</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Instance Document — The instance document does not appear †††</w:t>
            </w:r>
          </w:p>
        </w:tc>
      </w:tr>
      <w:tr>
        <w:trPr>
          <w:trHeight w:val="216"/>
        </w:trPr>
        <w:tc>
          <w:tcPr>
            <w:tcW w:w="1200" w:type="dxa"/>
            <w:vAlign w:val="bottom"/>
          </w:tcPr>
          <w:p>
            <w:pPr>
              <w:spacing w:after="0"/>
              <w:rPr>
                <w:sz w:val="18"/>
                <w:szCs w:val="18"/>
                <w:color w:val="auto"/>
              </w:rPr>
            </w:pPr>
          </w:p>
        </w:tc>
        <w:tc>
          <w:tcPr>
            <w:tcW w:w="5180" w:type="dxa"/>
            <w:vAlign w:val="bottom"/>
            <w:gridSpan w:val="10"/>
          </w:tcPr>
          <w:p>
            <w:pPr>
              <w:spacing w:after="0"/>
              <w:rPr>
                <w:sz w:val="20"/>
                <w:szCs w:val="20"/>
                <w:color w:val="auto"/>
              </w:rPr>
            </w:pPr>
            <w:r>
              <w:rPr>
                <w:rFonts w:ascii="Arial" w:cs="Arial" w:eastAsia="Arial" w:hAnsi="Arial"/>
                <w:sz w:val="18"/>
                <w:szCs w:val="18"/>
                <w:color w:val="auto"/>
                <w:w w:val="90"/>
              </w:rPr>
              <w:t>in the Interactive Data File because its XBRL tags are embedded within</w:t>
            </w:r>
          </w:p>
        </w:tc>
        <w:tc>
          <w:tcPr>
            <w:tcW w:w="50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5180" w:type="dxa"/>
            <w:vAlign w:val="bottom"/>
            <w:gridSpan w:val="10"/>
          </w:tcPr>
          <w:p>
            <w:pPr>
              <w:spacing w:after="0"/>
              <w:rPr>
                <w:sz w:val="20"/>
                <w:szCs w:val="20"/>
                <w:color w:val="auto"/>
              </w:rPr>
            </w:pPr>
            <w:r>
              <w:rPr>
                <w:rFonts w:ascii="Arial" w:cs="Arial" w:eastAsia="Arial" w:hAnsi="Arial"/>
                <w:sz w:val="18"/>
                <w:szCs w:val="18"/>
                <w:color w:val="auto"/>
              </w:rPr>
              <w:t>the Inline XBRL document.</w:t>
            </w:r>
          </w:p>
        </w:tc>
        <w:tc>
          <w:tcPr>
            <w:tcW w:w="504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101.LAB</w:t>
            </w:r>
          </w:p>
        </w:tc>
        <w:tc>
          <w:tcPr>
            <w:tcW w:w="51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101.PRE</w:t>
            </w:r>
          </w:p>
        </w:tc>
        <w:tc>
          <w:tcPr>
            <w:tcW w:w="51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0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101.SCH</w:t>
            </w:r>
          </w:p>
        </w:tc>
        <w:tc>
          <w:tcPr>
            <w:tcW w:w="51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2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w:t>
            </w:r>
          </w:p>
        </w:tc>
      </w:tr>
      <w:tr>
        <w:trPr>
          <w:trHeight w:val="230"/>
        </w:trPr>
        <w:tc>
          <w:tcPr>
            <w:tcW w:w="1200" w:type="dxa"/>
            <w:vAlign w:val="bottom"/>
          </w:tcPr>
          <w:p>
            <w:pPr>
              <w:spacing w:after="0"/>
              <w:rPr>
                <w:sz w:val="20"/>
                <w:szCs w:val="20"/>
                <w:color w:val="auto"/>
              </w:rPr>
            </w:pPr>
          </w:p>
        </w:tc>
        <w:tc>
          <w:tcPr>
            <w:tcW w:w="5180" w:type="dxa"/>
            <w:vAlign w:val="bottom"/>
            <w:gridSpan w:val="10"/>
          </w:tcPr>
          <w:p>
            <w:pPr>
              <w:spacing w:after="0"/>
              <w:rPr>
                <w:sz w:val="20"/>
                <w:szCs w:val="20"/>
                <w:color w:val="auto"/>
              </w:rPr>
            </w:pPr>
            <w:r>
              <w:rPr>
                <w:rFonts w:ascii="Arial" w:cs="Arial" w:eastAsia="Arial" w:hAnsi="Arial"/>
                <w:sz w:val="18"/>
                <w:szCs w:val="18"/>
                <w:color w:val="auto"/>
              </w:rPr>
              <w:t>document contained in Exhibit 101)</w:t>
            </w:r>
          </w:p>
        </w:tc>
        <w:tc>
          <w:tcPr>
            <w:tcW w:w="5040" w:type="dxa"/>
            <w:vAlign w:val="bottom"/>
          </w:tcPr>
          <w:p>
            <w:pPr>
              <w:spacing w:after="0"/>
              <w:rPr>
                <w:sz w:val="20"/>
                <w:szCs w:val="20"/>
                <w:color w:val="auto"/>
              </w:rPr>
            </w:pPr>
          </w:p>
        </w:tc>
      </w:tr>
    </w:tbl>
    <w:p>
      <w:pPr>
        <w:spacing w:after="0" w:line="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99" w:right="239" w:bottom="1440" w:gutter="0" w:footer="0" w:header="0"/>
        </w:sectPr>
      </w:pPr>
    </w:p>
    <w:bookmarkStart w:id="112" w:name="page113"/>
    <w:bookmarkEnd w:id="112"/>
    <w:p>
      <w:pPr>
        <w:ind w:firstLine="8"/>
        <w:spacing w:after="0" w:line="277" w:lineRule="auto"/>
        <w:tabs>
          <w:tab w:leader="none" w:pos="2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 Portions of this exhibit have been omitted pursuant to a request for confidential treatment and this exhibit has been submitted separately to the SEC.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76"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each of J.D. Moriarty and Ryan Quinn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2019,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760" w:type="dxa"/>
            <w:vAlign w:val="bottom"/>
          </w:tcPr>
          <w:p>
            <w:pPr>
              <w:spacing w:after="0"/>
              <w:rPr>
                <w:sz w:val="14"/>
                <w:szCs w:val="14"/>
                <w:color w:val="auto"/>
              </w:rPr>
            </w:pPr>
          </w:p>
        </w:tc>
        <w:tc>
          <w:tcPr>
            <w:tcW w:w="4460" w:type="dxa"/>
            <w:vAlign w:val="bottom"/>
            <w:gridSpan w:val="3"/>
          </w:tcPr>
          <w:p>
            <w:pPr>
              <w:ind w:left="2360"/>
              <w:spacing w:after="0"/>
              <w:rPr>
                <w:sz w:val="20"/>
                <w:szCs w:val="20"/>
                <w:color w:val="auto"/>
              </w:rPr>
            </w:pPr>
            <w:r>
              <w:rPr>
                <w:rFonts w:ascii="Arial" w:cs="Arial" w:eastAsia="Arial" w:hAnsi="Arial"/>
                <w:sz w:val="14"/>
                <w:szCs w:val="14"/>
                <w:b w:val="1"/>
                <w:bCs w:val="1"/>
                <w:color w:val="auto"/>
              </w:rPr>
              <w:t>Title</w:t>
            </w:r>
          </w:p>
        </w:tc>
        <w:tc>
          <w:tcPr>
            <w:tcW w:w="1880" w:type="dxa"/>
            <w:vAlign w:val="bottom"/>
            <w:gridSpan w:val="3"/>
          </w:tcPr>
          <w:p>
            <w:pPr>
              <w:ind w:left="1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DOUGLAS R. LEBDA</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Douglas R. Lebda</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J.D. MORIARTY</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J.D. Moriarty</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CARLA SHUMATE</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Carla Shumate</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GABRIEL DALPORTO</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Gabriel Dalporto</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THOMAS DAVIDSON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Thomas Davidson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NEAL DERMER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Neal Dermer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ROBIN HENDERSON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Robin Henderson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PETER HORAN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Peter Horan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STEVEN OZONIAN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Steven Ozonian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SARAS SARASVATHY</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Saras Sarasvathy</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G. KENNEDY THOMPSON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G. Kennedy Thompson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CRAIG TROYER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2020</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Craig Troyer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ind w:left="146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17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The following is a summary of the material terms of our common stock, which is registered under Section 12 of the Securities Exchange Act of 1934, as amended (the “Exchange Act”), as of February 18, 2020. The following description of the terms of our common stock is not meant to be complete and is qualified by reference to our current certificate of incorporation, as amended to date, and our by-laws, each of which is incorporated by reference as an exhibit to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of which this exhibit is a part. We encourage you to read our certificate of incorporation, our bylaws and the applicable provisions of the Delaware General Corporation Law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Company’s authorized capital stock consists of 50,000,000 shares of common stock, par value $0.01 per share, and 5,000,000 shares of preferred stock, par value $0.01 per share. As of February 18, 2020, there were 13,046,043 shares of common stock outstanding. No shares of preferred stock were issued or outstanding as of February 18,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Subject to prior dividend rights of the holders of any preferred shares, holders of shares of our common stock are entitled to receive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when, as and if declared by our board of directors out of funds legally available for that purpose.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Each share of common stock is entitled to one vote on all matters submitted to a vote of stockholders, except that holders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are not entitled to vote on any amendment to our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our certificate of incorporation. Holders of shares of common stock do not have cumulative voting rights. In other words, a holder of a single share of our common stock cannot cast more than one vote for each position to be filled on our board of directors.</w:t>
      </w:r>
    </w:p>
    <w:p>
      <w:pPr>
        <w:spacing w:after="0" w:line="12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Other Rights. </w:t>
      </w:r>
      <w:r>
        <w:rPr>
          <w:rFonts w:ascii="Arial" w:cs="Arial" w:eastAsia="Arial" w:hAnsi="Arial"/>
          <w:sz w:val="18"/>
          <w:szCs w:val="18"/>
          <w:color w:val="auto"/>
        </w:rPr>
        <w:t>In the event of our liquidation, dissolution or winding up, after the satisfaction in full of the liquidation preferences of holders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shares, holders of shares of our common stock are entitled to ratable distribution of the remaining assets available for distribution to stockholders. Shares of common stock are not subject to redemption by operation of a sinking fund or otherwise. Holders of shares of common stock are not currently entitled to preemptive rights.</w:t>
      </w:r>
    </w:p>
    <w:p>
      <w:pPr>
        <w:spacing w:after="0" w:line="14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Fully Paid. </w:t>
      </w:r>
      <w:r>
        <w:rPr>
          <w:rFonts w:ascii="Arial" w:cs="Arial" w:eastAsia="Arial" w:hAnsi="Arial"/>
          <w:sz w:val="18"/>
          <w:szCs w:val="18"/>
          <w:color w:val="auto"/>
        </w:rPr>
        <w:t>The issued and outstanding shares of our common stock are fully paid and non-assessable. This means the full purchase price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shares of common stock has been paid and the holders of such shares will not be assessed any additional amounts for such shares. Any additional shares of common stock that we may issue in the future will also be fully paid and non-assessable.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authorized to issue up to 5,000,000 shares of preferred stock, par value $0.01 per share. Our board of directors, without further action by the holders of our common stock, may issue shares of preferred stock. The board of directors is vested with the authority to fix the designations, preferences and relative, participating, optional or other special rights, and such qualifications, limitations or restrictions thereof, including, without limitation, redemption rights, dividend rights, liquidation preferences and conversion or exchange rights of any class or series of preferred stock, and to fix the number of classes or series of preferred stock, the number of shares constituting any such class or series and the voting powers for each class or series.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authority possessed by our board of directors to issue preferred stock could potentially be used to discourage attempts by third parties to obtain control of the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w:t>
      </w:r>
    </w:p>
    <w:p>
      <w:pPr>
        <w:sectPr>
          <w:pgSz w:w="11900" w:h="16838" w:orient="portrait"/>
          <w:cols w:equalWidth="0" w:num="1">
            <w:col w:w="11420"/>
          </w:cols>
          <w:pgMar w:left="240" w:top="25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Payment of Dividends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incorporated in Delaware and governed by Delaware law. Delaware law allows a corporation to pay dividends only:</w:t>
      </w:r>
    </w:p>
    <w:p>
      <w:pPr>
        <w:spacing w:after="0" w:line="18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 of surplus, as determined under Delaware law; or</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there is no such surplus, out of the corporation’s net profits for the fiscal year in which the dividend is declared and/or the preceding fiscal year.</w:t>
      </w:r>
    </w:p>
    <w:p>
      <w:pPr>
        <w:spacing w:after="0" w:line="130" w:lineRule="exact"/>
        <w:rPr>
          <w:sz w:val="20"/>
          <w:szCs w:val="20"/>
          <w:color w:val="auto"/>
        </w:rPr>
      </w:pPr>
    </w:p>
    <w:p>
      <w:pPr>
        <w:jc w:val="both"/>
        <w:ind w:right="20" w:firstLine="324"/>
        <w:spacing w:after="0" w:line="224" w:lineRule="exact"/>
        <w:rPr>
          <w:sz w:val="20"/>
          <w:szCs w:val="20"/>
          <w:color w:val="auto"/>
        </w:rPr>
      </w:pPr>
      <w:r>
        <w:rPr>
          <w:rFonts w:ascii="Arial" w:cs="Arial" w:eastAsia="Arial" w:hAnsi="Arial"/>
          <w:sz w:val="17"/>
          <w:szCs w:val="17"/>
          <w:color w:val="auto"/>
        </w:rPr>
        <w:t>The amended and restated revolving credit facility we entered into on December 10, 2019, which is described more fully in the documents incorporated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which this exhibit is a part, also contains contractual restrictions on our ability to pay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203 of the DGCL, which we refer to as Section 203, prohibits certain transactions between a Delaware corporation and an “interested stockholder.” Generally, an “interested stockholder” for this purpose is a stockholder who is directly or indirectly a beneficial owner of 15% or more of the outstanding voting power of a Delaware corporation. This provision, if applicable, prohibits certain business combinations between an interested stockholder and a corporation for a period of three years after the date on which the stockholder became an interested stockholder, unless: (1) the transaction which resulted in the stockholder becoming an interested stockholder is approved by the corporation’s board of directors before the stockholder became an interested stockholder; (2) the interested stockholder acquired at least 85% of the voting power (as calculated pursuant to Section 203) of the corporation in the transaction in which the stockholder became an interested stockholder; or (3) the business combination is approved by a majority of the board of directors and the affirmative vote of the holders of two-thirds of the outstanding voting stock not owned by the interested stockholder at or subsequent to the time that the stockholder became an interested stockholder. These restrictions do not apply in certain circumstances, including if the corporation’s certificate of incorporation contains a provision expressly electing not to be governed by Section 203. If such a provision is adopted by an amendment to the corporation’s certificate of incorporation, the amendment will be effective immediately if, among other requirements, the corporation has never had a class of voting stock listed on a national securities exchange or held of record by more than 2,000 stockholders. If this and other requirements are not satisfied, the amendment will not be effective until 12 months after its adoption and will not apply to any business combination between the corporation and any person who became an interested stockholder on or prior to such adoption.</w:t>
      </w:r>
    </w:p>
    <w:p>
      <w:pPr>
        <w:spacing w:after="0" w:line="1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certificate of incorporation contains a provision expressly electing not to be governed by Section 203. Therefore, in accordance with Section 203, the restrictions on certain business combinations in Section 203 do not currently apply in respect of LendingTree.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Some provisions of our certificate of incorporation and by-laws and certain provisions of Delaware law could make the following more difficult:</w:t>
      </w:r>
    </w:p>
    <w:p>
      <w:pPr>
        <w:spacing w:after="0" w:line="19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acquisition of LendingTree by means of a tender offer;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acquisition of LendingTree by means of a proxy contest or otherwise;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removal of our incumbent officers and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and Vacancies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certificate of incorporation and by-laws provide that, subject to the rights of the holders of any series of preferred stock to elect additional directors under specified circumstances, the number of directors on our board of directors will be fixed exclusively by the board of directors. Newly created directorships resulting from any increase in the authorized number of directors or any vacancies in the board of directors resulting from death, resignation, retirement, disqualification, removal from office or other cause will be filled generally by the majority vote of the directors then in office, though less than a quorum.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Stockholder Action by Written Consent</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certificate of incorporation and by-laws expressly eliminate the right of stockholders to act by written consent. Stockholder action must take place at the annual or a special meeting of our stockholders.</w:t>
      </w:r>
    </w:p>
    <w:p>
      <w:pPr>
        <w:sectPr>
          <w:pgSz w:w="11900" w:h="16838" w:orient="portrait"/>
          <w:cols w:equalWidth="0" w:num="1">
            <w:col w:w="11420"/>
          </w:cols>
          <w:pgMar w:left="240" w:top="25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our certificate of incorporation and by-laws, stockholders are not entitled to call special meetings of stockholders. Only a majority of our board of directors or specified individuals may call such meetings.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Stockholder Nominations and Proposals</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by-laws establish advance notice procedures with respect to stockholder proposals and nomination of candidates for election as directors other than nominations made by or at the direction of the board of directors or a committee of the board of directors. In particular, stockholders must notify the corporate secretary in writing prior to the meeting at which the matters are to be acted upon or directors are to be elected. The notice must contain the information specified in our by-laws. To be timely, the notice must be received at our principal executive office not later than 60 or more than 90 days prior to the first anniversary of the date for the preceding year’s annual meeting of stockholders. However, if the date of the annual meeting is advanced more than 30 days prior to or delayed by more than 30 days after the anniversary of the preceding year’s annual meeting, or if no annual meeting was held during the preceding year, notice by the stockholder, to be timely, must be delivered no later than the close of business on the later of the 90th day prior to such annual meeting or the 10th day following the day on which public announcement of the date of such meeting is first made. Moreover, in the event that the number of directors to be elected to the board of directors is increased and we make no public announcement naming all of the nominees for director or specifying the size of the increased board of directors at least 55 days prior to the first anniversary of the date for the preceding year’s annual meeting of stockholders, the stockholder’s notice will be considered timely, but only with respect to nominees for any new positions created by such increase, if it is delivered to the corporate secretary at our principal executive offices not later than the close of business on the 10th day following the day on which we first made such public announcement.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Undesignated Preferred Stock</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authorization in our certificate of incorporation with respect to the issuance of undesignated preferred stock makes it possible for our board of directors to issue preferred stock with voting or other rights or preferences that could impede the success of any attempt to change control of the company. The provision in our certificate of incorporation authorizing such preferred stock may have the effect of deferring hostile takeovers or delaying changes of control of our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Computershare has been appointed as the transfer agent and registrar for our common stock.</w:t>
      </w:r>
    </w:p>
    <w:p>
      <w:pPr>
        <w:sectPr>
          <w:pgSz w:w="11900" w:h="16838" w:orient="portrait"/>
          <w:cols w:equalWidth="0" w:num="1">
            <w:col w:w="11420"/>
          </w:cols>
          <w:pgMar w:left="240" w:top="256"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040" w:type="dxa"/>
            <w:vAlign w:val="bottom"/>
          </w:tcPr>
          <w:p>
            <w:pPr>
              <w:ind w:left="71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48"/>
        </w:trPr>
        <w:tc>
          <w:tcPr>
            <w:tcW w:w="3380" w:type="dxa"/>
            <w:vAlign w:val="bottom"/>
          </w:tcPr>
          <w:p>
            <w:pPr>
              <w:spacing w:after="0"/>
              <w:rPr>
                <w:sz w:val="24"/>
                <w:szCs w:val="24"/>
                <w:color w:val="auto"/>
              </w:rPr>
            </w:pPr>
          </w:p>
        </w:tc>
        <w:tc>
          <w:tcPr>
            <w:tcW w:w="8040" w:type="dxa"/>
            <w:vAlign w:val="bottom"/>
          </w:tcPr>
          <w:p>
            <w:pPr>
              <w:ind w:left="64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585"/>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8040" w:type="dxa"/>
            <w:vAlign w:val="bottom"/>
          </w:tcPr>
          <w:p>
            <w:pPr>
              <w:jc w:val="center"/>
              <w:ind w:left="6472"/>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8040" w:type="dxa"/>
            <w:vAlign w:val="bottom"/>
            <w:tcBorders>
              <w:bottom w:val="single" w:sz="8" w:color="auto"/>
            </w:tcBorders>
          </w:tcPr>
          <w:p>
            <w:pPr>
              <w:jc w:val="center"/>
              <w:ind w:left="6492"/>
              <w:spacing w:after="0"/>
              <w:rPr>
                <w:sz w:val="20"/>
                <w:szCs w:val="20"/>
                <w:color w:val="auto"/>
              </w:rPr>
            </w:pPr>
            <w:r>
              <w:rPr>
                <w:rFonts w:ascii="Arial" w:cs="Arial" w:eastAsia="Arial" w:hAnsi="Arial"/>
                <w:sz w:val="14"/>
                <w:szCs w:val="14"/>
                <w:b w:val="1"/>
                <w:bCs w:val="1"/>
                <w:color w:val="auto"/>
                <w:w w:val="96"/>
              </w:rPr>
              <w:t>Formation</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LLC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Tree.com BU Holding Company, Inc.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DegreeTree,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Rexford Office Holdings, LLC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Loan Center,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HLC Escrow, Inc.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Real Estate, Inc.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LT India Holding Company, LLC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Research Services LLP</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2"/>
              </w:rPr>
              <w:t>India</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Ovation Credit Services, Inc.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4"/>
              </w:rPr>
              <w:t>FL</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 LT Holdings, LLC</w:t>
            </w:r>
          </w:p>
        </w:tc>
        <w:tc>
          <w:tcPr>
            <w:tcW w:w="8040" w:type="dxa"/>
            <w:vAlign w:val="bottom"/>
            <w:tcBorders>
              <w:bottom w:val="single" w:sz="8" w:color="CCEEFF"/>
            </w:tcBorders>
            <w:shd w:val="clear" w:color="auto" w:fill="CCEEFF"/>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QuoteWizard.com, LLC</w:t>
            </w:r>
          </w:p>
        </w:tc>
        <w:tc>
          <w:tcPr>
            <w:tcW w:w="8040" w:type="dxa"/>
            <w:vAlign w:val="bottom"/>
          </w:tcPr>
          <w:p>
            <w:pPr>
              <w:jc w:val="center"/>
              <w:ind w:left="6472"/>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QW Insurance Solutions, LLC</w:t>
            </w:r>
          </w:p>
        </w:tc>
        <w:tc>
          <w:tcPr>
            <w:tcW w:w="8040" w:type="dxa"/>
            <w:vAlign w:val="bottom"/>
            <w:shd w:val="clear" w:color="auto" w:fill="CCEEFF"/>
          </w:tcPr>
          <w:p>
            <w:pPr>
              <w:jc w:val="center"/>
              <w:ind w:left="6472"/>
              <w:spacing w:after="0"/>
              <w:rPr>
                <w:sz w:val="20"/>
                <w:szCs w:val="20"/>
                <w:color w:val="auto"/>
              </w:rPr>
            </w:pPr>
            <w:r>
              <w:rPr>
                <w:rFonts w:ascii="Arial" w:cs="Arial" w:eastAsia="Arial" w:hAnsi="Arial"/>
                <w:sz w:val="18"/>
                <w:szCs w:val="18"/>
                <w:color w:val="auto"/>
                <w:w w:val="96"/>
              </w:rPr>
              <w:t>WA</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333-233034) and Form S-8 (No. 333-233035, No. 333-218747, No. 333-197952) of LendingTree, Inc. of our report dated February 26,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256" w:right="239" w:bottom="1440" w:gutter="0" w:footer="0" w:header="0"/>
        </w:sectPr>
      </w:pPr>
    </w:p>
    <w:bookmarkStart w:id="120" w:name="page121"/>
    <w:bookmarkEnd w:id="120"/>
    <w:p>
      <w:pPr>
        <w:ind w:left="1048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121" w:name="page122"/>
    <w:bookmarkEnd w:id="121"/>
    <w:p>
      <w:pPr>
        <w:ind w:left="1048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27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0" w:lineRule="exact"/>
        <w:rPr>
          <w:sz w:val="20"/>
          <w:szCs w:val="20"/>
          <w:color w:val="auto"/>
        </w:rPr>
      </w:pPr>
    </w:p>
    <w:p>
      <w:pPr>
        <w:spacing w:after="0" w:line="318"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25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2019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J.D. Moriarty,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2019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6"/>
    </w:lvl>
  </w:abstractNum>
  <w:abstractNum w:abstractNumId="24">
    <w:nsid w:val="7724C67E"/>
    <w:multiLevelType w:val="hybridMultilevel"/>
    <w:lvl w:ilvl="0">
      <w:lvlJc w:val="left"/>
      <w:lvlText w:val="(%1)"/>
      <w:numFmt w:val="decimal"/>
      <w:start w:val="4"/>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Roman"/>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9" Type="http://schemas.openxmlformats.org/officeDocument/2006/relationships/image" Target="media/image10.png"/><Relationship Id="rId22" Type="http://schemas.openxmlformats.org/officeDocument/2006/relationships/image" Target="media/image11.png"/><Relationship Id="rId66" Type="http://schemas.openxmlformats.org/officeDocument/2006/relationships/image" Target="media/image12.png"/><Relationship Id="rId73" Type="http://schemas.openxmlformats.org/officeDocument/2006/relationships/image" Target="media/image13.png"/><Relationship Id="rId74" Type="http://schemas.openxmlformats.org/officeDocument/2006/relationships/image" Target="media/image14.png"/><Relationship Id="rId75" Type="http://schemas.openxmlformats.org/officeDocument/2006/relationships/image" Target="media/image15.png"/><Relationship Id="rId76" Type="http://schemas.openxmlformats.org/officeDocument/2006/relationships/image" Target="media/image16.png"/><Relationship Id="rId77" Type="http://schemas.openxmlformats.org/officeDocument/2006/relationships/image" Target="media/image17.png"/><Relationship Id="rId17" Type="http://schemas.openxmlformats.org/officeDocument/2006/relationships/hyperlink" Target="http://www.sec.gov/Archives/edgar/data/1434621/000104746908008622/a2187113zex-2_1.htm" TargetMode="External"/><Relationship Id="rId18" Type="http://schemas.openxmlformats.org/officeDocument/2006/relationships/hyperlink" Target="http://www.sec.gov/Archives/edgar/data/1434621/000110465908054882/a08-22125_1ex10d2.htm" TargetMode="External"/><Relationship Id="rId20" Type="http://schemas.openxmlformats.org/officeDocument/2006/relationships/hyperlink" Target="http://www.sec.gov/Archives/edgar/data/1434621/000110465908054882/a08-22125_1ex10d3.htm" TargetMode="External"/><Relationship Id="rId21" Type="http://schemas.openxmlformats.org/officeDocument/2006/relationships/hyperlink" Target="http://www.sec.gov/Archives/edgar/data/1434621/000110465908054882/a08-22125_1ex10d4.htm" TargetMode="External"/><Relationship Id="rId23" Type="http://schemas.openxmlformats.org/officeDocument/2006/relationships/hyperlink" Target="http://www.sec.gov/Archives/edgar/data/1434621/000110465908054882/a08-22125_1ex10d6.htm" TargetMode="External"/><Relationship Id="rId24" Type="http://schemas.openxmlformats.org/officeDocument/2006/relationships/hyperlink" Target="http://www.sec.gov/Archives/edgar/data/1434621/000110465910058747/a10-21366_1ex2d1.htm" TargetMode="External"/><Relationship Id="rId25" Type="http://schemas.openxmlformats.org/officeDocument/2006/relationships/hyperlink" Target="http://www.sec.gov/Archives/edgar/data/1434621/000110465911015602/a11-8401_1ex2d1.htm" TargetMode="External"/><Relationship Id="rId26" Type="http://schemas.openxmlformats.org/officeDocument/2006/relationships/hyperlink" Target="http://www.sec.gov/Archives/edgar/data/1434621/000110465911015602/a11-8401_1ex2d2.htm" TargetMode="External"/><Relationship Id="rId27" Type="http://schemas.openxmlformats.org/officeDocument/2006/relationships/hyperlink" Target="http://www.sec.gov/Archives/edgar/data/1434621/000110465911029396/a11-12364_1ex2d1.htm" TargetMode="External"/><Relationship Id="rId28" Type="http://schemas.openxmlformats.org/officeDocument/2006/relationships/hyperlink" Target="http://www.sec.gov/Archives/edgar/data/1434621/000110465911052643/a11-26750_1ex2d1.htm" TargetMode="External"/><Relationship Id="rId29" Type="http://schemas.openxmlformats.org/officeDocument/2006/relationships/hyperlink" Target="http://www.sec.gov/Archives/edgar/data/1434621/000110465912007840/a12-4544_1ex2d1.htm" TargetMode="External"/><Relationship Id="rId30" Type="http://schemas.openxmlformats.org/officeDocument/2006/relationships/hyperlink" Target="http://www.sec.gov/Archives/edgar/data/1434621/000143462116000102/ex21ironhorsepurchaseagree.htm" TargetMode="External"/><Relationship Id="rId31" Type="http://schemas.openxmlformats.org/officeDocument/2006/relationships/hyperlink" Target="http://www.sec.gov/Archives/edgar/data/1355096/000110465917066108/a17-25170_1ex99d7d.htm" TargetMode="External"/><Relationship Id="rId32" Type="http://schemas.openxmlformats.org/officeDocument/2006/relationships/hyperlink" Target="http://www.sec.gov/Archives/edgar/data/1434621/000143462118000036/exhibit21-quotewizardpurch.htm" TargetMode="External"/><Relationship Id="rId33" Type="http://schemas.openxmlformats.org/officeDocument/2006/relationships/hyperlink" Target="http://www.sec.gov/Archives/edgar/data/1434621/000143462118000054/exhibit21-valuepenguinpurc.htm" TargetMode="External"/><Relationship Id="rId34" Type="http://schemas.openxmlformats.org/officeDocument/2006/relationships/hyperlink" Target="http://www.sec.gov/Archives/edgar/data/1434621/000110465908054882/a08-22125_1ex3d1.htm" TargetMode="External"/><Relationship Id="rId35" Type="http://schemas.openxmlformats.org/officeDocument/2006/relationships/hyperlink" Target="http://www.sec.gov/Archives/edgar/data/1434621/000143462117000080/fourthamendedandrestatedby.htm" TargetMode="External"/><Relationship Id="rId36" Type="http://schemas.openxmlformats.org/officeDocument/2006/relationships/hyperlink" Target="http://www.sec.gov/Archives/edgar/data/891103/000104746903023716/a2111938zex-99_4.htm" TargetMode="External"/><Relationship Id="rId37" Type="http://schemas.openxmlformats.org/officeDocument/2006/relationships/hyperlink" Target="http://www.sec.gov/Archives/edgar/data/1434621/000110465908054882/a08-22125_1ex10d5.htm" TargetMode="External"/><Relationship Id="rId38" Type="http://schemas.openxmlformats.org/officeDocument/2006/relationships/hyperlink" Target="http://www.sec.gov/Archives/edgar/data/1434621/000143462117000036/exhibit41-indenture.htm" TargetMode="External"/><Relationship Id="rId39" Type="http://schemas.openxmlformats.org/officeDocument/2006/relationships/hyperlink" Target="http://www.sec.gov/Archives/edgar/data/1434621/000143462117000036/exhibit991-purchaseagreeme.htm" TargetMode="External"/><Relationship Id="rId40" Type="http://schemas.openxmlformats.org/officeDocument/2006/relationships/hyperlink" Target="http://www.sec.gov/Archives/edgar/data/1434621/000143462117000036/exhibit994-basewarrantconf.htm" TargetMode="External"/><Relationship Id="rId41" Type="http://schemas.openxmlformats.org/officeDocument/2006/relationships/hyperlink" Target="http://www.sec.gov/Archives/edgar/data/1434621/000143462117000036/exhibit995-additionalwarra.htm" TargetMode="External"/><Relationship Id="rId42" Type="http://schemas.openxmlformats.org/officeDocument/2006/relationships/hyperlink" Target="http://www.sec.gov/Archives/edgar/data/1434621/000143462117000078/tree-2017930x10qexx103.htm" TargetMode="External"/><Relationship Id="rId43" Type="http://schemas.openxmlformats.org/officeDocument/2006/relationships/hyperlink" Target="http://www.sec.gov/Archives/edgar/data/1434621/000104746913003755/a2213996zex-10_112.htm" TargetMode="External"/><Relationship Id="rId44" Type="http://schemas.openxmlformats.org/officeDocument/2006/relationships/hyperlink" Target="http://www.sec.gov/Archives/edgar/data/1434621/000143462115000024/tree-letteragreementexx101.htm" TargetMode="External"/><Relationship Id="rId45" Type="http://schemas.openxmlformats.org/officeDocument/2006/relationships/hyperlink" Target="http://www.sec.gov/Archives/edgar/data/1434621/000143462116000052/tree-12312015xex106.htm" TargetMode="External"/><Relationship Id="rId46" Type="http://schemas.openxmlformats.org/officeDocument/2006/relationships/hyperlink" Target="http://www.sec.gov/Archives/edgar/data/1434621/000143462117000039/exhibit43a-fifthamendedand.htm" TargetMode="External"/><Relationship Id="rId47" Type="http://schemas.openxmlformats.org/officeDocument/2006/relationships/hyperlink" Target="http://www.sec.gov/Archives/edgar/data/1434621/000110465909020996/a09-8855_1ex10d6.htm" TargetMode="External"/><Relationship Id="rId48" Type="http://schemas.openxmlformats.org/officeDocument/2006/relationships/hyperlink" Target="http://www.sec.gov/Archives/edgar/data/1434621/000143462114000030/ex103-noticeofrsuaward.htm" TargetMode="External"/><Relationship Id="rId49" Type="http://schemas.openxmlformats.org/officeDocument/2006/relationships/hyperlink" Target="http://www.sec.gov/Archives/edgar/data/1434621/000143462114000030/ex104-noticeofrsaward.htm" TargetMode="External"/><Relationship Id="rId50" Type="http://schemas.openxmlformats.org/officeDocument/2006/relationships/hyperlink" Target="http://www.sec.gov/Archives/edgar/data/1434621/000143462114000030/ex105-noticeofoptionaward.htm" TargetMode="External"/><Relationship Id="rId51" Type="http://schemas.openxmlformats.org/officeDocument/2006/relationships/hyperlink" Target="http://www.sec.gov/Archives/edgar/data/1434621/000143462117000039/exhibit44a-2017inducementg.htm" TargetMode="External"/><Relationship Id="rId52" Type="http://schemas.openxmlformats.org/officeDocument/2006/relationships/hyperlink" Target="http://www.sec.gov/Archives/edgar/data/1434621/000143462117000039/exhibit44b-formofnoticeofr.htm" TargetMode="External"/><Relationship Id="rId53" Type="http://schemas.openxmlformats.org/officeDocument/2006/relationships/hyperlink" Target="http://www.sec.gov/Archives/edgar/data/1434621/000143462117000039/exhibit44c-formofnoticeofr.htm" TargetMode="External"/><Relationship Id="rId54" Type="http://schemas.openxmlformats.org/officeDocument/2006/relationships/hyperlink" Target="http://www.sec.gov/Archives/edgar/data/1434621/000143462117000039/exhibit44d-formofnoticeofs.htm" TargetMode="External"/><Relationship Id="rId55" Type="http://schemas.openxmlformats.org/officeDocument/2006/relationships/hyperlink" Target="http://www.sec.gov/Archives/edgar/data/1434621/000143462115000024/tree-deferredcompplanbodex.htm" TargetMode="External"/><Relationship Id="rId56" Type="http://schemas.openxmlformats.org/officeDocument/2006/relationships/hyperlink" Target="http://www.sec.gov/Archives/edgar/data/1434621/000104746908008622/a2187113zex-10_15.htm" TargetMode="External"/><Relationship Id="rId57" Type="http://schemas.openxmlformats.org/officeDocument/2006/relationships/hyperlink" Target="http://www.sec.gov/Archives/edgar/data/1434621/000110465911004845/a11-5223_1ex10d2.htm" TargetMode="External"/><Relationship Id="rId58" Type="http://schemas.openxmlformats.org/officeDocument/2006/relationships/hyperlink" Target="http://www.sec.gov/Archives/edgar/data/1434621/000104746912007188/a2209872zex-10_86b.htm" TargetMode="External"/><Relationship Id="rId59" Type="http://schemas.openxmlformats.org/officeDocument/2006/relationships/hyperlink" Target="http://www.sec.gov/Archives/edgar/data/1434621/000104746912007188/a2209872zex-10_86c.htm" TargetMode="External"/><Relationship Id="rId60" Type="http://schemas.openxmlformats.org/officeDocument/2006/relationships/hyperlink" Target="http://www.sec.gov/Archives/edgar/data/1434621/000104746912007188/a2209872zex-10_86d.htm" TargetMode="External"/><Relationship Id="rId61" Type="http://schemas.openxmlformats.org/officeDocument/2006/relationships/hyperlink" Target="http://www.sec.gov/Archives/edgar/data/1434621/000104746910005187/a2198626zex-10_13.htm" TargetMode="External"/><Relationship Id="rId62" Type="http://schemas.openxmlformats.org/officeDocument/2006/relationships/hyperlink" Target="http://www.sec.gov/Archives/edgar/data/1434621/000143462117000036/exhibit992-formofbasebondh.htm" TargetMode="External"/><Relationship Id="rId63" Type="http://schemas.openxmlformats.org/officeDocument/2006/relationships/hyperlink" Target="http://www.sec.gov/Archives/edgar/data/1434621/000143462117000036/exhibit993-additionalbondh.htm" TargetMode="External"/><Relationship Id="rId64" Type="http://schemas.openxmlformats.org/officeDocument/2006/relationships/hyperlink" Target="http://www.sec.gov/Archives/edgar/data/1434621/000143462118000006/tree-12312017xex1038.htm" TargetMode="External"/><Relationship Id="rId65" Type="http://schemas.openxmlformats.org/officeDocument/2006/relationships/hyperlink" Target="http://www.sec.gov/Archives/edgar/data/1434621/000143462119000014/tree-12312018xex1030.htm" TargetMode="External"/><Relationship Id="rId67" Type="http://schemas.openxmlformats.org/officeDocument/2006/relationships/hyperlink" Target="http://www.sec.gov/Archives/edgar/data/1434621/000143462117000017/tree-12312016xex1031.htm" TargetMode="External"/><Relationship Id="rId68" Type="http://schemas.openxmlformats.org/officeDocument/2006/relationships/hyperlink" Target="http://www.sec.gov/Archives/edgar/data/1434621/000143462117000017/tree-12312016xex1032.htm" TargetMode="External"/><Relationship Id="rId69" Type="http://schemas.openxmlformats.org/officeDocument/2006/relationships/hyperlink" Target="http://www.sec.gov/Archives/edgar/data/1434621/000143462118000017/tree-2018331x10qexx101.htm" TargetMode="External"/><Relationship Id="rId70" Type="http://schemas.openxmlformats.org/officeDocument/2006/relationships/hyperlink" Target="http://www.sec.gov/Archives/edgar/data/1434621/000143462118000017/tree-2018331x10qexx102.htm" TargetMode="External"/><Relationship Id="rId71" Type="http://schemas.openxmlformats.org/officeDocument/2006/relationships/hyperlink" Target="http://www.sec.gov/Archives/edgar/data/1434621/000095010319017167/dp117607_ex9901.htm" TargetMode="External"/><Relationship Id="rId72" Type="http://schemas.openxmlformats.org/officeDocument/2006/relationships/hyperlink" Target="http://www.sec.gov/Archives/edgar/data/1434621/000143462119000055/exhibit43a-sixth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2020-02-27T05:43:56Z</dcterms:created>
  <dcterms:modified xsi:type="dcterms:W3CDTF">2020-02-27T05:43:56Z</dcterms:modified>
</cp:coreProperties>
</file>