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5590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590540"/>
                    </a:xfrm>
                    <a:prstGeom prst="rect">
                      <a:avLst/>
                    </a:prstGeom>
                    <a:noFill/>
                  </pic:spPr>
                </pic:pic>
              </a:graphicData>
            </a:graphic>
          </wp:anchor>
        </w:drawing>
      </w:r>
    </w:p>
    <w:p>
      <w:pPr>
        <w:spacing w:after="0" w:line="1176"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THOMPSON G KENNEDY</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LendingTree,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TREE</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80" w:type="dxa"/>
            <w:vAlign w:val="bottom"/>
            <w:tcBorders>
              <w:bottom w:val="single" w:sz="8" w:color="0000EE"/>
            </w:tcBorders>
          </w:tcPr>
          <w:p>
            <w:pPr>
              <w:spacing w:after="0"/>
              <w:rPr>
                <w:sz w:val="6"/>
                <w:szCs w:val="6"/>
                <w:color w:val="auto"/>
              </w:rPr>
            </w:pPr>
          </w:p>
        </w:tc>
        <w:tc>
          <w:tcPr>
            <w:tcW w:w="23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13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6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06/11/2026</w:t>
            </w:r>
          </w:p>
        </w:tc>
        <w:tc>
          <w:tcPr>
            <w:tcW w:w="23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1415 VANTAGE PARK DRIVE</w:t>
            </w:r>
          </w:p>
        </w:tc>
        <w:tc>
          <w:tcPr>
            <w:tcW w:w="1200" w:type="dxa"/>
            <w:vAlign w:val="bottom"/>
          </w:tcPr>
          <w:p>
            <w:pPr>
              <w:spacing w:after="0"/>
              <w:rPr>
                <w:sz w:val="10"/>
                <w:szCs w:val="10"/>
                <w:color w:val="auto"/>
              </w:rPr>
            </w:pPr>
          </w:p>
        </w:tc>
        <w:tc>
          <w:tcPr>
            <w:tcW w:w="1620" w:type="dxa"/>
            <w:vAlign w:val="bottom"/>
            <w:gridSpan w:val="3"/>
            <w:vMerge w:val="continue"/>
          </w:tcPr>
          <w:p>
            <w:pPr>
              <w:spacing w:after="0"/>
              <w:rPr>
                <w:sz w:val="10"/>
                <w:szCs w:val="10"/>
                <w:color w:val="auto"/>
              </w:rPr>
            </w:pPr>
          </w:p>
        </w:tc>
        <w:tc>
          <w:tcPr>
            <w:tcW w:w="23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SUITE 700</w:t>
            </w:r>
          </w:p>
        </w:tc>
        <w:tc>
          <w:tcPr>
            <w:tcW w:w="1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CHARLOTTE</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NC</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28203</w:t>
            </w:r>
          </w:p>
        </w:tc>
      </w:tr>
      <w:tr>
        <w:trPr>
          <w:trHeight w:val="148"/>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0"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8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7"/>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06/11/2026</w:t>
            </w: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9"/>
              </w:rPr>
              <w:t>5,000</w:t>
            </w:r>
          </w:p>
        </w:tc>
        <w:tc>
          <w:tcPr>
            <w:tcW w:w="6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320" w:type="dxa"/>
            <w:vAlign w:val="bottom"/>
            <w:gridSpan w:val="3"/>
          </w:tcPr>
          <w:p>
            <w:pPr>
              <w:jc w:val="center"/>
              <w:ind w:left="34"/>
              <w:spacing w:after="0"/>
              <w:rPr>
                <w:sz w:val="20"/>
                <w:szCs w:val="20"/>
                <w:color w:val="auto"/>
              </w:rPr>
            </w:pPr>
            <w:r>
              <w:rPr>
                <w:rFonts w:ascii="Times New Roman" w:cs="Times New Roman" w:eastAsia="Times New Roman" w:hAnsi="Times New Roman"/>
                <w:sz w:val="17"/>
                <w:szCs w:val="17"/>
                <w:color w:val="0000FF"/>
                <w:w w:val="98"/>
              </w:rPr>
              <w:t>18,845</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20" w:type="dxa"/>
            <w:vAlign w:val="bottom"/>
            <w:gridSpan w:val="3"/>
          </w:tcPr>
          <w:p>
            <w:pPr>
              <w:jc w:val="center"/>
              <w:ind w:left="34"/>
              <w:spacing w:after="0"/>
              <w:rPr>
                <w:sz w:val="20"/>
                <w:szCs w:val="20"/>
                <w:color w:val="auto"/>
              </w:rPr>
            </w:pPr>
            <w:r>
              <w:rPr>
                <w:rFonts w:ascii="Times New Roman" w:cs="Times New Roman" w:eastAsia="Times New Roman" w:hAnsi="Times New Roman"/>
                <w:sz w:val="17"/>
                <w:szCs w:val="17"/>
                <w:color w:val="0000FF"/>
                <w:w w:val="98"/>
              </w:rPr>
              <w:t>10,000</w:t>
            </w:r>
          </w:p>
        </w:tc>
        <w:tc>
          <w:tcPr>
            <w:tcW w:w="300" w:type="dxa"/>
            <w:vAlign w:val="bottom"/>
          </w:tcPr>
          <w:p>
            <w:pPr>
              <w:spacing w:after="0"/>
              <w:rPr>
                <w:sz w:val="22"/>
                <w:szCs w:val="22"/>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IRA</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20" w:type="dxa"/>
            <w:vAlign w:val="bottom"/>
            <w:gridSpan w:val="3"/>
            <w:vMerge w:val="restart"/>
          </w:tcPr>
          <w:p>
            <w:pPr>
              <w:jc w:val="center"/>
              <w:ind w:left="34"/>
              <w:spacing w:after="0"/>
              <w:rPr>
                <w:sz w:val="20"/>
                <w:szCs w:val="20"/>
                <w:color w:val="auto"/>
              </w:rPr>
            </w:pPr>
            <w:r>
              <w:rPr>
                <w:rFonts w:ascii="Times New Roman" w:cs="Times New Roman" w:eastAsia="Times New Roman" w:hAnsi="Times New Roman"/>
                <w:sz w:val="17"/>
                <w:szCs w:val="17"/>
                <w:color w:val="0000FF"/>
                <w:w w:val="99"/>
              </w:rPr>
              <w:t>1,000</w:t>
            </w:r>
          </w:p>
        </w:tc>
        <w:tc>
          <w:tcPr>
            <w:tcW w:w="30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01"/>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20" w:type="dxa"/>
            <w:vAlign w:val="bottom"/>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jc w:val="right"/>
              <w:ind w:right="7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06/11/2026</w:t>
            </w:r>
          </w:p>
        </w:tc>
        <w:tc>
          <w:tcPr>
            <w:tcW w:w="1120" w:type="dxa"/>
            <w:vAlign w:val="bottom"/>
          </w:tcPr>
          <w:p>
            <w:pPr>
              <w:spacing w:after="0"/>
              <w:rPr>
                <w:sz w:val="11"/>
                <w:szCs w:val="11"/>
                <w:color w:val="auto"/>
              </w:rPr>
            </w:pPr>
          </w:p>
        </w:tc>
        <w:tc>
          <w:tcPr>
            <w:tcW w:w="74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1"/>
                <w:szCs w:val="11"/>
                <w:color w:val="auto"/>
              </w:rPr>
            </w:pPr>
          </w:p>
        </w:tc>
        <w:tc>
          <w:tcPr>
            <w:tcW w:w="4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5,000</w:t>
            </w: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60" w:type="dxa"/>
            <w:vAlign w:val="bottom"/>
            <w:gridSpan w:val="2"/>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jc w:val="right"/>
              <w:ind w:right="61"/>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06/17/2026</w:t>
            </w:r>
          </w:p>
        </w:tc>
        <w:tc>
          <w:tcPr>
            <w:tcW w:w="1120" w:type="dxa"/>
            <w:vAlign w:val="bottom"/>
          </w:tcPr>
          <w:p>
            <w:pPr>
              <w:spacing w:after="0"/>
              <w:rPr>
                <w:sz w:val="11"/>
                <w:szCs w:val="11"/>
                <w:color w:val="auto"/>
              </w:rPr>
            </w:pPr>
          </w:p>
        </w:tc>
        <w:tc>
          <w:tcPr>
            <w:tcW w:w="74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5,000</w:t>
            </w:r>
          </w:p>
        </w:tc>
        <w:tc>
          <w:tcPr>
            <w:tcW w:w="4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60" w:type="dxa"/>
            <w:vAlign w:val="bottom"/>
            <w:gridSpan w:val="2"/>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0000FF"/>
              </w:rPr>
              <w:t>5,000</w:t>
            </w:r>
          </w:p>
        </w:tc>
        <w:tc>
          <w:tcPr>
            <w:tcW w:w="30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-2190750</wp:posOffset>
            </wp:positionV>
            <wp:extent cx="29210" cy="2195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583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3" w:lineRule="exact"/>
        <w:rPr>
          <w:rFonts w:ascii="Times New Roman" w:cs="Times New Roman" w:eastAsia="Times New Roman" w:hAnsi="Times New Roman"/>
          <w:sz w:val="13"/>
          <w:szCs w:val="13"/>
          <w:color w:val="008000"/>
        </w:rPr>
      </w:pPr>
    </w:p>
    <w:p>
      <w:pPr>
        <w:ind w:left="40" w:right="26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 shares and this report shall not be deemed admission that the reporting person is the beneficial owner of the shares for the purposes of Section 16 or any other purpose.</w:t>
      </w:r>
    </w:p>
    <w:p>
      <w:pPr>
        <w:spacing w:after="0" w:line="17" w:lineRule="exact"/>
        <w:rPr>
          <w:rFonts w:ascii="Times New Roman" w:cs="Times New Roman" w:eastAsia="Times New Roman" w:hAnsi="Times New Roman"/>
          <w:sz w:val="13"/>
          <w:szCs w:val="13"/>
          <w:color w:val="008000"/>
        </w:rPr>
      </w:pPr>
    </w:p>
    <w:p>
      <w:pPr>
        <w:ind w:left="40" w:right="18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11, 2025, the Reporting Person was granted 5,000 restricted stock units that vested on the earliest of (i) the first anniversary of the date of the Company's 2025 Annual Meeting of Stockholders; (ii) the date of the Company's 2026 Annual Meeting of Stockholders; (iii) a change in control of the Company; and (iv) the director's death or disability.</w:t>
      </w:r>
    </w:p>
    <w:p>
      <w:pPr>
        <w:spacing w:after="0" w:line="17" w:lineRule="exact"/>
        <w:rPr>
          <w:rFonts w:ascii="Times New Roman" w:cs="Times New Roman" w:eastAsia="Times New Roman" w:hAnsi="Times New Roman"/>
          <w:sz w:val="13"/>
          <w:szCs w:val="13"/>
          <w:color w:val="008000"/>
        </w:rPr>
      </w:pPr>
    </w:p>
    <w:p>
      <w:pPr>
        <w:ind w:left="40" w:right="52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will vest on the earliest of (i) the first anniversary of the date of the Company's 2026 Annual Meeting of Stockholders; (ii) the date of the Company's 2027 Annual Meeting of Stockholders; (iii) a change in control of the Company; and (iv) the director's death or disability.</w:t>
      </w:r>
    </w:p>
    <w:p>
      <w:pPr>
        <w:spacing w:after="0" w:line="4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Heather Enlow-Novitsky,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-9525</wp:posOffset>
            </wp:positionV>
            <wp:extent cx="13246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spacing w:after="0" w:line="1"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G.</w:t>
      </w:r>
      <w:r>
        <w:rPr>
          <w:sz w:val="20"/>
          <w:szCs w:val="20"/>
          <w:color w:val="auto"/>
        </w:rPr>
        <w:tab/>
      </w:r>
      <w:r>
        <w:rPr>
          <w:rFonts w:ascii="Times New Roman" w:cs="Times New Roman" w:eastAsia="Times New Roman" w:hAnsi="Times New Roman"/>
          <w:sz w:val="16"/>
          <w:szCs w:val="16"/>
          <w:color w:val="0000FF"/>
        </w:rPr>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-16510</wp:posOffset>
            </wp:positionV>
            <wp:extent cx="1878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833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Kennedy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-16510</wp:posOffset>
            </wp:positionV>
            <wp:extent cx="8629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62965" cy="8255"/>
                    </a:xfrm>
                    <a:prstGeom prst="rect">
                      <a:avLst/>
                    </a:prstGeom>
                    <a:noFill/>
                  </pic:spPr>
                </pic:pic>
              </a:graphicData>
            </a:graphic>
          </wp:anchor>
        </w:drawing>
      </w:r>
    </w:p>
    <w:p>
      <w:pPr>
        <w:spacing w:after="0" w:line="30"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90149" TargetMode="External"/><Relationship Id="rId14" Type="http://schemas.openxmlformats.org/officeDocument/2006/relationships/hyperlink" Target="http://www.sec.gov/cgi-bin/browse-edgar?action=getcompany&amp;CIK=00014346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2026-06-17T17:03:35Z</dcterms:created>
  <dcterms:modified xsi:type="dcterms:W3CDTF">2026-06-17T17:03:35Z</dcterms:modified>
</cp:coreProperties>
</file>