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167640</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860" w:right="1360" w:hanging="3487"/>
        <w:spacing w:after="0" w:line="313" w:lineRule="auto"/>
        <w:tabs>
          <w:tab w:leader="none" w:pos="93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2"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337185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26-2414818</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Identification No.)</w:t>
      </w:r>
    </w:p>
    <w:p>
      <w:pPr>
        <w:spacing w:after="0" w:line="15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7" w:lineRule="exact"/>
        <w:rPr>
          <w:sz w:val="24"/>
          <w:szCs w:val="24"/>
          <w:color w:val="auto"/>
        </w:rPr>
      </w:pPr>
    </w:p>
    <w:p>
      <w:pPr>
        <w:jc w:val="both"/>
        <w:ind w:firstLine="2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21"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73"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8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Arial" w:cs="Arial" w:eastAsia="Arial" w:hAnsi="Arial"/>
          <w:sz w:val="17"/>
          <w:szCs w:val="17"/>
          <w:color w:val="auto"/>
        </w:rPr>
        <w:t>Emerging growth company o</w:t>
      </w:r>
    </w:p>
    <w:p>
      <w:pPr>
        <w:spacing w:after="0" w:line="358" w:lineRule="exact"/>
        <w:rPr>
          <w:sz w:val="24"/>
          <w:szCs w:val="24"/>
          <w:color w:val="auto"/>
        </w:rPr>
      </w:pPr>
    </w:p>
    <w:p>
      <w:pPr>
        <w:ind w:firstLine="162"/>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24, 2017, there were 11,943,085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2">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30">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1">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2">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2">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2">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5"/>
                <w:szCs w:val="15"/>
                <w:color w:val="auto"/>
              </w:rPr>
            </w:pPr>
          </w:p>
        </w:tc>
      </w:tr>
      <w:tr>
        <w:trPr>
          <w:trHeight w:val="190"/>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147"/>
        </w:trPr>
        <w:tc>
          <w:tcPr>
            <w:tcW w:w="9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3"/>
          </w:tcPr>
          <w:p>
            <w:pPr>
              <w:jc w:val="center"/>
              <w:ind w:right="151"/>
              <w:spacing w:after="0" w:line="148" w:lineRule="exact"/>
              <w:rPr>
                <w:sz w:val="20"/>
                <w:szCs w:val="20"/>
                <w:color w:val="auto"/>
              </w:rPr>
            </w:pPr>
            <w:r>
              <w:rPr>
                <w:rFonts w:ascii="Arial" w:cs="Arial" w:eastAsia="Arial" w:hAnsi="Arial"/>
                <w:sz w:val="13"/>
                <w:szCs w:val="13"/>
                <w:b w:val="1"/>
                <w:bCs w:val="1"/>
                <w:i w:val="1"/>
                <w:iCs w:val="1"/>
                <w:color w:val="auto"/>
                <w:w w:val="82"/>
              </w:rPr>
              <w:t>(in thousands, except per share</w:t>
            </w:r>
          </w:p>
        </w:tc>
      </w:tr>
      <w:tr>
        <w:trPr>
          <w:trHeight w:val="168"/>
        </w:trPr>
        <w:tc>
          <w:tcPr>
            <w:tcW w:w="9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left="473"/>
              <w:spacing w:after="0"/>
              <w:rPr>
                <w:sz w:val="20"/>
                <w:szCs w:val="20"/>
                <w:color w:val="auto"/>
              </w:rPr>
            </w:pPr>
            <w:r>
              <w:rPr>
                <w:rFonts w:ascii="Arial" w:cs="Arial" w:eastAsia="Arial" w:hAnsi="Arial"/>
                <w:sz w:val="13"/>
                <w:szCs w:val="13"/>
                <w:b w:val="1"/>
                <w:bCs w:val="1"/>
                <w:i w:val="1"/>
                <w:iCs w:val="1"/>
                <w:color w:val="auto"/>
                <w:w w:val="81"/>
              </w:rPr>
              <w:t>amounts)</w:t>
            </w:r>
          </w:p>
        </w:tc>
        <w:tc>
          <w:tcPr>
            <w:tcW w:w="780" w:type="dxa"/>
            <w:vAlign w:val="bottom"/>
          </w:tcPr>
          <w:p>
            <w:pPr>
              <w:spacing w:after="0"/>
              <w:rPr>
                <w:sz w:val="14"/>
                <w:szCs w:val="14"/>
                <w:color w:val="auto"/>
              </w:rPr>
            </w:pP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132,515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94,713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3,591</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93,251</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65,059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11,547</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3,623</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3,885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1,703</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2,609</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8,746</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404</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125,631</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82,868</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6,884</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11,845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6,719</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11,703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1,079</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7,798</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6,905</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6,866</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5,702</w:t>
            </w:r>
          </w:p>
        </w:tc>
      </w:tr>
      <w:tr>
        <w:trPr>
          <w:trHeight w:val="34"/>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11,827</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13,477</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12,873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0.66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0.58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r>
      <w:tr>
        <w:trPr>
          <w:trHeight w:val="20"/>
        </w:trPr>
        <w:tc>
          <w:tcPr>
            <w:tcW w:w="9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147"/>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4"/>
              </w:rPr>
              <w:t>(in thousands, except par value and share</w:t>
            </w:r>
          </w:p>
        </w:tc>
      </w:tr>
      <w:tr>
        <w:trPr>
          <w:trHeight w:val="168"/>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105,442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91,131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$1,215 and $1,059,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52,414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41,382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4,177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166,113</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140,623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$11,050 and $9,739,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35,205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56,457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56,457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68,889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18,901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14,610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3,781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3,781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350,211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270"/>
        </w:trPr>
        <w:tc>
          <w:tcPr>
            <w:tcW w:w="88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4,307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5,593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58,264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49,403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19,399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12,255</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94,225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66,707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1,685</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108,789</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91,992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14,067,306 and 13,955,378 shares issued, respectively,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11,903,561 and 11,791,633 shares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1,022,432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1,018,010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(717,066)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(722,630)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2,163,745 and 2,163,745 shares, respectively</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(64,085)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(64,085)</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241,422</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231,435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350,211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2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231,435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1,018,010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(722,630)</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(64,085)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2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6,866</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6,866</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2,230</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2,230</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for stock</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stock awards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(94)</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5"/>
              </w:rPr>
              <w:t>Cumulative effect adjustment due to ASU</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2016-09</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985</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(1,302)</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241,422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14,067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1,022,432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(717,066)</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(64,085)</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3"/>
          </w:tcPr>
          <w:p>
            <w:pPr>
              <w:jc w:val="right"/>
              <w:ind w:right="274"/>
              <w:spacing w:after="0"/>
              <w:rPr>
                <w:sz w:val="20"/>
                <w:szCs w:val="20"/>
                <w:color w:val="auto"/>
              </w:rPr>
            </w:pPr>
            <w:r>
              <w:rPr>
                <w:rFonts w:ascii="Arial" w:cs="Arial" w:eastAsia="Arial" w:hAnsi="Arial"/>
                <w:sz w:val="17"/>
                <w:szCs w:val="17"/>
                <w:b w:val="1"/>
                <w:bCs w:val="1"/>
                <w:color w:val="auto"/>
                <w:w w:val="97"/>
              </w:rPr>
              <w:t>Three Months Ended March 31,</w:t>
            </w:r>
          </w:p>
        </w:tc>
      </w:tr>
      <w:tr>
        <w:trPr>
          <w:trHeight w:val="31"/>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34"/>
              <w:spacing w:after="0"/>
              <w:rPr>
                <w:sz w:val="20"/>
                <w:szCs w:val="20"/>
                <w:color w:val="auto"/>
              </w:rPr>
            </w:pPr>
            <w:r>
              <w:rPr>
                <w:rFonts w:ascii="Arial" w:cs="Arial" w:eastAsia="Arial" w:hAnsi="Arial"/>
                <w:sz w:val="17"/>
                <w:szCs w:val="17"/>
                <w:b w:val="1"/>
                <w:bCs w:val="1"/>
                <w:color w:val="auto"/>
              </w:rPr>
              <w:t>2017</w:t>
            </w:r>
          </w:p>
        </w:tc>
        <w:tc>
          <w:tcPr>
            <w:tcW w:w="580" w:type="dxa"/>
            <w:vAlign w:val="bottom"/>
          </w:tcPr>
          <w:p>
            <w:pPr>
              <w:spacing w:after="0"/>
              <w:rPr>
                <w:sz w:val="20"/>
                <w:szCs w:val="20"/>
                <w:color w:val="auto"/>
              </w:rPr>
            </w:pPr>
          </w:p>
        </w:tc>
        <w:tc>
          <w:tcPr>
            <w:tcW w:w="960" w:type="dxa"/>
            <w:vAlign w:val="bottom"/>
          </w:tcPr>
          <w:p>
            <w:pPr>
              <w:jc w:val="right"/>
              <w:ind w:right="474"/>
              <w:spacing w:after="0"/>
              <w:rPr>
                <w:sz w:val="20"/>
                <w:szCs w:val="20"/>
                <w:color w:val="auto"/>
              </w:rPr>
            </w:pPr>
            <w:r>
              <w:rPr>
                <w:rFonts w:ascii="Arial" w:cs="Arial" w:eastAsia="Arial" w:hAnsi="Arial"/>
                <w:sz w:val="17"/>
                <w:szCs w:val="17"/>
                <w:b w:val="1"/>
                <w:bCs w:val="1"/>
                <w:color w:val="auto"/>
              </w:rPr>
              <w:t>2016</w:t>
            </w:r>
          </w:p>
        </w:tc>
      </w:tr>
      <w:tr>
        <w:trPr>
          <w:trHeight w:val="31"/>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b w:val="1"/>
                <w:bCs w:val="1"/>
                <w:i w:val="1"/>
                <w:iCs w:val="1"/>
                <w:color w:val="auto"/>
              </w:rPr>
              <w:t>(in thousands)</w:t>
            </w:r>
          </w:p>
        </w:tc>
        <w:tc>
          <w:tcPr>
            <w:tcW w:w="960" w:type="dxa"/>
            <w:vAlign w:val="bottom"/>
          </w:tcPr>
          <w:p>
            <w:pPr>
              <w:spacing w:after="0"/>
              <w:rPr>
                <w:sz w:val="19"/>
                <w:szCs w:val="19"/>
                <w:color w:val="auto"/>
              </w:rPr>
            </w:pP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b w:val="1"/>
                <w:bCs w:val="1"/>
                <w:color w:val="auto"/>
              </w:rPr>
              <w:t>Net income and comprehensive income</w:t>
            </w:r>
          </w:p>
        </w:tc>
        <w:tc>
          <w:tcPr>
            <w:tcW w:w="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4"/>
              <w:spacing w:after="0"/>
              <w:rPr>
                <w:sz w:val="20"/>
                <w:szCs w:val="20"/>
                <w:color w:val="auto"/>
              </w:rPr>
            </w:pPr>
            <w:r>
              <w:rPr>
                <w:rFonts w:ascii="Arial" w:cs="Arial" w:eastAsia="Arial" w:hAnsi="Arial"/>
                <w:sz w:val="17"/>
                <w:szCs w:val="17"/>
                <w:b w:val="1"/>
                <w:bCs w:val="1"/>
                <w:color w:val="auto"/>
              </w:rPr>
              <w:t>6,866</w:t>
            </w:r>
          </w:p>
        </w:tc>
        <w:tc>
          <w:tcPr>
            <w:tcW w:w="580" w:type="dxa"/>
            <w:vAlign w:val="bottom"/>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5,702</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932</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1,203</w:t>
            </w:r>
          </w:p>
        </w:tc>
      </w:tr>
      <w:tr>
        <w:trPr>
          <w:trHeight w:val="233"/>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7,798</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6,905</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2"/>
        </w:trPr>
        <w:tc>
          <w:tcPr>
            <w:tcW w:w="83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2"/>
              </w:rPr>
              <w:t>Adjustments to reconcile income from continuing operations to net cash provided by operating activities attributable to</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continuing operations:</w:t>
            </w: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Loss on disposal of fixed assets</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273</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127</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2,609</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1,703</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998</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Rental amortization of intangibles and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262</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Non-cash compensation expense</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2,230</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2,633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(3,307)</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24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8,746</w:t>
            </w:r>
          </w:p>
        </w:tc>
        <w:tc>
          <w:tcPr>
            <w:tcW w:w="5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157</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255</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Amortization of debt issuance costs</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61</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61</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current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(11,132)</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(7,148)</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(269)</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(1,153)</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Accounts payable, accrued expenses and other current liabilities</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6,086</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2,906</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2,143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4,762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24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(176)</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17,184</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10,371</w:t>
            </w:r>
          </w:p>
        </w:tc>
      </w:tr>
      <w:tr>
        <w:trPr>
          <w:trHeight w:val="219"/>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5"/>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(1,896)</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(2,154)</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Decrease in restricted cash</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9</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2,457</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provided by investing activities attributable to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(1,887)</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303</w:t>
            </w:r>
          </w:p>
        </w:tc>
      </w:tr>
      <w:tr>
        <w:trPr>
          <w:trHeight w:val="219"/>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5"/>
        </w:trPr>
        <w:tc>
          <w:tcPr>
            <w:tcW w:w="8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1"/>
              </w:rPr>
              <w:t>Payments related to net-share settlement of stock-based compensation, net of 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(2,585)</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Payment of equity offering costs</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Purchase of treasury stock</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(40,499)</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financing activities attributable to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(95)</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(43,115)</w:t>
            </w:r>
          </w:p>
        </w:tc>
      </w:tr>
      <w:tr>
        <w:trPr>
          <w:trHeight w:val="233"/>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provided by (used in) continuing operations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15,202</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(32,441)</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operating activities attributable to discontinued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(891)</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33"/>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Total cash used in discontinued operations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(891)</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(308)</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14,311</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(32,749)</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40" w:type="dxa"/>
            <w:vAlign w:val="bottom"/>
          </w:tcPr>
          <w:p>
            <w:pPr>
              <w:spacing w:after="0"/>
              <w:rPr>
                <w:sz w:val="20"/>
                <w:szCs w:val="20"/>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91,131</w:t>
            </w:r>
          </w:p>
        </w:tc>
        <w:tc>
          <w:tcPr>
            <w:tcW w:w="5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206,975</w:t>
            </w:r>
          </w:p>
        </w:tc>
      </w:tr>
      <w:tr>
        <w:trPr>
          <w:trHeight w:val="31"/>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105,442</w:t>
            </w:r>
          </w:p>
        </w:tc>
        <w:tc>
          <w:tcPr>
            <w:tcW w:w="58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174,226</w:t>
            </w:r>
          </w:p>
        </w:tc>
      </w:tr>
      <w:tr>
        <w:trPr>
          <w:trHeight w:val="27"/>
        </w:trPr>
        <w:tc>
          <w:tcPr>
            <w:tcW w:w="8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reverse mortgage loans, auto loans, credit cards, personal loans, student loans, small business loans and other related offerings. The Company primarily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March 31, 2017 and for the three months ended March 31, 2017 and 2016,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2017 are not necessarily indicative of the results to be expected for the year ending December 31, 2017, or any other period. The accompanying consolidated balance sheet as of December 31, 2016 was derived from audited financial statements included in the Company's annual report on Form 10-K for the year ended December 31, 2016 (the "2016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2016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litigation accruals; various other allowances, reserves and accruals; and assumptions related to the determination of stock-based compensation.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2017,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Financial Accounting Standards Board ("FASB") issued Accounting Standards Update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with early adoption permitted. The retrospective transition method, requiring adjustment to all comparative periods presented, is required. The Company is evaluating the impact this ASU will have on its consolidated financial statements and whether to early adopt.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2016, the FASB issued ASU 2016-15 which addresses eight cash flow classification issues, eliminating the diversity in practice. This ASU is effective for annual and interim reporting periods beginning after December 15, 2017, with early adoption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with early adoption permitted. Upon adoption, any adjustments are to be reflected as of the beginning of the fiscal year of adoption. The Company adopted this ASU during the first quarter of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new standard requires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During the first quarter of 2017, the Company recognized $3.8 million of excess tax benefit in income tax expense in the accompanying consolidated statements of operations and comprehensive income. Additionally, the new standard requires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Accordingly, prior periods have been adjusted, which increased the cash provided by operating activities and decreased the cash provided by financing activities by $2.3 million in the first quarter of 2016 in the accompanying consolidated statements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In April 2016, the FASB issued ASU 2016-10, which clarifies the identification of distinct performance obligations in a contract. In May 2016, the FASB issued ASU 2016-12, which clarifies the guidance on assessing collectability, presenting sales taxes, measuring noncash consideration and certain other transition matters. The clarification ASU's must be adopted concurrently with the adoption of ASU 2014-09. The Company is evaluating the impact these ASU's will have on its consolidated financial statements and which implementation method to apply.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4,032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4,080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4,089</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539,545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539,545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56,457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56,457</w:t>
            </w:r>
          </w:p>
        </w:tc>
      </w:tr>
      <w:tr>
        <w:trPr>
          <w:trHeight w:val="324"/>
        </w:trPr>
        <w:tc>
          <w:tcPr>
            <w:tcW w:w="8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58,747</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61,542</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68,889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71,684</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(1,245)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26,855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34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64,023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(5,276)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58,747</w:t>
            </w:r>
          </w:p>
        </w:tc>
        <w:tc>
          <w:tcPr>
            <w:tcW w:w="0" w:type="dxa"/>
            <w:vAlign w:val="bottom"/>
          </w:tcPr>
          <w:p>
            <w:pPr>
              <w:spacing w:after="0"/>
              <w:rPr>
                <w:sz w:val="1"/>
                <w:szCs w:val="1"/>
                <w:color w:val="auto"/>
              </w:rPr>
            </w:pPr>
          </w:p>
        </w:tc>
      </w:tr>
      <w:tr>
        <w:trPr>
          <w:trHeight w:val="34"/>
        </w:trPr>
        <w:tc>
          <w:tcPr>
            <w:tcW w:w="3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24"/>
                <w:szCs w:val="2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3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28,300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Trademarks and tradenames</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5,342</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(937)</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leases</w:t>
            </w:r>
          </w:p>
        </w:tc>
        <w:tc>
          <w:tcPr>
            <w:tcW w:w="3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3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64,022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(2,480)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61,542</w:t>
            </w:r>
          </w:p>
        </w:tc>
        <w:tc>
          <w:tcPr>
            <w:tcW w:w="0" w:type="dxa"/>
            <w:vAlign w:val="bottom"/>
          </w:tcPr>
          <w:p>
            <w:pPr>
              <w:spacing w:after="0"/>
              <w:rPr>
                <w:sz w:val="1"/>
                <w:szCs w:val="1"/>
                <w:color w:val="auto"/>
              </w:rPr>
            </w:pPr>
          </w:p>
        </w:tc>
      </w:tr>
      <w:tr>
        <w:trPr>
          <w:trHeight w:val="459"/>
        </w:trPr>
        <w:tc>
          <w:tcPr>
            <w:tcW w:w="398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2017,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11,037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9,935</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15,342</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58,747</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5—BUSINESS ACQUISITION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16, 2016, the Company acquired all of the membership interests of Iron Horse Holdings, LLC, which does business under the name CompareCards ("CompareCards"). CompareCards is an online marketing platform for credit cards, which the Company plans to use to grow its existing credit card business. The Company paid $80.7 million in initial cash consideration and will make two earnout payments, each ranging from zero to $22.5 million, based on the amount of earnings before interest, taxes, depreciation and amortization CompareCards generates during the periods of January 1, 2017 through December 31, 2017 and January 1, 2018 through December 31, 2018, or up to $45.0 million in aggregate payments (the “Earnout Payments”). The purchase price for the acquisition is $103.8 million comprised of an upfront cash payment of $80.7 million on November 16, 2016 and $23.1 million for the estimated fair value of the Earnout Payments at the time of closing the acquisition.</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estimated fair value of the Earnout Payments is determined using an option pricing model. The estimated value of the Earnout Payments is based upon available information and certain assumptions, known at the time of this report, which management believes are reasonable. Any differences in the actual Earnout Payments from the current estimated fair value of the Earnout Payments will be recorded in operating income (expense) in the consolidated statements of operations. As of March 31, 2017, the estimated fair value of the Earnout Payments totaled $31.8 million, $19.4 million of which is included in current contingent consideration and $12.4 million of which is included in non-current contingent consideration in the accompanying consolidated balance sheet. During the first quarter of 2017, the Company recorded $8.7 million of contingent consideration expense in the consolidated statement of operations and comprehensive income due to the change in estimated fair value of the Earnout Payments.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the quarter ended March 31, 2017, the Company completed the determination of the final allocation of the purchase price with respect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Total intangible assets with definite lives, net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55,400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103,750</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Acquisition-related costs in the first quarter of 2017 of $0.1 million are included in general and administrative expense in the accompanying consolidated statement of operations and comprehensive income.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financial results for the first quarter of 2016 combines the consolidated results of the Company and CompareCards giving effect to the acquisition as if it had been completed on January 1, 2015. This unaudited pro forma financial information is presented for informational purposes only and is not indicative of future operations or results had the acquisition been completed as of January 1, 2015, or any other date.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also been adjusted to reflect the results of operations of CompareCards and the adjustment to historical results. CompareCards did not pay taxes at the entity level as it was a limited liability company whose members elected for it to be taxed as a partnership.</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654"/>
              <w:spacing w:after="0"/>
              <w:rPr>
                <w:sz w:val="20"/>
                <w:szCs w:val="20"/>
                <w:color w:val="auto"/>
              </w:rPr>
            </w:pPr>
            <w:r>
              <w:rPr>
                <w:rFonts w:ascii="Arial" w:cs="Arial" w:eastAsia="Arial" w:hAnsi="Arial"/>
                <w:sz w:val="16"/>
                <w:szCs w:val="16"/>
                <w:b w:val="1"/>
                <w:bCs w:val="1"/>
                <w:color w:val="auto"/>
                <w:w w:val="93"/>
              </w:rPr>
              <w:t>31, 2016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44"/>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60" w:type="dxa"/>
            <w:vAlign w:val="bottom"/>
          </w:tcPr>
          <w:p>
            <w:pPr>
              <w:spacing w:after="0"/>
              <w:rPr>
                <w:sz w:val="21"/>
                <w:szCs w:val="21"/>
                <w:color w:val="auto"/>
              </w:rPr>
            </w:pPr>
          </w:p>
        </w:tc>
        <w:tc>
          <w:tcPr>
            <w:tcW w:w="126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5,445</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80"/>
        </w:trPr>
        <w:tc>
          <w:tcPr>
            <w:tcW w:w="8340" w:type="dxa"/>
            <w:vAlign w:val="bottom"/>
          </w:tcPr>
          <w:p>
            <w:pPr>
              <w:spacing w:after="0"/>
              <w:rPr>
                <w:sz w:val="20"/>
                <w:szCs w:val="20"/>
                <w:color w:val="auto"/>
              </w:rPr>
            </w:pPr>
            <w:r>
              <w:rPr>
                <w:rFonts w:ascii="Arial" w:cs="Arial" w:eastAsia="Arial" w:hAnsi="Arial"/>
                <w:sz w:val="18"/>
                <w:szCs w:val="18"/>
                <w:b w:val="1"/>
                <w:bCs w:val="1"/>
                <w:color w:val="auto"/>
              </w:rPr>
              <w:t>NOTE 6—ACCRUED EXPENSES AND OTHER CURRENT LIABILITIES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60" w:type="dxa"/>
            <w:vAlign w:val="bottom"/>
          </w:tcPr>
          <w:p>
            <w:pPr>
              <w:spacing w:after="0"/>
              <w:rPr>
                <w:sz w:val="21"/>
                <w:szCs w:val="21"/>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8"/>
                <w:szCs w:val="18"/>
                <w:color w:val="auto"/>
              </w:rPr>
              <w:t>32,021</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26,976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3,846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8"/>
                <w:szCs w:val="18"/>
                <w:color w:val="auto"/>
              </w:rPr>
              <w:t>1,156</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1,411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5,083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8"/>
                <w:szCs w:val="18"/>
                <w:color w:val="auto"/>
              </w:rPr>
              <w:t>15,153</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9,613</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58,264</w:t>
            </w:r>
          </w:p>
        </w:tc>
        <w:tc>
          <w:tcPr>
            <w:tcW w:w="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49,403</w:t>
            </w:r>
          </w:p>
        </w:tc>
      </w:tr>
      <w:tr>
        <w:trPr>
          <w:trHeight w:val="486"/>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7—SHAREHOLDERS' EQUITY</w:t>
            </w: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w w:val="98"/>
              </w:rPr>
              <w:t xml:space="preserve">Basic and diluted income per share was determined based on the following share data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2"/>
        </w:trPr>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11,827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11,931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260" w:type="dxa"/>
            <w:vAlign w:val="bottom"/>
          </w:tcPr>
          <w:p>
            <w:pPr>
              <w:spacing w:after="0"/>
              <w:rPr>
                <w:sz w:val="21"/>
                <w:szCs w:val="21"/>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8"/>
                <w:szCs w:val="18"/>
                <w:b w:val="1"/>
                <w:bCs w:val="1"/>
                <w:color w:val="auto"/>
              </w:rPr>
              <w:t>13,477</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12,873</w:t>
            </w:r>
          </w:p>
        </w:tc>
      </w:tr>
      <w:tr>
        <w:trPr>
          <w:trHeight w:val="34"/>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shares related to potentially dilutive securities were excluded from the calculation of diluted income per share for the three months ended March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each of January 2010, May 2014, January 2016 and February 2016, the board of directors authorized and the Company announced the repurchase of up to $10.0 million, $10.0 million, $50.0 million and $40.0 million, respectively, of LendingTree's common stock. During the three months ended March 31, 2016, the Company purchased 580,014 shares of its common stock pursuant to this stock repurchase program. At March 31, 2017, approximately $48.7 million of the previous authorizations to repurchase common stock remain available for the Company to purchase its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1,219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2,230</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2,633</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1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i w:val="1"/>
                <w:iCs w:val="1"/>
                <w:color w:val="auto"/>
                <w:w w:val="89"/>
              </w:rPr>
              <w:t>(per option)</w:t>
            </w: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4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2017</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1,991,802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21.23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4,079</w:t>
            </w:r>
          </w:p>
        </w:tc>
        <w:tc>
          <w:tcPr>
            <w:tcW w:w="320" w:type="dxa"/>
            <w:vAlign w:val="bottom"/>
          </w:tcPr>
          <w:p>
            <w:pPr>
              <w:spacing w:after="0"/>
              <w:rPr>
                <w:sz w:val="23"/>
                <w:szCs w:val="23"/>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112.99</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(78,838)</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31.40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(20,001)</w:t>
            </w:r>
          </w:p>
        </w:tc>
        <w:tc>
          <w:tcPr>
            <w:tcW w:w="32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71.04</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2017</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1,897,042</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20.48</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198,952</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2017</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1,148,052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12.93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129,061</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$125.35 on the last trading day of the quarter ended March 31, 2017 and the exercise price, multiplied by the number of shares covered by in-the-money options) that would have been received by the option holders had all option holders exercised their options on March 31, 2017.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March 31, 2017, the Company granted stock options to certain employees and new members of the board of directors with a weighted average grant date fair value per share of $57.24, calculated using the Black-Scholes option pricing model, which vesting periods include (a) three years from the grant date and (b) two years from the grant date.</w:t>
      </w:r>
    </w:p>
    <w:p>
      <w:pPr>
        <w:spacing w:after="0" w:line="127"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5.75 - 6.00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2.08% - 2.17%</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stock options granted in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356"/>
              <w:spacing w:after="0"/>
              <w:rPr>
                <w:sz w:val="20"/>
                <w:szCs w:val="20"/>
                <w:color w:val="auto"/>
              </w:rPr>
            </w:pPr>
            <w:r>
              <w:rPr>
                <w:rFonts w:ascii="Arial" w:cs="Arial" w:eastAsia="Arial" w:hAnsi="Arial"/>
                <w:sz w:val="14"/>
                <w:szCs w:val="14"/>
                <w:b w:val="1"/>
                <w:bCs w:val="1"/>
                <w:color w:val="auto"/>
                <w:w w:val="90"/>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Number of Units</w:t>
            </w:r>
          </w:p>
        </w:tc>
        <w:tc>
          <w:tcPr>
            <w:tcW w:w="18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152,374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65.64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45,626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76.27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137,561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87.17</w:t>
            </w:r>
          </w:p>
        </w:tc>
        <w:tc>
          <w:tcPr>
            <w:tcW w:w="0" w:type="dxa"/>
            <w:vAlign w:val="bottom"/>
          </w:tcPr>
          <w:p>
            <w:pPr>
              <w:spacing w:after="0"/>
              <w:rPr>
                <w:sz w:val="1"/>
                <w:szCs w:val="1"/>
                <w:color w:val="auto"/>
              </w:rPr>
            </w:pPr>
          </w:p>
        </w:tc>
      </w:tr>
      <w:tr>
        <w:trPr>
          <w:trHeight w:val="548"/>
        </w:trPr>
        <w:tc>
          <w:tcPr>
            <w:tcW w:w="76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14,464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648"/>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Arial" w:cs="Arial" w:eastAsia="Arial" w:hAnsi="Arial"/>
                <w:sz w:val="18"/>
                <w:szCs w:val="18"/>
                <w:color w:val="auto"/>
                <w:w w:val="93"/>
              </w:rPr>
              <w:t>A summary of the changes in outstanding nonvested RSUs with performance conditions is as follows: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w w:val="93"/>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Number of Units</w:t>
            </w:r>
          </w:p>
        </w:tc>
        <w:tc>
          <w:tcPr>
            <w:tcW w:w="18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44,509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88.28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2017</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44,509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88.28</w:t>
            </w:r>
          </w:p>
        </w:tc>
        <w:tc>
          <w:tcPr>
            <w:tcW w:w="0" w:type="dxa"/>
            <w:vAlign w:val="bottom"/>
          </w:tcPr>
          <w:p>
            <w:pPr>
              <w:spacing w:after="0"/>
              <w:rPr>
                <w:sz w:val="1"/>
                <w:szCs w:val="1"/>
                <w:color w:val="auto"/>
              </w:rPr>
            </w:pPr>
          </w:p>
        </w:tc>
      </w:tr>
      <w:tr>
        <w:trPr>
          <w:trHeight w:val="459"/>
        </w:trPr>
        <w:tc>
          <w:tcPr>
            <w:tcW w:w="7660" w:type="dxa"/>
            <w:vAlign w:val="bottom"/>
            <w:tcBorders>
              <w:top w:val="single" w:sz="8" w:color="auto"/>
            </w:tcBorders>
          </w:tcPr>
          <w:p>
            <w:pPr>
              <w:ind w:left="5620"/>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67"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258"/>
        </w:trPr>
        <w:tc>
          <w:tcPr>
            <w:tcW w:w="8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3"/>
          </w:tcPr>
          <w:p>
            <w:pPr>
              <w:jc w:val="right"/>
              <w:ind w:right="396"/>
              <w:spacing w:after="0"/>
              <w:rPr>
                <w:sz w:val="20"/>
                <w:szCs w:val="20"/>
                <w:color w:val="auto"/>
              </w:rPr>
            </w:pPr>
            <w:r>
              <w:rPr>
                <w:rFonts w:ascii="Arial" w:cs="Arial" w:eastAsia="Arial" w:hAnsi="Arial"/>
                <w:sz w:val="14"/>
                <w:szCs w:val="14"/>
                <w:b w:val="1"/>
                <w:bCs w:val="1"/>
                <w:i w:val="1"/>
                <w:iCs w:val="1"/>
                <w:color w:val="auto"/>
                <w:w w:val="95"/>
              </w:rPr>
              <w:t>(in thousands, except percentages)</w:t>
            </w:r>
          </w:p>
        </w:tc>
      </w:tr>
      <w:tr>
        <w:trPr>
          <w:trHeight w:val="66"/>
        </w:trPr>
        <w:tc>
          <w:tcPr>
            <w:tcW w:w="8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1,079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(4,798)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2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i w:val="1"/>
                <w:iCs w:val="1"/>
                <w:color w:val="auto"/>
              </w:rPr>
              <w:t>(16.1)%</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41.0%</w:t>
            </w:r>
          </w:p>
        </w:tc>
      </w:tr>
      <w:tr>
        <w:trPr>
          <w:trHeight w:val="27"/>
        </w:trPr>
        <w:tc>
          <w:tcPr>
            <w:tcW w:w="836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480" w:type="dxa"/>
            <w:vAlign w:val="bottom"/>
            <w:tcBorders>
              <w:bottom w:val="single" w:sz="8" w:color="999999"/>
            </w:tcBorders>
          </w:tcPr>
          <w:p>
            <w:pPr>
              <w:spacing w:after="0"/>
              <w:rPr>
                <w:sz w:val="2"/>
                <w:szCs w:val="2"/>
                <w:color w:val="auto"/>
              </w:rPr>
            </w:pPr>
          </w:p>
        </w:tc>
        <w:tc>
          <w:tcPr>
            <w:tcW w:w="102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the three months ended March 31, 2017, the effective tax rate varied from the federal statutory rate of 35% primarily due to a tax benefit of $3.8 million recognized for excess tax benefits due to employee exercises of stock options and vesting of restricted stock in accordance with ASU 2016-09.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Significant Accounting Policies </w:t>
      </w:r>
      <w:r>
        <w:rPr>
          <w:rFonts w:ascii="Arial" w:cs="Arial" w:eastAsia="Arial" w:hAnsi="Arial"/>
          <w:sz w:val="18"/>
          <w:szCs w:val="18"/>
          <w:b w:val="1"/>
          <w:bCs w:val="1"/>
          <w:color w:val="auto"/>
        </w:rPr>
        <w:t>—</w:t>
      </w:r>
      <w:r>
        <w:rPr>
          <w:rFonts w:ascii="Arial" w:cs="Arial" w:eastAsia="Arial" w:hAnsi="Arial"/>
          <w:sz w:val="18"/>
          <w:szCs w:val="18"/>
          <w:color w:val="auto"/>
        </w:rPr>
        <w:t>Recent Accounting Pronouncements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2016, the effective tax rate varied from the federal statutory rate of 35% primarily due to state taxes.</w:t>
      </w:r>
    </w:p>
    <w:p>
      <w:pPr>
        <w:spacing w:after="0" w:line="163"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r>
      <w:tr>
        <w:trPr>
          <w:trHeight w:val="258"/>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0"/>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3"/>
          </w:tcPr>
          <w:p>
            <w:pPr>
              <w:jc w:val="right"/>
              <w:ind w:right="294"/>
              <w:spacing w:after="0"/>
              <w:rPr>
                <w:sz w:val="20"/>
                <w:szCs w:val="20"/>
                <w:color w:val="auto"/>
              </w:rPr>
            </w:pPr>
            <w:r>
              <w:rPr>
                <w:rFonts w:ascii="Arial" w:cs="Arial" w:eastAsia="Arial" w:hAnsi="Arial"/>
                <w:sz w:val="14"/>
                <w:szCs w:val="14"/>
                <w:b w:val="1"/>
                <w:bCs w:val="1"/>
                <w:i w:val="1"/>
                <w:iCs w:val="1"/>
                <w:color w:val="auto"/>
                <w:w w:val="92"/>
              </w:rPr>
              <w:t>(in thousands, except percentages)</w:t>
            </w:r>
          </w:p>
        </w:tc>
      </w:tr>
      <w:tr>
        <w:trPr>
          <w:trHeight w:val="66"/>
        </w:trPr>
        <w:tc>
          <w:tcPr>
            <w:tcW w:w="8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 excluding excess tax benefit on stock compensation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(2,683)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2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3,762</w:t>
            </w:r>
          </w:p>
        </w:tc>
        <w:tc>
          <w:tcPr>
            <w:tcW w:w="4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1,079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7"/>
        </w:trPr>
        <w:tc>
          <w:tcPr>
            <w:tcW w:w="8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March 31, 2017,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March 31, 2017.</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$1.2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11,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31, 2017 and December 31, 2016, the Company had a litigation settlement accrual of $1.0 million and $0.7 million, respectively, in continuing operations and $4.0 million and $4.0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w:t>
      </w:r>
    </w:p>
    <w:p>
      <w:pPr>
        <w:spacing w:after="0" w:line="11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Inc.</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Next Advisor, Inc. v. LendingTree, Inc. and LendingTree, LLC, No. 15-cvs-20775 (N.C. Super. Ct.)</w:t>
      </w:r>
      <w:r>
        <w:rPr>
          <w:rFonts w:ascii="Arial" w:cs="Arial" w:eastAsia="Arial" w:hAnsi="Arial"/>
          <w:sz w:val="18"/>
          <w:szCs w:val="18"/>
          <w:color w:val="auto"/>
        </w:rPr>
        <w:t>. On November 6, 2015, the plaintiff filed this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North Carolina Unfair and Deceptive Trade Practices Act. The plaintiff seeks damages, attorneys' fees and injunctive relief.</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16, 2015, LendingTree filed its answer to the plaintiff's complaint, denying the material allegations and asserting numerous defenses thereto. In June 2016, the Court granted plaintiff's motion for preliminary injunction and ordered that LendingTree cease any utilization of confidential and trade secret information of plaintiff and cease marketing its credit card product via certain third party content marketing platforms until the judge finally determines the facts in this matter and the appropriate relief, if any, to be granted with respect thereto. Discovery is ongoing in this matter. LendingTree believes that the plaintiff's allegations lack merit and intends to vigorously defend this action. In July 2016, LendingTree filed a notice of interlocutory appeal with respect to the order granting plaintiff's motion for preliminary injunction to the North Carolina Supreme Court; the interlocutory appeal was dismissed in December 2016. In February 2017, LendingTree filed a motion for partial summary judgment. An estimated liability of $0.5 million for this matter is included in the accompanying consolidated balance sheet as of March 31, 2017.</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73"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an estimated liability of $0.5 million has been established for this matter in the accompanying consolidated balance sheet as of March 31, 2017.</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July 9, 2015, HLC filed its answer to RFC’s complaint, denying the material allegations of the complaint and asserting numerous defenses thereto. Discovery is ongoing in this matter. HLC intends to vigorously defend this action. An estimated liability of $3.0 million for this matter is included in the accompanying consolidated balance sheet as of March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Home Loan Center and approximately 149</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w:t>
      </w:r>
    </w:p>
    <w:p>
      <w:pPr>
        <w:spacing w:after="0" w:line="2" w:lineRule="exact"/>
        <w:rPr>
          <w:sz w:val="20"/>
          <w:szCs w:val="20"/>
          <w:color w:val="auto"/>
        </w:rPr>
      </w:pPr>
    </w:p>
    <w:p>
      <w:pPr>
        <w:jc w:val="both"/>
        <w:ind w:firstLine="8"/>
        <w:spacing w:after="0" w:line="252" w:lineRule="auto"/>
        <w:tabs>
          <w:tab w:leader="none" w:pos="26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that LBHI alleged it allowed in its bankruptcy with respect to the Loans. An estimated liability of $1.0 million for this matter is included in the accompanying consolidated balance sheet as of March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12—FAIR VALUE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the Company's financial instruments are equal to fair value at March 31, 2017.</w:t>
      </w:r>
    </w:p>
    <w:p>
      <w:pPr>
        <w:spacing w:after="0" w:line="171"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 xml:space="preserve">Contingent consideration payments related to acquisitions are measured at fair value each reporting period using Level 3 unobservable inputs. The changes in the fair value of the Company's Level 3 liabilities during the three months ended March 31, 2017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600" w:type="dxa"/>
            <w:vAlign w:val="bottom"/>
          </w:tcPr>
          <w:p>
            <w:pPr>
              <w:jc w:val="right"/>
              <w:ind w:right="416"/>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23,100</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8,746</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31,846</w:t>
            </w:r>
          </w:p>
        </w:tc>
      </w:tr>
      <w:tr>
        <w:trPr>
          <w:trHeight w:val="27"/>
        </w:trPr>
        <w:tc>
          <w:tcPr>
            <w:tcW w:w="97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contingent consideration liability at March 31, 2017 is the estimated fair value of the Earnout Payments of the CompareCards acquisition. The Company will make Earnout Payments ranging from zero to $45.0 million based on the achievement of certain defined earnings targets.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5— Business Acquisition for additional information on the contingent consideration of the CompareCards acquisition. The significant unobservable inputs used to calculate the fair value of the contingent consideration are estimated future cash flows for CompareCards and the discount rate. Actual results will differ from the projected results and could have a significant impact on the estimated fair value of the contingent consideration. Additionally, as the liability is stated at present value, the passage of time alone will increase the estimated fair value of the liability each reporting period. Any changes in fair value will be recorded in operating income (expense) in the consolidated statements of operations and comprehensive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r>
      <w:tr>
        <w:trPr>
          <w:trHeight w:val="244"/>
        </w:trPr>
        <w:tc>
          <w:tcPr>
            <w:tcW w:w="368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5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55,016</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69,577</w:t>
            </w:r>
          </w:p>
        </w:tc>
        <w:tc>
          <w:tcPr>
            <w:tcW w:w="4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39,697</w:t>
            </w:r>
          </w:p>
        </w:tc>
      </w:tr>
      <w:tr>
        <w:trPr>
          <w:trHeight w:val="27"/>
        </w:trPr>
        <w:tc>
          <w:tcPr>
            <w:tcW w:w="36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5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132,515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94,713</w:t>
            </w:r>
          </w:p>
        </w:tc>
      </w:tr>
      <w:tr>
        <w:trPr>
          <w:trHeight w:val="459"/>
        </w:trPr>
        <w:tc>
          <w:tcPr>
            <w:tcW w:w="3680" w:type="dxa"/>
            <w:vAlign w:val="bottom"/>
            <w:tcBorders>
              <w:top w:val="single" w:sz="8" w:color="auto"/>
            </w:tcBorders>
          </w:tcPr>
          <w:p>
            <w:pPr>
              <w:spacing w:after="0"/>
              <w:rPr>
                <w:sz w:val="24"/>
                <w:szCs w:val="24"/>
                <w:color w:val="auto"/>
              </w:rPr>
            </w:pPr>
          </w:p>
        </w:tc>
        <w:tc>
          <w:tcPr>
            <w:tcW w:w="5220" w:type="dxa"/>
            <w:vAlign w:val="bottom"/>
            <w:tcBorders>
              <w:top w:val="single" w:sz="8" w:color="auto"/>
            </w:tcBorders>
          </w:tcPr>
          <w:p>
            <w:pPr>
              <w:jc w:val="right"/>
              <w:ind w:right="3010"/>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(750)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318"/>
        </w:trPr>
        <w:tc>
          <w:tcPr>
            <w:tcW w:w="8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503</w:t>
            </w:r>
          </w:p>
        </w:tc>
        <w:tc>
          <w:tcPr>
            <w:tcW w:w="4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647</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(932)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March 31, 2017, $4.0 million is being held in escrow in accordance with the agreement with Discover for certain loan loss obligations that remain with the Company following the sale. The escrowed amount is recorded as restricted cash as of March 31,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loans as of March 31, 2017</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$7.8 million at March 31, 2017. The reserve balance recorded as of March 31, 2017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6,804</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8,127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750</w:t>
            </w: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7,554</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8,127</w:t>
            </w:r>
          </w:p>
        </w:tc>
      </w:tr>
      <w:tr>
        <w:trPr>
          <w:trHeight w:val="34"/>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2017 and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2016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loans and lines of credit, reverse mortgage loans, auto loans, credit cards, personal loans, student loans,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CompareCards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16, 2016, we acquired Iron Horse Holdings, LLC, which does business under the name CompareCards for $80.7 million in cash at closing and contingent consideration payments of up to $22.5 million in each of 2017 and 2018, subject to achieving specific growth targets. CompareCards is a leading online source for side-by-side credit card comparison shopping. CompareCards provides consumers with one centralized location for pertinent credit card information needed to find the best card for their needs. The acquisition continues our diversification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We intend to utilize one or both buildings in the future as our principal executive offices, and any unused space will continue to be occupied by tenants.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Other factors affecting our business include macro factors such as credit availability in the market, the strength of the economy and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started to rise, to a monthly average of 4.20% in March 2017. On a quarterly basis, 30-year mortgage interest rates in the first quarter of 2017 averaged 4.17%, as compared to 3.74% in the first quarter of 2016 and 3.81% in the fourth quarter of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238125</wp:posOffset>
            </wp:positionV>
            <wp:extent cx="4922520" cy="2538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decreased to 41% of total mortgage origination dollars, while purchase origination dollars increased to 59% in the first quarter of 2017 over the fourth quarter of 2016.</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Looking forward, MBA is projecting 30-year mortgage interest rates to increase through the end of the year. According to MBA projections, as interest rates climb, the mix of mortgage origination dollars will move towards purchase mortgages with the refinance share representing just 31% for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National Association of Realtors ("NAR"), 2017 started with the fastest pace of existing home sales in almost a decade. Existing home sales slowed in February 2017 due to limited supply, but continues to remain above last year's sales levels. The NAR expects inventory to remain low for 2017, but forecasts an increase of 2.3% in existing home sales from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and 2016</w:t>
      </w:r>
    </w:p>
    <w:p>
      <w:pPr>
        <w:spacing w:after="0" w:line="176"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37465</wp:posOffset>
            </wp:positionV>
            <wp:extent cx="23583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6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60" w:type="dxa"/>
            <w:vAlign w:val="bottom"/>
          </w:tcPr>
          <w:p>
            <w:pPr>
              <w:jc w:val="right"/>
              <w:ind w:right="4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7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center"/>
              <w:ind w:right="60"/>
              <w:spacing w:after="0"/>
              <w:rPr>
                <w:sz w:val="20"/>
                <w:szCs w:val="20"/>
                <w:color w:val="auto"/>
              </w:rPr>
            </w:pPr>
            <w:r>
              <w:rPr>
                <w:rFonts w:ascii="Arial" w:cs="Arial" w:eastAsia="Arial" w:hAnsi="Arial"/>
                <w:sz w:val="13"/>
                <w:szCs w:val="13"/>
                <w:b w:val="1"/>
                <w:bCs w:val="1"/>
                <w:i w:val="1"/>
                <w:iCs w:val="1"/>
                <w:color w:val="auto"/>
                <w:w w:val="84"/>
              </w:rPr>
              <w:t>(Dollars 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62,938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55,016</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7,922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4"/>
        </w:trPr>
        <w:tc>
          <w:tcPr>
            <w:tcW w:w="770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69,577</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39,697</w:t>
            </w:r>
          </w:p>
        </w:tc>
        <w:tc>
          <w:tcPr>
            <w:tcW w:w="16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29,880</w:t>
            </w:r>
          </w:p>
        </w:tc>
        <w:tc>
          <w:tcPr>
            <w:tcW w:w="92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33"/>
        </w:trPr>
        <w:tc>
          <w:tcPr>
            <w:tcW w:w="7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132,515</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94,713</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37,802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40 %</w:t>
            </w:r>
          </w:p>
        </w:tc>
        <w:tc>
          <w:tcPr>
            <w:tcW w:w="0" w:type="dxa"/>
            <w:vAlign w:val="bottom"/>
          </w:tcPr>
          <w:p>
            <w:pPr>
              <w:spacing w:after="0"/>
              <w:rPr>
                <w:sz w:val="1"/>
                <w:szCs w:val="1"/>
                <w:color w:val="auto"/>
              </w:rPr>
            </w:pPr>
          </w:p>
        </w:tc>
      </w:tr>
      <w:tr>
        <w:trPr>
          <w:trHeight w:val="224"/>
        </w:trPr>
        <w:tc>
          <w:tcPr>
            <w:tcW w:w="77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3,591</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3,473</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24"/>
        </w:trPr>
        <w:tc>
          <w:tcPr>
            <w:tcW w:w="770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93,251</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65,059</w:t>
            </w:r>
          </w:p>
        </w:tc>
        <w:tc>
          <w:tcPr>
            <w:tcW w:w="16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28,192</w:t>
            </w:r>
          </w:p>
        </w:tc>
        <w:tc>
          <w:tcPr>
            <w:tcW w:w="92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11,547</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9,259</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2,288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24"/>
        </w:trPr>
        <w:tc>
          <w:tcPr>
            <w:tcW w:w="77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3,623</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3,885</w:t>
            </w:r>
          </w:p>
        </w:tc>
        <w:tc>
          <w:tcPr>
            <w:tcW w:w="16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(262)</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998</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24"/>
        </w:trPr>
        <w:tc>
          <w:tcPr>
            <w:tcW w:w="770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2,609</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2,584</w:t>
            </w:r>
          </w:p>
        </w:tc>
        <w:tc>
          <w:tcPr>
            <w:tcW w:w="920" w:type="dxa"/>
            <w:vAlign w:val="bottom"/>
          </w:tcPr>
          <w:p>
            <w:pPr>
              <w:jc w:val="right"/>
              <w:spacing w:after="0"/>
              <w:rPr>
                <w:sz w:val="20"/>
                <w:szCs w:val="20"/>
                <w:color w:val="auto"/>
              </w:rPr>
            </w:pPr>
            <w:r>
              <w:rPr>
                <w:rFonts w:ascii="Arial" w:cs="Arial" w:eastAsia="Arial" w:hAnsi="Arial"/>
                <w:sz w:val="16"/>
                <w:szCs w:val="16"/>
                <w:color w:val="auto"/>
              </w:rPr>
              <w:t>10,336 %</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8,746</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8,746</w:t>
            </w:r>
          </w:p>
        </w:tc>
        <w:tc>
          <w:tcPr>
            <w:tcW w:w="9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4"/>
        </w:trPr>
        <w:tc>
          <w:tcPr>
            <w:tcW w:w="770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157</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1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125,631</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82,868</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42,763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52 %</w:t>
            </w:r>
          </w:p>
        </w:tc>
        <w:tc>
          <w:tcPr>
            <w:tcW w:w="0" w:type="dxa"/>
            <w:vAlign w:val="bottom"/>
          </w:tcPr>
          <w:p>
            <w:pPr>
              <w:spacing w:after="0"/>
              <w:rPr>
                <w:sz w:val="1"/>
                <w:szCs w:val="1"/>
                <w:color w:val="auto"/>
              </w:rPr>
            </w:pPr>
          </w:p>
        </w:tc>
      </w:tr>
      <w:tr>
        <w:trPr>
          <w:trHeight w:val="33"/>
        </w:trPr>
        <w:tc>
          <w:tcPr>
            <w:tcW w:w="7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6,884</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11,845</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(4,961)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24"/>
        </w:trPr>
        <w:tc>
          <w:tcPr>
            <w:tcW w:w="7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6,719</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11,703</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(4,984)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(4,798)</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5,877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1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7,798</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6,905</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893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13 %</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(271)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6,866</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5,702</w:t>
            </w: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1,164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20 %</w:t>
            </w:r>
          </w:p>
        </w:tc>
        <w:tc>
          <w:tcPr>
            <w:tcW w:w="0" w:type="dxa"/>
            <w:vAlign w:val="bottom"/>
          </w:tcPr>
          <w:p>
            <w:pPr>
              <w:spacing w:after="0"/>
              <w:rPr>
                <w:sz w:val="1"/>
                <w:szCs w:val="1"/>
                <w:color w:val="auto"/>
              </w:rPr>
            </w:pPr>
          </w:p>
        </w:tc>
      </w:tr>
      <w:tr>
        <w:trPr>
          <w:trHeight w:val="40"/>
        </w:trPr>
        <w:tc>
          <w:tcPr>
            <w:tcW w:w="7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the first quarter of 2017 compared to the first quarter of 2016 due to increases in our non-mortgage products of $29.9 million and in our mortgage products of $7.9 million.</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non-mortgage products include the following non-mortgage lending products: personal loans, credit cards, home equity loans and lines of credit, reverse mortgage loans, auto loans, small business loans and student loans. Our non-mortgage products also include home improvement referrals and other credit products such as credit repair and debt settlement. Many of our non-mortgage products are not individually significant to revenue. The increase in revenue from our non-mortgage products in the first quarter of 2017 from the first quarter of 2016 is primarily due to a business acquisition in credit cards.</w:t>
      </w:r>
    </w:p>
    <w:p>
      <w:pPr>
        <w:spacing w:after="0" w:line="10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our credit cards product increased $24.6 million to $33.8 million in the first quarter of 2017 from $9.2 million in the first quarter of 2016, or 269%, primarily due to the contribution from the CompareCards acquisition, completed on November 16, 2016.</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 from our personal loans product decreased $0.6 million to $17.0 million in the first quarter of 2017 from $17.6 million in the first quarter of 2016, or 3%, primarily due to decreases in revenue earned per consumer, partially offset by increases in the number of consumers completing request forms. Certain of our online personal loan lenders experienced well-publicized challenges in 2016, in particular, general unavailability of capital, increased pricing demanded by investors of personal loans, which in some cases led to reductions in marketing spend and tightening in underwriting standards. We expect revenue from our personal loan product to increase in each remaining quarter of 2017 compared to the corresponding 2016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no other non-mortgage product represented more than 10% of revenue, however certain other non-mortgage products experienced notable increases. Revenue from our home equity product increased by $4.7 million in the first quarter of 2017 compared to the first quarter of 2016 due to increases in lender coverage, revenue earned per consumer, and the number of consumers completing request forms, combined with increased marketing efforts.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revenue from our mortgage products in the first quarter of 2017 compared to the first quarter of 2016 is primarily due to an increase in revenue from our purchase product, although revenue from our refinance product also increased. The revenue from our purchase product increased $6.2 million in the first quarter of 2017 from the first quarter of 2016, primarily due to an increase in lender demand and an increase in marketing efforts. The revenue earned per consumer from our mortgage products increased in the first quarter of 2017 compared to the first quarter of 2016, while the number of consumers completing a request form for mortgage products remained relatively consistent.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quarter of 2017 from the first quarter of 2016, primarily due to increases of $0.4 million in compensation and benefits as a result of increases in headcount, partially offset by decreases of $0.1 million in credit card processing fees and $0.1 million in customer service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decreased from 4% for the first quarter of 2016 to 3% for the first quarter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increases in selling and marketing expense in the first quarter of 2017 compared to the first quarter of 2016 were primarily due to increases in advertising and promotional expense of $28.4 million as discussed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96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3"/>
          </w:tcPr>
          <w:p>
            <w:pPr>
              <w:jc w:val="right"/>
              <w:ind w:right="496"/>
              <w:spacing w:after="0"/>
              <w:rPr>
                <w:sz w:val="20"/>
                <w:szCs w:val="20"/>
                <w:color w:val="auto"/>
              </w:rPr>
            </w:pPr>
            <w:r>
              <w:rPr>
                <w:rFonts w:ascii="Arial" w:cs="Arial" w:eastAsia="Arial" w:hAnsi="Arial"/>
                <w:sz w:val="14"/>
                <w:szCs w:val="14"/>
                <w:b w:val="1"/>
                <w:bCs w:val="1"/>
                <w:i w:val="1"/>
                <w:iCs w:val="1"/>
                <w:color w:val="auto"/>
                <w:w w:val="98"/>
              </w:rPr>
              <w:t>(Dollars 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80,660</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50,528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30,132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7,232</w:t>
            </w:r>
          </w:p>
        </w:tc>
        <w:tc>
          <w:tcPr>
            <w:tcW w:w="3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8,716</w:t>
            </w:r>
          </w:p>
        </w:tc>
        <w:tc>
          <w:tcPr>
            <w:tcW w:w="30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(1,484)</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1,110</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1,337</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89,002</w:t>
            </w:r>
          </w:p>
        </w:tc>
        <w:tc>
          <w:tcPr>
            <w:tcW w:w="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60,581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28,421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47 %</w:t>
            </w:r>
          </w:p>
        </w:tc>
        <w:tc>
          <w:tcPr>
            <w:tcW w:w="0" w:type="dxa"/>
            <w:vAlign w:val="bottom"/>
          </w:tcPr>
          <w:p>
            <w:pPr>
              <w:spacing w:after="0"/>
              <w:rPr>
                <w:sz w:val="1"/>
                <w:szCs w:val="1"/>
                <w:color w:val="auto"/>
              </w:rPr>
            </w:pPr>
          </w:p>
        </w:tc>
      </w:tr>
      <w:tr>
        <w:trPr>
          <w:trHeight w:val="34"/>
        </w:trPr>
        <w:tc>
          <w:tcPr>
            <w:tcW w:w="7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the first quarter of 2017 compared to the first quarter of 2016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76"/>
        <w:spacing w:after="0" w:line="277" w:lineRule="auto"/>
        <w:rPr>
          <w:sz w:val="20"/>
          <w:szCs w:val="20"/>
          <w:color w:val="auto"/>
        </w:rPr>
      </w:pPr>
      <w:r>
        <w:rPr>
          <w:rFonts w:ascii="Arial" w:cs="Arial" w:eastAsia="Arial" w:hAnsi="Arial"/>
          <w:sz w:val="18"/>
          <w:szCs w:val="18"/>
          <w:color w:val="auto"/>
        </w:rPr>
        <w:t>General and administrative expense increased in the first quarter of 2017 from the first quarter of 2016, primarily due to increases in compensation and benefits of $1.4 million as a result of increases in headcount and increases in professional fees of $0.5 million.</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General and administrative expense as a percentage of revenue decreased to 9% in the first quarter of 2017 from 10% in the first quarter of 2016.</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2017, we recorded $8.7 million of contingent consideration expense due to an adjustment in the estimated fair value of the earnout payments related to the CompareCards acquisition.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Product development expense remained relatively consistent in the first quarter of 2017 compared to the first quarter of 2016,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the first quarter of 2017, the effective tax rate varied from the federal statutory rate of 35% primarily due to a tax benefit of $3.8 million recognized for excess tax benefits due to employee exercises of stock options and vesting of restricted stock in accordance with ASU 2016-09.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Significant Accounting Policies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first quarter of 2016, the effective tax rate varied from the federal statutory rate of 35% primarily due to state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first quarter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3" w:lineRule="auto"/>
        <w:tabs>
          <w:tab w:leader="none" w:pos="29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r>
      <w:tr>
        <w:trPr>
          <w:trHeight w:val="25"/>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7,798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6,905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2,609</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1,703</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2,230</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8,746</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23,817</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15,797</w:t>
            </w:r>
          </w:p>
        </w:tc>
      </w:tr>
      <w:tr>
        <w:trPr>
          <w:trHeight w:val="34"/>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2017, we had $105.4 million of cash and cash equivalents and $4.1 million of restricted cash and cash equivalents, compared to $91.1 million of cash and cash equivalents and $4.1 million of restricted cash and cash equivalents as of December 31, 2016.</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November 2016, we acquired CompareCards for $80.7 million cash at closing and potential future contingent consideration payments of up to $22.5 million for each of 2017 and 2018, subject to achieving specified targets.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5—Business Acquisitions in the notes to the consolidated financial statements included elsewhere in this report for additional information.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April 28, 2017, we do not have any borrowings outstanding under the Revolving Credit Facility.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10—Revolving Credit Facility, in the notes to the consolidated financial statements included elsewhere in this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9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17,184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10,371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(1,887)</w:t>
            </w:r>
          </w:p>
        </w:tc>
        <w:tc>
          <w:tcPr>
            <w:tcW w:w="5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(43,115)</w:t>
            </w:r>
          </w:p>
        </w:tc>
      </w:tr>
      <w:tr>
        <w:trPr>
          <w:trHeight w:val="20"/>
        </w:trPr>
        <w:tc>
          <w:tcPr>
            <w:tcW w:w="8320" w:type="dxa"/>
            <w:vAlign w:val="bottom"/>
            <w:shd w:val="clear" w:color="auto" w:fill="999999"/>
          </w:tcPr>
          <w:p>
            <w:pPr>
              <w:spacing w:after="0" w:line="20" w:lineRule="exact"/>
              <w:rPr>
                <w:sz w:val="1"/>
                <w:szCs w:val="1"/>
                <w:color w:val="auto"/>
              </w:rPr>
            </w:pPr>
          </w:p>
        </w:tc>
        <w:tc>
          <w:tcPr>
            <w:tcW w:w="340" w:type="dxa"/>
            <w:vAlign w:val="bottom"/>
            <w:shd w:val="clear" w:color="auto" w:fill="999999"/>
          </w:tcPr>
          <w:p>
            <w:pPr>
              <w:spacing w:after="0" w:line="20" w:lineRule="exact"/>
              <w:rPr>
                <w:sz w:val="1"/>
                <w:szCs w:val="1"/>
                <w:color w:val="auto"/>
              </w:rPr>
            </w:pPr>
          </w:p>
        </w:tc>
        <w:tc>
          <w:tcPr>
            <w:tcW w:w="120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three months of 2017 from the first three months of 2016 primarily due to an increase in revenue, partially offset by an increase in selling and marketing expense. Additionally, there was a net decrease in cash from changes in working capital primarily driven by changes in accounts receivable, income taxes payable and accounts payable, accrued expenses and other current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2017 of $1.9 million consisted primarily of capital expenditures related to internally developed software.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attributable to continuing operations in the first three months of 2016 of $0.3 million consisted primarily of a $2.5 million decrease in restricted cash due to the release of funds in escrow for the surety bonds due to a reduction in collateral requirements, partially offset by capital expenditures of $2.2 million primarily related to internally developed software.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three months of 2017 of $0.1 million consisted of payments of withholding taxes upon surrender of shares to satisfy obligations on equity awards, net of proceeds from the exercise of stock options.</w:t>
      </w:r>
    </w:p>
    <w:p>
      <w:pPr>
        <w:spacing w:after="0" w:line="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three months of 2016 of $43.1 million consisted primarily of the repurchase of our stock of $40.5 million and $2.6 million in withholding taxes paid by us upon surrender of shares to satisfy obligations on equity awards.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Revolving Credit Facility, which currently has no borrowings outstanding,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April 28, 2017, there were no borrowings under the Revolving Credit Facility.</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2017,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2017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2016 Annual Report and updated that information in Note 11—Contingencies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2016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March 31, 2017, approximately $48.7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March 31, 2017. As of April 28, 2017, approximately $48.7 million remains authorized for share repurchase.</w:t>
      </w:r>
    </w:p>
    <w:p>
      <w:pPr>
        <w:spacing w:after="0" w:line="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March 31, 2017, 21,702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1/1/17 - 1/31/17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2/1/17 - 2/28/17</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21,041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3/1/17 - 3/31/17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119.46</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21,702</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118.39</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January 2017, February 2017 and March 2017, 231 shares, 21,041 shares and 430 shares, respectively (totaling 21,702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2017</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2017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April 28, 2017</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2017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April 28, 2017</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2"/>
    </w:lvl>
  </w:abstractNum>
  <w:abstractNum w:abstractNumId="8">
    <w:nsid w:val="140E0F76"/>
    <w:multiLevelType w:val="hybridMultilevel"/>
    <w:lvl w:ilvl="0">
      <w:lvlJc w:val="left"/>
      <w:lvlText w:val="(%1)"/>
      <w:numFmt w:val="decimal"/>
      <w:start w:val="4"/>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2019-12-29T06:27:33Z</dcterms:created>
  <dcterms:modified xsi:type="dcterms:W3CDTF">2019-12-29T06:27:33Z</dcterms:modified>
</cp:coreProperties>
</file>