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477520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435610</wp:posOffset>
            </wp:positionV>
            <wp:extent cx="71348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105410</wp:posOffset>
            </wp:positionV>
            <wp:extent cx="3171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26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78740</wp:posOffset>
            </wp:positionV>
            <wp:extent cx="31718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35" w:lineRule="exact"/>
        <w:rPr>
          <w:sz w:val="24"/>
          <w:szCs w:val="24"/>
          <w:color w:val="auto"/>
        </w:rPr>
      </w:pPr>
    </w:p>
    <w:p>
      <w:pPr>
        <w:ind w:left="960" w:hanging="563"/>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2022</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960" w:hanging="563"/>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2" w:lineRule="exact"/>
        <w:rPr>
          <w:sz w:val="24"/>
          <w:szCs w:val="24"/>
          <w:color w:val="auto"/>
        </w:rPr>
      </w:pPr>
    </w:p>
    <w:p>
      <w:pPr>
        <w:ind w:left="3660"/>
        <w:spacing w:after="0"/>
        <w:tabs>
          <w:tab w:leader="none" w:pos="67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43815</wp:posOffset>
            </wp:positionV>
            <wp:extent cx="31718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17145"/>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153035</wp:posOffset>
            </wp:positionV>
            <wp:extent cx="1118870" cy="386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870" cy="386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LendingTree,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18"/>
                <w:szCs w:val="18"/>
                <w:color w:val="auto"/>
              </w:rPr>
            </w:pPr>
          </w:p>
        </w:tc>
        <w:tc>
          <w:tcPr>
            <w:tcW w:w="2260" w:type="dxa"/>
            <w:vAlign w:val="bottom"/>
            <w:gridSpan w:val="3"/>
          </w:tcPr>
          <w:p>
            <w:pPr>
              <w:jc w:val="center"/>
              <w:ind w:left="53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gridSpan w:val="3"/>
          </w:tcPr>
          <w:p>
            <w:pPr>
              <w:jc w:val="right"/>
              <w:ind w:right="1560"/>
              <w:spacing w:after="0"/>
              <w:rPr>
                <w:sz w:val="20"/>
                <w:szCs w:val="20"/>
                <w:color w:val="auto"/>
              </w:rPr>
            </w:pPr>
            <w:r>
              <w:rPr>
                <w:rFonts w:ascii="Times New Roman" w:cs="Times New Roman" w:eastAsia="Times New Roman" w:hAnsi="Times New Roman"/>
                <w:sz w:val="16"/>
                <w:szCs w:val="16"/>
                <w:b w:val="1"/>
                <w:bCs w:val="1"/>
                <w:color w:val="auto"/>
              </w:rPr>
              <w:t>26-2414818</w:t>
            </w:r>
          </w:p>
        </w:tc>
      </w:tr>
      <w:tr>
        <w:trPr>
          <w:trHeight w:val="225"/>
        </w:trPr>
        <w:tc>
          <w:tcPr>
            <w:tcW w:w="7420" w:type="dxa"/>
            <w:vAlign w:val="bottom"/>
            <w:gridSpan w:val="7"/>
          </w:tcPr>
          <w:p>
            <w:pPr>
              <w:jc w:val="center"/>
              <w:ind w:right="1820"/>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14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394"/>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80" w:type="dxa"/>
            <w:vAlign w:val="bottom"/>
            <w:gridSpan w:val="8"/>
          </w:tcPr>
          <w:p>
            <w:pPr>
              <w:ind w:left="560"/>
              <w:spacing w:after="0"/>
              <w:rPr>
                <w:sz w:val="20"/>
                <w:szCs w:val="20"/>
                <w:color w:val="auto"/>
              </w:rPr>
            </w:pPr>
            <w:r>
              <w:rPr>
                <w:rFonts w:ascii="Times New Roman" w:cs="Times New Roman" w:eastAsia="Times New Roman" w:hAnsi="Times New Roman"/>
                <w:sz w:val="18"/>
                <w:szCs w:val="18"/>
                <w:b w:val="1"/>
                <w:bCs w:val="1"/>
                <w:color w:val="auto"/>
              </w:rPr>
              <w:t>1415 Vantage Park Dr., Suite 700, Charlotte, North Carolina 28203</w:t>
            </w:r>
          </w:p>
        </w:tc>
      </w:tr>
      <w:tr>
        <w:trPr>
          <w:trHeight w:val="217"/>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8"/>
              </w:rPr>
              <w:t>(Address of principal executive offices)(Zip Code)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99"/>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w w:val="97"/>
              </w:rPr>
              <w:t>(704) 541-5351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0" w:type="dxa"/>
            <w:vAlign w:val="bottom"/>
            <w:gridSpan w:val="3"/>
          </w:tcPr>
          <w:p>
            <w:pPr>
              <w:jc w:val="center"/>
              <w:ind w:left="135"/>
              <w:spacing w:after="0"/>
              <w:rPr>
                <w:sz w:val="20"/>
                <w:szCs w:val="20"/>
                <w:color w:val="auto"/>
              </w:rPr>
            </w:pPr>
            <w:r>
              <w:rPr>
                <w:rFonts w:ascii="Times New Roman" w:cs="Times New Roman" w:eastAsia="Times New Roman" w:hAnsi="Times New Roman"/>
                <w:sz w:val="17"/>
                <w:szCs w:val="17"/>
                <w:color w:val="auto"/>
                <w:w w:val="98"/>
              </w:rPr>
              <w:t>(Registrant's telephone number, including area code)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29"/>
        </w:trPr>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r>
      <w:tr>
        <w:trPr>
          <w:trHeight w:val="328"/>
        </w:trPr>
        <w:tc>
          <w:tcPr>
            <w:tcW w:w="74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4"/>
        </w:trPr>
        <w:tc>
          <w:tcPr>
            <w:tcW w:w="13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10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gridSpan w:val="2"/>
          </w:tcPr>
          <w:p>
            <w:pPr>
              <w:jc w:val="center"/>
              <w:ind w:right="1360"/>
              <w:spacing w:after="0"/>
              <w:rPr>
                <w:sz w:val="20"/>
                <w:szCs w:val="20"/>
                <w:color w:val="auto"/>
              </w:rPr>
            </w:pPr>
            <w:r>
              <w:rPr>
                <w:rFonts w:ascii="Times New Roman" w:cs="Times New Roman" w:eastAsia="Times New Roman" w:hAnsi="Times New Roman"/>
                <w:sz w:val="17"/>
                <w:szCs w:val="17"/>
                <w:color w:val="auto"/>
                <w:w w:val="97"/>
              </w:rPr>
              <w:t>Trading Symbol(s)</w:t>
            </w:r>
          </w:p>
        </w:tc>
        <w:tc>
          <w:tcPr>
            <w:tcW w:w="3140" w:type="dxa"/>
            <w:vAlign w:val="bottom"/>
            <w:gridSpan w:val="3"/>
          </w:tcPr>
          <w:p>
            <w:pPr>
              <w:jc w:val="center"/>
              <w:ind w:left="99"/>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r>
      <w:tr>
        <w:trPr>
          <w:trHeight w:val="242"/>
        </w:trPr>
        <w:tc>
          <w:tcPr>
            <w:tcW w:w="3620" w:type="dxa"/>
            <w:vAlign w:val="bottom"/>
            <w:gridSpan w:val="4"/>
          </w:tcPr>
          <w:p>
            <w:pPr>
              <w:jc w:val="center"/>
              <w:ind w:left="238"/>
              <w:spacing w:after="0"/>
              <w:rPr>
                <w:sz w:val="20"/>
                <w:szCs w:val="20"/>
                <w:color w:val="auto"/>
              </w:rPr>
            </w:pPr>
            <w:r>
              <w:rPr>
                <w:rFonts w:ascii="Times New Roman" w:cs="Times New Roman" w:eastAsia="Times New Roman" w:hAnsi="Times New Roman"/>
                <w:sz w:val="17"/>
                <w:szCs w:val="17"/>
                <w:color w:val="auto"/>
                <w:w w:val="98"/>
              </w:rPr>
              <w:t>Common Stock, $0.01 par value per share</w:t>
            </w:r>
          </w:p>
        </w:tc>
        <w:tc>
          <w:tcPr>
            <w:tcW w:w="1180" w:type="dxa"/>
            <w:vAlign w:val="bottom"/>
          </w:tcPr>
          <w:p>
            <w:pPr>
              <w:spacing w:after="0"/>
              <w:rPr>
                <w:sz w:val="21"/>
                <w:szCs w:val="21"/>
                <w:color w:val="auto"/>
              </w:rPr>
            </w:pPr>
          </w:p>
        </w:tc>
        <w:tc>
          <w:tcPr>
            <w:tcW w:w="2620" w:type="dxa"/>
            <w:vAlign w:val="bottom"/>
            <w:gridSpan w:val="2"/>
          </w:tcPr>
          <w:p>
            <w:pPr>
              <w:jc w:val="center"/>
              <w:ind w:right="1360"/>
              <w:spacing w:after="0"/>
              <w:rPr>
                <w:sz w:val="20"/>
                <w:szCs w:val="20"/>
                <w:color w:val="auto"/>
              </w:rPr>
            </w:pPr>
            <w:r>
              <w:rPr>
                <w:rFonts w:ascii="Times New Roman" w:cs="Times New Roman" w:eastAsia="Times New Roman" w:hAnsi="Times New Roman"/>
                <w:sz w:val="17"/>
                <w:szCs w:val="17"/>
                <w:color w:val="auto"/>
                <w:w w:val="98"/>
              </w:rPr>
              <w:t>TREE</w:t>
            </w:r>
          </w:p>
        </w:tc>
        <w:tc>
          <w:tcPr>
            <w:tcW w:w="180" w:type="dxa"/>
            <w:vAlign w:val="bottom"/>
          </w:tcPr>
          <w:p>
            <w:pPr>
              <w:spacing w:after="0"/>
              <w:rPr>
                <w:sz w:val="21"/>
                <w:szCs w:val="21"/>
                <w:color w:val="auto"/>
              </w:rPr>
            </w:pPr>
          </w:p>
        </w:tc>
        <w:tc>
          <w:tcPr>
            <w:tcW w:w="2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The Nasdaq Stock Market LLC</w:t>
            </w:r>
          </w:p>
        </w:tc>
      </w:tr>
    </w:tbl>
    <w:p>
      <w:pPr>
        <w:spacing w:after="0" w:line="167" w:lineRule="exact"/>
        <w:rPr>
          <w:sz w:val="24"/>
          <w:szCs w:val="24"/>
          <w:color w:val="auto"/>
        </w:rPr>
      </w:pPr>
    </w:p>
    <w:p>
      <w:pPr>
        <w:jc w:val="both"/>
        <w:ind w:firstLine="159"/>
        <w:spacing w:after="0" w:line="21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56" w:lineRule="exact"/>
        <w:rPr>
          <w:sz w:val="24"/>
          <w:szCs w:val="24"/>
          <w:color w:val="auto"/>
        </w:rPr>
      </w:pPr>
    </w:p>
    <w:p>
      <w:pPr>
        <w:jc w:val="both"/>
        <w:ind w:firstLine="15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6" w:lineRule="exact"/>
        <w:rPr>
          <w:sz w:val="24"/>
          <w:szCs w:val="24"/>
          <w:color w:val="auto"/>
        </w:rPr>
      </w:pPr>
    </w:p>
    <w:p>
      <w:pPr>
        <w:jc w:val="both"/>
        <w:ind w:firstLine="159"/>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20" w:type="dxa"/>
        <w:tblCellMar>
          <w:top w:w="0" w:type="dxa"/>
          <w:left w:w="0" w:type="dxa"/>
          <w:bottom w:w="0" w:type="dxa"/>
          <w:right w:w="0" w:type="dxa"/>
        </w:tblCellMar>
      </w:tblPr>
      <w:tr>
        <w:trPr>
          <w:trHeight w:val="238"/>
        </w:trPr>
        <w:tc>
          <w:tcPr>
            <w:tcW w:w="2020" w:type="dxa"/>
            <w:vAlign w:val="bottom"/>
          </w:tcPr>
          <w:p>
            <w:pPr>
              <w:jc w:val="center"/>
              <w:ind w:right="436"/>
              <w:spacing w:after="0"/>
              <w:rPr>
                <w:sz w:val="20"/>
                <w:szCs w:val="20"/>
                <w:color w:val="auto"/>
              </w:rPr>
            </w:pPr>
            <w:r>
              <w:rPr>
                <w:rFonts w:ascii="Times New Roman" w:cs="Times New Roman" w:eastAsia="Times New Roman" w:hAnsi="Times New Roman"/>
                <w:sz w:val="17"/>
                <w:szCs w:val="17"/>
                <w:color w:val="auto"/>
                <w:w w:val="98"/>
              </w:rPr>
              <w:t>Large 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Accelerated filer</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8"/>
        </w:trPr>
        <w:tc>
          <w:tcPr>
            <w:tcW w:w="2020" w:type="dxa"/>
            <w:vAlign w:val="bottom"/>
          </w:tcPr>
          <w:p>
            <w:pPr>
              <w:jc w:val="center"/>
              <w:ind w:right="436"/>
              <w:spacing w:after="0"/>
              <w:rPr>
                <w:sz w:val="20"/>
                <w:szCs w:val="20"/>
                <w:color w:val="auto"/>
              </w:rPr>
            </w:pPr>
            <w:r>
              <w:rPr>
                <w:rFonts w:ascii="Times New Roman" w:cs="Times New Roman" w:eastAsia="Times New Roman" w:hAnsi="Times New Roman"/>
                <w:sz w:val="17"/>
                <w:szCs w:val="17"/>
                <w:color w:val="auto"/>
                <w:w w:val="98"/>
              </w:rPr>
              <w:t>Non-accelerated filer</w:t>
            </w:r>
          </w:p>
        </w:tc>
        <w:tc>
          <w:tcPr>
            <w:tcW w:w="1300" w:type="dxa"/>
            <w:vAlign w:val="bottom"/>
          </w:tcPr>
          <w:p>
            <w:pPr>
              <w:ind w:left="50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4"/>
        </w:trPr>
        <w:tc>
          <w:tcPr>
            <w:tcW w:w="20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5" w:lineRule="exact"/>
        <w:rPr>
          <w:sz w:val="24"/>
          <w:szCs w:val="24"/>
          <w:color w:val="auto"/>
        </w:rPr>
      </w:pPr>
    </w:p>
    <w:p>
      <w:pPr>
        <w:ind w:firstLine="159"/>
        <w:spacing w:after="0" w:line="21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4"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7"/>
          <w:szCs w:val="17"/>
          <w:color w:val="auto"/>
        </w:rPr>
        <w:t>As of October 31, 2022, there were 12,785,635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718185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116840</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2"/>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72"/>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00" w:type="dxa"/>
            <w:vAlign w:val="bottom"/>
            <w:tcBorders>
              <w:bottom w:val="single" w:sz="8" w:color="0000FF"/>
            </w:tcBorders>
            <w:gridSpan w:val="4"/>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0000FF"/>
                <w:w w:val="97"/>
              </w:rPr>
              <w:t>PART I—FINANCIAL INFORMATION</w:t>
            </w:r>
          </w:p>
        </w:tc>
        <w:tc>
          <w:tcPr>
            <w:tcW w:w="302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1.</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Financial Statements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2.</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Management's Discussion and Analysis of Financial Condition and Results of Operations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3.</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Quantitative and Qualitative Disclosures About Market Risk</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4.</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Controls and Procedures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43</w:t>
            </w:r>
          </w:p>
        </w:tc>
      </w:tr>
      <w:tr>
        <w:trPr>
          <w:trHeight w:val="430"/>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6"/>
          </w:tcPr>
          <w:p>
            <w:pPr>
              <w:jc w:val="center"/>
              <w:ind w:right="3000"/>
              <w:spacing w:after="0"/>
              <w:rPr>
                <w:sz w:val="20"/>
                <w:szCs w:val="20"/>
                <w:color w:val="auto"/>
              </w:rPr>
            </w:pPr>
            <w:r>
              <w:rPr>
                <w:rFonts w:ascii="Times New Roman" w:cs="Times New Roman" w:eastAsia="Times New Roman" w:hAnsi="Times New Roman"/>
                <w:sz w:val="18"/>
                <w:szCs w:val="18"/>
                <w:b w:val="1"/>
                <w:bCs w:val="1"/>
                <w:color w:val="0000FF"/>
                <w:w w:val="96"/>
              </w:rPr>
              <w:t>PART II—OTHER INFORMATION</w:t>
            </w:r>
          </w:p>
        </w:tc>
        <w:tc>
          <w:tcPr>
            <w:tcW w:w="1040" w:type="dxa"/>
            <w:vAlign w:val="bottom"/>
          </w:tcPr>
          <w:p>
            <w:pPr>
              <w:spacing w:after="0"/>
              <w:rPr>
                <w:sz w:val="24"/>
                <w:szCs w:val="24"/>
                <w:color w:val="auto"/>
              </w:rPr>
            </w:pPr>
          </w:p>
        </w:tc>
      </w:tr>
      <w:tr>
        <w:trPr>
          <w:trHeight w:val="431"/>
        </w:trPr>
        <w:tc>
          <w:tcPr>
            <w:tcW w:w="54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6"/>
              </w:rPr>
              <w:t>Item 1.</w:t>
            </w:r>
          </w:p>
        </w:tc>
        <w:tc>
          <w:tcPr>
            <w:tcW w:w="480" w:type="dxa"/>
            <w:vAlign w:val="bottom"/>
            <w:gridSpan w:val="2"/>
          </w:tcPr>
          <w:p>
            <w:pPr>
              <w:spacing w:after="0"/>
              <w:rPr>
                <w:sz w:val="24"/>
                <w:szCs w:val="24"/>
                <w:color w:val="auto"/>
              </w:rPr>
            </w:pPr>
          </w:p>
        </w:tc>
        <w:tc>
          <w:tcPr>
            <w:tcW w:w="318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0000FF"/>
              </w:rPr>
              <w:t>Legal Proceedings</w:t>
            </w:r>
          </w:p>
        </w:tc>
        <w:tc>
          <w:tcPr>
            <w:tcW w:w="2800" w:type="dxa"/>
            <w:vAlign w:val="bottom"/>
            <w:tcBorders>
              <w:top w:val="single" w:sz="8" w:color="0000FF"/>
            </w:tcBorders>
            <w:gridSpan w:val="2"/>
          </w:tcPr>
          <w:p>
            <w:pPr>
              <w:spacing w:after="0"/>
              <w:rPr>
                <w:sz w:val="24"/>
                <w:szCs w:val="24"/>
                <w:color w:val="auto"/>
              </w:rPr>
            </w:pPr>
          </w:p>
        </w:tc>
        <w:tc>
          <w:tcPr>
            <w:tcW w:w="3160" w:type="dxa"/>
            <w:vAlign w:val="bottom"/>
            <w:gridSpan w:val="3"/>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10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b w:val="1"/>
                <w:bCs w:val="1"/>
                <w:color w:val="0000FF"/>
              </w:rPr>
              <w:t>Item 1A.</w:t>
            </w: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Risk Factors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Unregistered Sales of Equity Securities and Use of Proceeds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5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5.</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Other Information</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02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0000FF"/>
                <w:w w:val="96"/>
              </w:rPr>
              <w:t>Item 6.</w:t>
            </w:r>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sz w:val="20"/>
                <w:szCs w:val="20"/>
                <w:color w:val="auto"/>
              </w:rPr>
            </w:pPr>
            <w:r>
              <w:rPr>
                <w:rFonts w:ascii="Times New Roman" w:cs="Times New Roman" w:eastAsia="Times New Roman" w:hAnsi="Times New Roman"/>
                <w:sz w:val="18"/>
                <w:szCs w:val="18"/>
                <w:b w:val="1"/>
                <w:bCs w:val="1"/>
                <w:i w:val="1"/>
                <w:iCs w:val="1"/>
                <w:color w:val="0000FF"/>
              </w:rPr>
              <w:t>Exhibits</w:t>
            </w:r>
          </w:p>
        </w:tc>
        <w:tc>
          <w:tcPr>
            <w:tcW w:w="10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59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2"/>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6"/>
                <w:szCs w:val="16"/>
                <w:color w:val="auto"/>
              </w:rPr>
            </w:pPr>
          </w:p>
        </w:tc>
        <w:tc>
          <w:tcPr>
            <w:tcW w:w="176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r>
      <w:tr>
        <w:trPr>
          <w:trHeight w:val="192"/>
        </w:trPr>
        <w:tc>
          <w:tcPr>
            <w:tcW w:w="522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2"/>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237,836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297,450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782,937</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840,214</w:t>
            </w:r>
          </w:p>
        </w:tc>
      </w:t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2"/>
        </w:trPr>
        <w:tc>
          <w:tcPr>
            <w:tcW w:w="522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18"/>
                <w:szCs w:val="18"/>
                <w:i w:val="1"/>
                <w:iCs w:val="1"/>
                <w:color w:val="auto"/>
              </w:rPr>
              <w:t>(exclusive of depreciation and amortization shown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38"/>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separately below)</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14,105</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44,240</w:t>
            </w:r>
          </w:p>
        </w:tc>
        <w:tc>
          <w:tcPr>
            <w:tcW w:w="6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42,849</w:t>
            </w: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176,875</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565,569</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589,143</w:t>
            </w: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39,540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115,802</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114,926</w:t>
            </w: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14,043</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42,413</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39,142</w:t>
            </w: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5,274</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15,024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6,582</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21,574</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32,967</w:t>
            </w: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3,760</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52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8"/>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256,412</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290,031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808,341</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824,154</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(18,576)</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(25,404)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16,060</w:t>
            </w:r>
          </w:p>
        </w:tc>
      </w:t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r>
      <w:tr>
        <w:trPr>
          <w:trHeight w:val="225"/>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1,523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1,806</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40,072</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(22,773)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(43,588)</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24,251</w:t>
            </w:r>
          </w:p>
        </w:tc>
      </w:tr>
      <w:tr>
        <w:trPr>
          <w:trHeight w:val="225"/>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(133,956)</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(158,683)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(177,544)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24,706</w:t>
            </w:r>
          </w:p>
        </w:tc>
      </w:tr>
      <w:tr>
        <w:trPr>
          <w:trHeight w:val="225"/>
        </w:trPr>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r>
      <w:tr>
        <w:trPr>
          <w:trHeight w:val="225"/>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and comprehensive (loss)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(177,548)</w:t>
            </w:r>
          </w:p>
        </w:tc>
        <w:tc>
          <w:tcPr>
            <w:tcW w:w="62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21,190</w:t>
            </w:r>
          </w:p>
        </w:tc>
      </w:tr>
      <w:tr>
        <w:trPr>
          <w:trHeight w:val="252"/>
        </w:trPr>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12,758</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12,794</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w:t>
            </w: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12,758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12,794</w:t>
            </w: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w:t>
            </w:r>
          </w:p>
        </w:tc>
      </w:t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per share from continuing operations: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 from discontinued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2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5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6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33"/>
        </w:trPr>
        <w:tc>
          <w:tcPr>
            <w:tcW w:w="8720" w:type="dxa"/>
            <w:vAlign w:val="bottom"/>
          </w:tcPr>
          <w:p>
            <w:pPr>
              <w:spacing w:after="0"/>
              <w:rPr>
                <w:sz w:val="11"/>
                <w:szCs w:val="11"/>
                <w:color w:val="auto"/>
              </w:rPr>
            </w:pPr>
          </w:p>
        </w:tc>
        <w:tc>
          <w:tcPr>
            <w:tcW w:w="2520" w:type="dxa"/>
            <w:vAlign w:val="bottom"/>
            <w:gridSpan w:val="4"/>
          </w:tcPr>
          <w:p>
            <w:pPr>
              <w:jc w:val="right"/>
              <w:spacing w:after="0" w:line="133"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par value and share</w:t>
            </w:r>
          </w:p>
        </w:tc>
      </w:tr>
      <w:tr>
        <w:trPr>
          <w:trHeight w:val="191"/>
        </w:trPr>
        <w:tc>
          <w:tcPr>
            <w:tcW w:w="8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3"/>
          </w:tcPr>
          <w:p>
            <w:pPr>
              <w:jc w:val="right"/>
              <w:ind w:right="893"/>
              <w:spacing w:after="0"/>
              <w:rPr>
                <w:sz w:val="20"/>
                <w:szCs w:val="20"/>
                <w:color w:val="auto"/>
              </w:rPr>
            </w:pPr>
            <w:r>
              <w:rPr>
                <w:rFonts w:ascii="Times New Roman" w:cs="Times New Roman" w:eastAsia="Times New Roman" w:hAnsi="Times New Roman"/>
                <w:sz w:val="14"/>
                <w:szCs w:val="14"/>
                <w:b w:val="1"/>
                <w:bCs w:val="1"/>
                <w:i w:val="1"/>
                <w:iCs w:val="1"/>
                <w:color w:val="auto"/>
              </w:rPr>
              <w:t>amounts)</w:t>
            </w:r>
          </w:p>
        </w:tc>
      </w:tr>
      <w:tr>
        <w:trPr>
          <w:trHeight w:val="231"/>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285,538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251,231</w:t>
            </w:r>
          </w:p>
        </w:tc>
      </w:tr>
      <w:tr>
        <w:trPr>
          <w:trHeight w:val="225"/>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$2,356 and $1,456, respectively)</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96,330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97,658</w:t>
            </w: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28,466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25,379</w:t>
            </w: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410,461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374,379</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$33,211 and $28,315,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64,848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72,477</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69,770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77,346</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420,139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420,139</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64,189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85,763</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87,581</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174,580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158,140</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6,308</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1,210,295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1,299,356</w:t>
            </w:r>
          </w:p>
        </w:tc>
      </w:tr>
      <w:tr>
        <w:trPr>
          <w:trHeight w:val="239"/>
        </w:trPr>
        <w:tc>
          <w:tcPr>
            <w:tcW w:w="8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166,008</w:t>
            </w:r>
          </w:p>
        </w:tc>
      </w:tr>
      <w:tr>
        <w:trPr>
          <w:trHeight w:val="225"/>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trade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4,583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84,464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106,731</w:t>
            </w: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91,531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274,432</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813,395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478,151</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90,532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96,165</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8,059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1,003,798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851,364</w:t>
            </w: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87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w w:val="98"/>
              </w:rPr>
              <w:t>Common stock $.01 par value; 50,000,000 shares authorized; 16,140,103 and 16,070,720 shares issued, respectively, and</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12,784,637 and 13,095,149 shares outstanding, respectively</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8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1,177,409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1,242,794</w:t>
            </w:r>
          </w:p>
        </w:tc>
      </w:tr>
      <w:tr>
        <w:trPr>
          <w:trHeight w:val="225"/>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(704,895)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(571,794)</w:t>
            </w:r>
          </w:p>
        </w:tc>
      </w:tr>
      <w:tr>
        <w:trPr>
          <w:trHeight w:val="225"/>
        </w:trPr>
        <w:tc>
          <w:tcPr>
            <w:tcW w:w="8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Treasury stock; 3,355,466 and 2,975,571 shares, respectively</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(266,178)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(223,169)</w:t>
            </w:r>
          </w:p>
        </w:tc>
      </w:tr>
      <w:tr>
        <w:trPr>
          <w:trHeight w:val="218"/>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206,497</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447,992</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1,210,295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1,299,356</w:t>
            </w: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2022</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166"/>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vMerge w:val="restart"/>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vMerge w:val="restart"/>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40" w:type="dxa"/>
            <w:vAlign w:val="bottom"/>
          </w:tcPr>
          <w:p>
            <w:pPr>
              <w:jc w:val="right"/>
              <w:ind w:right="266"/>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2021</w:t>
            </w:r>
          </w:p>
        </w:tc>
        <w:tc>
          <w:tcPr>
            <w:tcW w:w="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447,992</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16,071</w:t>
            </w:r>
          </w:p>
        </w:tc>
        <w:tc>
          <w:tcPr>
            <w:tcW w:w="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1,242,794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(571,794)</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2,976</w:t>
            </w:r>
          </w:p>
        </w:tc>
        <w:tc>
          <w:tcPr>
            <w:tcW w:w="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(223,169)</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(10,826)</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(10,826)</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15,080</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15,080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(43,009)</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379</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(43,009)</w:t>
            </w:r>
          </w:p>
        </w:tc>
        <w:tc>
          <w:tcPr>
            <w:tcW w:w="0" w:type="dxa"/>
            <w:vAlign w:val="bottom"/>
          </w:tcPr>
          <w:p>
            <w:pPr>
              <w:spacing w:after="0"/>
              <w:rPr>
                <w:sz w:val="1"/>
                <w:szCs w:val="1"/>
                <w:color w:val="auto"/>
              </w:rPr>
            </w:pPr>
          </w:p>
        </w:tc>
      </w:tr>
      <w:tr>
        <w:trPr>
          <w:trHeight w:val="157"/>
        </w:trPr>
        <w:tc>
          <w:tcPr>
            <w:tcW w:w="32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4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(3,086)</w:t>
            </w:r>
          </w:p>
        </w:tc>
        <w:tc>
          <w:tcPr>
            <w:tcW w:w="10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49</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(3,086)</w:t>
            </w:r>
          </w:p>
        </w:tc>
        <w:tc>
          <w:tcPr>
            <w:tcW w:w="20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Cumulative effect adjustment due to ASU 2020-06</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(65,303)</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(109,750)</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44,447</w:t>
            </w: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2022</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340,848</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16,120</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1,145,038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(538,173)</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3,355</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(8,038)</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(8,038)</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17,335</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17,335</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3240" w:type="dxa"/>
            <w:vAlign w:val="bottom"/>
          </w:tcPr>
          <w:p>
            <w:pPr>
              <w:ind w:left="140"/>
              <w:spacing w:after="0" w:line="155"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40" w:type="dxa"/>
            <w:vAlign w:val="bottom"/>
          </w:tcPr>
          <w:p>
            <w:pPr>
              <w:ind w:left="140"/>
              <w:spacing w:after="0" w:line="150" w:lineRule="exact"/>
              <w:rPr>
                <w:sz w:val="20"/>
                <w:szCs w:val="20"/>
                <w:color w:val="auto"/>
              </w:rPr>
            </w:pPr>
            <w:r>
              <w:rPr>
                <w:rFonts w:ascii="Times New Roman" w:cs="Times New Roman" w:eastAsia="Times New Roman" w:hAnsi="Times New Roman"/>
                <w:sz w:val="15"/>
                <w:szCs w:val="15"/>
                <w:color w:val="auto"/>
              </w:rPr>
              <w:t>employee stock purchase plan, restricted stock</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Times New Roman" w:cs="Times New Roman" w:eastAsia="Times New Roman" w:hAnsi="Times New Roman"/>
                <w:sz w:val="15"/>
                <w:szCs w:val="15"/>
                <w:color w:val="auto"/>
              </w:rPr>
              <w:t>awards and restricted stock units, net of</w:t>
            </w:r>
          </w:p>
        </w:tc>
        <w:tc>
          <w:tcPr>
            <w:tcW w:w="220" w:type="dxa"/>
            <w:vAlign w:val="bottom"/>
          </w:tcPr>
          <w:p>
            <w:pPr>
              <w:spacing w:after="0"/>
              <w:rPr>
                <w:sz w:val="12"/>
                <w:szCs w:val="12"/>
                <w:color w:val="auto"/>
              </w:rPr>
            </w:pPr>
          </w:p>
        </w:tc>
        <w:tc>
          <w:tcPr>
            <w:tcW w:w="90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341</w:t>
            </w:r>
          </w:p>
        </w:tc>
        <w:tc>
          <w:tcPr>
            <w:tcW w:w="108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auto"/>
              </w:rPr>
              <w:t>21</w:t>
            </w:r>
          </w:p>
        </w:tc>
        <w:tc>
          <w:tcPr>
            <w:tcW w:w="220" w:type="dxa"/>
            <w:vAlign w:val="bottom"/>
          </w:tcPr>
          <w:p>
            <w:pPr>
              <w:spacing w:after="0"/>
              <w:rPr>
                <w:sz w:val="12"/>
                <w:szCs w:val="12"/>
                <w:color w:val="auto"/>
              </w:rPr>
            </w:pPr>
          </w:p>
        </w:tc>
        <w:tc>
          <w:tcPr>
            <w:tcW w:w="8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auto"/>
              </w:rPr>
              <w:t>341</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withholding taxes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2022</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350,486</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16,141</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1,162,714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(546,211)</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3,355</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(158,684)</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(158,684)</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15,575</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15,575</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3240" w:type="dxa"/>
            <w:vAlign w:val="bottom"/>
          </w:tcPr>
          <w:p>
            <w:pPr>
              <w:ind w:left="140"/>
              <w:spacing w:after="0" w:line="155"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40" w:type="dxa"/>
            <w:vAlign w:val="bottom"/>
          </w:tcPr>
          <w:p>
            <w:pPr>
              <w:ind w:left="140"/>
              <w:spacing w:after="0" w:line="150"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20" w:type="dxa"/>
            <w:vAlign w:val="bottom"/>
          </w:tcPr>
          <w:p>
            <w:pPr>
              <w:spacing w:after="0"/>
              <w:rPr>
                <w:sz w:val="13"/>
                <w:szCs w:val="13"/>
                <w:color w:val="auto"/>
              </w:rPr>
            </w:pPr>
          </w:p>
        </w:tc>
        <w:tc>
          <w:tcPr>
            <w:tcW w:w="90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auto"/>
              </w:rPr>
              <w:t>(880)</w:t>
            </w:r>
          </w:p>
        </w:tc>
        <w:tc>
          <w:tcPr>
            <w:tcW w:w="108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940" w:type="dxa"/>
            <w:vAlign w:val="bottom"/>
            <w:vMerge w:val="restart"/>
          </w:tcPr>
          <w:p>
            <w:pPr>
              <w:jc w:val="right"/>
              <w:ind w:right="6"/>
              <w:spacing w:after="0"/>
              <w:rPr>
                <w:sz w:val="20"/>
                <w:szCs w:val="20"/>
                <w:color w:val="auto"/>
              </w:rPr>
            </w:pPr>
            <w:r>
              <w:rPr>
                <w:rFonts w:ascii="Times New Roman" w:cs="Times New Roman" w:eastAsia="Times New Roman" w:hAnsi="Times New Roman"/>
                <w:sz w:val="15"/>
                <w:szCs w:val="15"/>
                <w:color w:val="auto"/>
              </w:rPr>
              <w:t>(880)</w:t>
            </w:r>
          </w:p>
        </w:tc>
        <w:tc>
          <w:tcPr>
            <w:tcW w:w="200" w:type="dxa"/>
            <w:vAlign w:val="bottom"/>
          </w:tcPr>
          <w:p>
            <w:pPr>
              <w:spacing w:after="0"/>
              <w:rPr>
                <w:sz w:val="13"/>
                <w:szCs w:val="13"/>
                <w:color w:val="auto"/>
              </w:rPr>
            </w:pPr>
          </w:p>
        </w:tc>
        <w:tc>
          <w:tcPr>
            <w:tcW w:w="116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vMerge w:val="restart"/>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net of withholding taxes and cancellations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2022</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206,497</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16,140</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1,177,409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(704,895)</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3,355</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(266,178)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2021</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gridSpan w:val="3"/>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vMerge w:val="restart"/>
          </w:tcPr>
          <w:p>
            <w:pPr>
              <w:jc w:val="right"/>
              <w:ind w:right="166"/>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vMerge w:val="restart"/>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vMerge w:val="restart"/>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94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3"/>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December 31, 2020</w:t>
            </w:r>
          </w:p>
        </w:tc>
        <w:tc>
          <w:tcPr>
            <w:tcW w:w="2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364,761</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15,766</w:t>
            </w:r>
          </w:p>
        </w:tc>
        <w:tc>
          <w:tcPr>
            <w:tcW w:w="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(640,909)</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2,641</w:t>
            </w:r>
          </w:p>
        </w:tc>
        <w:tc>
          <w:tcPr>
            <w:tcW w:w="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(183,161)</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20" w:type="dxa"/>
            <w:vAlign w:val="bottom"/>
          </w:tcPr>
          <w:p>
            <w:pPr>
              <w:spacing w:after="0"/>
              <w:rPr>
                <w:sz w:val="17"/>
                <w:szCs w:val="17"/>
                <w:color w:val="auto"/>
              </w:rPr>
            </w:pPr>
          </w:p>
        </w:tc>
        <w:tc>
          <w:tcPr>
            <w:tcW w:w="9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19,049</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19,049</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16,436</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40" w:type="dxa"/>
            <w:vAlign w:val="bottom"/>
          </w:tcPr>
          <w:p>
            <w:pPr>
              <w:ind w:left="140"/>
              <w:spacing w:after="0" w:line="155"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20" w:type="dxa"/>
            <w:vAlign w:val="bottom"/>
          </w:tcPr>
          <w:p>
            <w:pPr>
              <w:spacing w:after="0"/>
              <w:rPr>
                <w:sz w:val="17"/>
                <w:szCs w:val="17"/>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(4,801)</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31</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(4,801)</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March 31, 2021</w:t>
            </w:r>
          </w:p>
        </w:tc>
        <w:tc>
          <w:tcPr>
            <w:tcW w:w="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395,443</w:t>
            </w:r>
          </w:p>
        </w:tc>
        <w:tc>
          <w:tcPr>
            <w:tcW w:w="10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15,797</w:t>
            </w:r>
          </w:p>
        </w:tc>
        <w:tc>
          <w:tcPr>
            <w:tcW w:w="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158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(621,860)</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2,641</w:t>
            </w:r>
          </w:p>
        </w:tc>
        <w:tc>
          <w:tcPr>
            <w:tcW w:w="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(183,161)</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and comprehensive income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6,601</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6,601</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tcPr>
          <w:p>
            <w:pPr>
              <w:spacing w:after="0"/>
              <w:rPr>
                <w:sz w:val="17"/>
                <w:szCs w:val="17"/>
                <w:color w:val="auto"/>
              </w:rPr>
            </w:pPr>
          </w:p>
        </w:tc>
        <w:tc>
          <w:tcPr>
            <w:tcW w:w="9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18,294</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18,294</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30</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159</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28</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June 30, 2021</w:t>
            </w:r>
          </w:p>
        </w:tc>
        <w:tc>
          <w:tcPr>
            <w:tcW w:w="2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420,368</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15,956</w:t>
            </w:r>
          </w:p>
        </w:tc>
        <w:tc>
          <w:tcPr>
            <w:tcW w:w="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1,218,628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(615,259)</w:t>
            </w: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2,641</w:t>
            </w:r>
          </w:p>
        </w:tc>
        <w:tc>
          <w:tcPr>
            <w:tcW w:w="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(183,161)</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loss and comprehensive loss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(4,460)</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(4,460)</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Non-cash compensation</w:t>
            </w:r>
          </w:p>
        </w:tc>
        <w:tc>
          <w:tcPr>
            <w:tcW w:w="220" w:type="dxa"/>
            <w:vAlign w:val="bottom"/>
          </w:tcPr>
          <w:p>
            <w:pPr>
              <w:spacing w:after="0"/>
              <w:rPr>
                <w:sz w:val="17"/>
                <w:szCs w:val="17"/>
                <w:color w:val="auto"/>
              </w:rPr>
            </w:pPr>
          </w:p>
        </w:tc>
        <w:tc>
          <w:tcPr>
            <w:tcW w:w="90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17,074</w:t>
            </w:r>
          </w:p>
        </w:tc>
        <w:tc>
          <w:tcPr>
            <w:tcW w:w="10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17,074</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86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5"/>
                <w:szCs w:val="15"/>
                <w:color w:val="auto"/>
              </w:rPr>
              <w:t>Issuance of common stock for stock options,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140"/>
              <w:spacing w:after="0" w:line="155" w:lineRule="exact"/>
              <w:rPr>
                <w:sz w:val="20"/>
                <w:szCs w:val="20"/>
                <w:color w:val="auto"/>
              </w:rPr>
            </w:pPr>
            <w:r>
              <w:rPr>
                <w:rFonts w:ascii="Times New Roman" w:cs="Times New Roman" w:eastAsia="Times New Roman" w:hAnsi="Times New Roman"/>
                <w:sz w:val="15"/>
                <w:szCs w:val="15"/>
                <w:color w:val="auto"/>
              </w:rPr>
              <w:t>restricted stock awards and restricted stock units,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of withholding taxes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color w:val="auto"/>
              </w:rPr>
              <w:t>(1,894)</w:t>
            </w:r>
          </w:p>
        </w:tc>
        <w:tc>
          <w:tcPr>
            <w:tcW w:w="108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(1,894)</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5"/>
                <w:szCs w:val="15"/>
                <w:color w:val="auto"/>
              </w:rPr>
              <w:t>Other</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(6)</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(6)</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1"/>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as of September 30, 2021</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rPr>
              <w:t>431,082</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15,969</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1,233,802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(619,719)</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rPr>
              <w:t>2,641</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(183,161)</w:t>
            </w:r>
          </w:p>
        </w:tc>
        <w:tc>
          <w:tcPr>
            <w:tcW w:w="0" w:type="dxa"/>
            <w:vAlign w:val="bottom"/>
          </w:tcPr>
          <w:p>
            <w:pPr>
              <w:spacing w:after="0"/>
              <w:rPr>
                <w:sz w:val="1"/>
                <w:szCs w:val="1"/>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6"/>
                <w:szCs w:val="16"/>
                <w:color w:val="auto"/>
              </w:rPr>
            </w:pPr>
          </w:p>
        </w:tc>
      </w:tr>
      <w:tr>
        <w:trPr>
          <w:trHeight w:val="23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 attributable to continuing operations: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3"/>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Net (loss) income and comprehensive (loss) income</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(177,548)</w:t>
            </w:r>
          </w:p>
        </w:tc>
        <w:tc>
          <w:tcPr>
            <w:tcW w:w="480" w:type="dxa"/>
            <w:vAlign w:val="bottom"/>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21,190</w:t>
            </w:r>
          </w:p>
        </w:tc>
      </w:tr>
      <w:tr>
        <w:trPr>
          <w:trHeight w:val="227"/>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3,516</w:t>
            </w: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(177,544)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24,706</w:t>
            </w:r>
          </w:p>
        </w:tc>
      </w:tr>
      <w:tr>
        <w:trPr>
          <w:trHeight w:val="159"/>
        </w:trPr>
        <w:tc>
          <w:tcPr>
            <w:tcW w:w="872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7"/>
                <w:szCs w:val="17"/>
                <w:color w:val="auto"/>
                <w:w w:val="99"/>
              </w:rPr>
              <w:t>Adjustments to reconcile net (loss) income from continuing operations to net cash provided by operating activities attributable</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impairments and disposal of assets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4,261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2,651</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21,574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32,967</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15,024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12,969</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47,990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51,804</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133,943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(8,249)</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investments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(40,072)</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Bad debt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2,708</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5,443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 of previously-capitalized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1,475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22,297</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Reduction in carrying amount of ROU asset, offset by change in operating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13,015</w:t>
            </w: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current assets and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(43,688)</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(2,762)</w:t>
            </w:r>
          </w:p>
        </w:tc>
      </w:tr>
      <w:tr>
        <w:trPr>
          <w:trHeight w:val="229"/>
        </w:trPr>
        <w:tc>
          <w:tcPr>
            <w:tcW w:w="8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accrued expenses and other current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7,537</w:t>
            </w:r>
          </w:p>
        </w:tc>
      </w:tr>
      <w:tr>
        <w:trPr>
          <w:trHeight w:val="221"/>
        </w:trPr>
        <w:tc>
          <w:tcPr>
            <w:tcW w:w="8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receivable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10,322</w:t>
            </w:r>
          </w:p>
        </w:tc>
      </w:tr>
      <w:tr>
        <w:trPr>
          <w:trHeight w:val="225"/>
        </w:trPr>
        <w:tc>
          <w:tcPr>
            <w:tcW w:w="87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22"/>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attributable to continuing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26,329</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88,893</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(30,515)</w:t>
            </w: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investments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2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 attributable to continuing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(25,410)</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(31,695)</w:t>
            </w: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term loan</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250,000</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Repayment of term loan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0.625% Convertible Senior Notes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(169,659)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related to net-share settlement of stock-based compensation, net of proceeds from exercise of stock options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(6,666)</w:t>
            </w: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treasury stock</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8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(5,995)</w:t>
            </w:r>
          </w:p>
        </w:tc>
      </w:tr>
      <w:tr>
        <w:trPr>
          <w:trHeight w:val="221"/>
        </w:trPr>
        <w:tc>
          <w:tcPr>
            <w:tcW w:w="8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original issue discount on undrawn term loan</w:t>
            </w:r>
          </w:p>
        </w:tc>
        <w:tc>
          <w:tcPr>
            <w:tcW w:w="28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2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 attributable to continuing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33,411</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(15,192)</w:t>
            </w:r>
          </w:p>
        </w:tc>
      </w:tr>
      <w:tr>
        <w:trPr>
          <w:trHeight w:val="21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provided by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34,330</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42,006</w:t>
            </w:r>
          </w:p>
        </w:tc>
      </w:tr>
      <w:tr>
        <w:trPr>
          <w:trHeight w:val="216"/>
        </w:trPr>
        <w:tc>
          <w:tcPr>
            <w:tcW w:w="8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Discontinued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provided by operating activities attributable to 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3,330</w:t>
            </w:r>
          </w:p>
        </w:tc>
      </w:tr>
      <w:tr>
        <w:trPr>
          <w:trHeight w:val="221"/>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cash (used in) provided by discontinued operations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3,330</w:t>
            </w:r>
          </w:p>
        </w:tc>
      </w:tr>
      <w:tr>
        <w:trPr>
          <w:trHeight w:val="22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cash equivalents, restricted cash and restricted cash equivalents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34,323</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45,336</w:t>
            </w:r>
          </w:p>
        </w:tc>
      </w:tr>
      <w:tr>
        <w:trPr>
          <w:trHeight w:val="221"/>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restricted cash and restricted cash equivalents at beginning of period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251,342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170,049</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restricted cash and restricted cash equivalents at end of period</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285,665</w:t>
            </w:r>
          </w:p>
        </w:tc>
        <w:tc>
          <w:tcPr>
            <w:tcW w:w="4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215,385</w:t>
            </w:r>
          </w:p>
        </w:tc>
      </w:tr>
    </w:tbl>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2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 The HLC Bankruptcy case was closed on July 14, 2021. The HLC entity was legally dissolved in the first quarter of 2022.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16—Discontinued Operations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statements of cash flows for all periods presented. The notes accompanying these consolidated financial statements reflect the Company's continuing operations and, unless otherwise noted, exclude information related to the discontinued operations.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Discontinued Operations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as of September 30, 2022 and for the three and nine months ended September 30, 2022 and 2021,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nine months ended September 30, 2022 are not necessarily indicative of the results to be expected for the year ending December 31, 2022, or any other period. The accompanying consolidated balance sheet as of December 31, 2021 was derived from audited financial statements included in the Company's annual report on Form 10-K for the year ended December 31, 2021 (the “2021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2021 Annual Report.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disclosures of contingent assets and liabilities as of the date of the consolidated financial statements. They also impact the reported amount of net earnings during any period. Actual results could differ from those estimates.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assumptions related to the determination of stock-based compensation; and the determination of right-of-use assets and lease liabilities.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Concentrations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at September 30, 2022,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Due to the nature of the mortgage lending industry, interest rate fluctuations may negatively impact future revenue from the Company's marketplace.</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than a support services office in India, the Company's operations are geographically limited to and dependent upon the economic condition of the United States.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Contingencies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Litigation settlements and contingencies consists of expenses related to actual or anticipated litigation settlements.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66"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In August 2020, the FASB issued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 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 —Debt for further information.</w:t>
      </w:r>
    </w:p>
    <w:p>
      <w:pPr>
        <w:spacing w:after="0" w:line="13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cumulative effect of the changes made to the consolidated January 1, 2022 balance sheet for the adoption of ASU 2020-06 were as follows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80" w:type="dxa"/>
            <w:vAlign w:val="bottom"/>
          </w:tcPr>
          <w:p>
            <w:pPr>
              <w:spacing w:after="0"/>
              <w:rPr>
                <w:sz w:val="16"/>
                <w:szCs w:val="16"/>
                <w:color w:val="auto"/>
              </w:rPr>
            </w:pPr>
          </w:p>
        </w:tc>
        <w:tc>
          <w:tcPr>
            <w:tcW w:w="16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Adjustments due to</w:t>
            </w:r>
          </w:p>
        </w:tc>
        <w:tc>
          <w:tcPr>
            <w:tcW w:w="260" w:type="dxa"/>
            <w:vAlign w:val="bottom"/>
          </w:tcPr>
          <w:p>
            <w:pPr>
              <w:spacing w:after="0"/>
              <w:rPr>
                <w:sz w:val="16"/>
                <w:szCs w:val="16"/>
                <w:color w:val="auto"/>
              </w:rPr>
            </w:pPr>
          </w:p>
        </w:tc>
        <w:tc>
          <w:tcPr>
            <w:tcW w:w="160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January 1, 2022</w:t>
            </w:r>
          </w:p>
        </w:tc>
        <w:tc>
          <w:tcPr>
            <w:tcW w:w="0" w:type="dxa"/>
            <w:vAlign w:val="bottom"/>
          </w:tcPr>
          <w:p>
            <w:pPr>
              <w:spacing w:after="0"/>
              <w:rPr>
                <w:sz w:val="1"/>
                <w:szCs w:val="1"/>
                <w:color w:val="auto"/>
              </w:rPr>
            </w:pPr>
          </w:p>
        </w:tc>
      </w:tr>
      <w:tr>
        <w:trPr>
          <w:trHeight w:val="211"/>
        </w:trPr>
        <w:tc>
          <w:tcPr>
            <w:tcW w:w="4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ASU 2020-06</w:t>
            </w:r>
          </w:p>
        </w:tc>
        <w:tc>
          <w:tcPr>
            <w:tcW w:w="2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23,979</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111,560</w:t>
            </w:r>
          </w:p>
        </w:tc>
        <w:tc>
          <w:tcPr>
            <w:tcW w:w="0" w:type="dxa"/>
            <w:vAlign w:val="bottom"/>
          </w:tcPr>
          <w:p>
            <w:pPr>
              <w:spacing w:after="0"/>
              <w:rPr>
                <w:sz w:val="1"/>
                <w:szCs w:val="1"/>
                <w:color w:val="auto"/>
              </w:rPr>
            </w:pPr>
          </w:p>
        </w:tc>
      </w:tr>
      <w:tr>
        <w:trPr>
          <w:trHeight w:val="252"/>
        </w:trPr>
        <w:tc>
          <w:tcPr>
            <w:tcW w:w="4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169,221</w:t>
            </w:r>
          </w:p>
        </w:tc>
        <w:tc>
          <w:tcPr>
            <w:tcW w:w="0" w:type="dxa"/>
            <w:vAlign w:val="bottom"/>
          </w:tcPr>
          <w:p>
            <w:pPr>
              <w:spacing w:after="0"/>
              <w:rPr>
                <w:sz w:val="1"/>
                <w:szCs w:val="1"/>
                <w:color w:val="auto"/>
              </w:rPr>
            </w:pPr>
          </w:p>
        </w:tc>
      </w:tr>
      <w:tr>
        <w:trPr>
          <w:trHeight w:val="225"/>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478,151</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86,069</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564,220</w:t>
            </w:r>
          </w:p>
        </w:tc>
        <w:tc>
          <w:tcPr>
            <w:tcW w:w="0" w:type="dxa"/>
            <w:vAlign w:val="bottom"/>
          </w:tcPr>
          <w:p>
            <w:pPr>
              <w:spacing w:after="0"/>
              <w:rPr>
                <w:sz w:val="1"/>
                <w:szCs w:val="1"/>
                <w:color w:val="auto"/>
              </w:rPr>
            </w:pPr>
          </w:p>
        </w:tc>
      </w:tr>
      <w:tr>
        <w:trPr>
          <w:trHeight w:val="252"/>
        </w:trPr>
        <w:tc>
          <w:tcPr>
            <w:tcW w:w="4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(109,750)</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1,133,044</w:t>
            </w:r>
          </w:p>
        </w:tc>
        <w:tc>
          <w:tcPr>
            <w:tcW w:w="0" w:type="dxa"/>
            <w:vAlign w:val="bottom"/>
          </w:tcPr>
          <w:p>
            <w:pPr>
              <w:spacing w:after="0"/>
              <w:rPr>
                <w:sz w:val="1"/>
                <w:szCs w:val="1"/>
                <w:color w:val="auto"/>
              </w:rPr>
            </w:pPr>
          </w:p>
        </w:tc>
      </w:tr>
      <w:tr>
        <w:trPr>
          <w:trHeight w:val="231"/>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7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(571,794)</w:t>
            </w: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44,447</w:t>
            </w:r>
          </w:p>
        </w:tc>
        <w:tc>
          <w:tcPr>
            <w:tcW w:w="2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(527,347)</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of ASU 2020-06 did not impact our cash flows or compliance with debt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considered the applicability of recently issued accounting pronouncements by the Financial Accounting Standards Board and have determined that they are not applicable or are not expected to have a material impact on our consolidated financial statements.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Revenue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4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1"/>
        </w:trPr>
        <w:tc>
          <w:tcPr>
            <w:tcW w:w="6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64,927</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240,809</w:t>
            </w:r>
          </w:p>
        </w:tc>
        <w:tc>
          <w:tcPr>
            <w:tcW w:w="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345,408</w:t>
            </w:r>
          </w:p>
        </w:tc>
      </w:tr>
      <w:tr>
        <w:trPr>
          <w:trHeight w:val="225"/>
        </w:trPr>
        <w:tc>
          <w:tcPr>
            <w:tcW w:w="6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cards</w:t>
            </w:r>
          </w:p>
        </w:tc>
        <w:tc>
          <w:tcPr>
            <w:tcW w:w="28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24,298</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81,426</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66,975</w:t>
            </w:r>
          </w:p>
        </w:tc>
      </w:tr>
      <w:tr>
        <w:trPr>
          <w:trHeight w:val="225"/>
        </w:trPr>
        <w:tc>
          <w:tcPr>
            <w:tcW w:w="6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Personal loans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37,701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115,209</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73,879</w:t>
            </w:r>
          </w:p>
        </w:tc>
      </w:tr>
      <w:tr>
        <w:trPr>
          <w:trHeight w:val="225"/>
        </w:trPr>
        <w:tc>
          <w:tcPr>
            <w:tcW w:w="6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40,662</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113,238</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92,740</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Consumer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102,661</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309,873</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233,594</w:t>
            </w:r>
          </w:p>
        </w:tc>
      </w:tr>
      <w:tr>
        <w:trPr>
          <w:trHeight w:val="225"/>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28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70,231</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232,025</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260,714</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5"/>
        </w:trPr>
        <w:tc>
          <w:tcPr>
            <w:tcW w:w="6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237,836</w:t>
            </w:r>
          </w:p>
        </w:tc>
        <w:tc>
          <w:tcPr>
            <w:tcW w:w="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297,450</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782,937</w:t>
            </w:r>
          </w:p>
        </w:tc>
        <w:tc>
          <w:tcPr>
            <w:tcW w:w="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840,214</w:t>
            </w: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 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contract asset recorded within prepaid and other current assets on the consolidated balance sheets related to estimated variable consideration was $12.2 million and $9.1 million at September 30, 2022 and December 31, 2021, respectively.</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contract liability recorded within accrued expenses and other current liabilities on the consolidated balance sheets related to upfront fees paid by consumers was $0.9 million and $0.8 million at September 30, 2022 and December 31, 2021, respectively. During the first nine months of 2022, the Company recognized revenue of $0.8 million that was included in the contract liability balance at December 31, 2021. During the first nine months of 2021, the Company recognized revenue of $0.7 million that was included in the contract liability balance at December 31, 2020.</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This increase was $0.1 million in the third quarter of 2022, and was $0.4 million in the third quarter of 2021.</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4—CASH AND RESTRICTED CASH</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Total cash, cash equivalents, restricted cash and restricted cash equivalents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285,538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251,231</w:t>
            </w:r>
          </w:p>
        </w:tc>
      </w:tr>
      <w:tr>
        <w:trPr>
          <w:trHeight w:val="225"/>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cash equivalents, restricted cash and restricted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285,665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251,342</w:t>
            </w:r>
          </w:p>
        </w:tc>
      </w:tr>
      <w:tr>
        <w:trPr>
          <w:trHeight w:val="875"/>
        </w:trPr>
        <w:tc>
          <w:tcPr>
            <w:tcW w:w="8720" w:type="dxa"/>
            <w:vAlign w:val="bottom"/>
          </w:tcPr>
          <w:p>
            <w:pPr>
              <w:jc w:val="right"/>
              <w:ind w:right="293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2"/>
        </w:trPr>
        <w:tc>
          <w:tcPr>
            <w:tcW w:w="8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5—ALLOWANCE FOR DOUBTFUL ACCOUNTS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receivable are stated at amounts due from customers, net of an allowance for doubtful accounts.</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 reconciliation of the beginning and ending balances of the allowance for doubtful accounts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2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2"/>
        </w:trPr>
        <w:tc>
          <w:tcPr>
            <w:tcW w:w="6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the period</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2,300</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1,456</w:t>
            </w:r>
          </w:p>
        </w:tc>
        <w:tc>
          <w:tcPr>
            <w:tcW w:w="2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r>
      <w:tr>
        <w:trPr>
          <w:trHeight w:val="225"/>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Charges to earnings</w:t>
            </w:r>
          </w:p>
        </w:tc>
        <w:tc>
          <w:tcPr>
            <w:tcW w:w="28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679</w:t>
            </w:r>
          </w:p>
        </w:tc>
        <w:tc>
          <w:tcPr>
            <w:tcW w:w="4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2,708</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5"/>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uncollectible 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5"/>
        </w:trPr>
        <w:tc>
          <w:tcPr>
            <w:tcW w:w="6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the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2,356</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2,356</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1,506</w:t>
            </w:r>
          </w:p>
        </w:tc>
      </w:tr>
      <w:tr>
        <w:trPr>
          <w:trHeight w:val="558"/>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6—GOODWILL AND INTANGIBLE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1"/>
        </w:trPr>
        <w:tc>
          <w:tcPr>
            <w:tcW w:w="6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The balance of goodwill, net and intangible assets, net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3"/>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40" w:type="dxa"/>
            <w:vAlign w:val="bottom"/>
            <w:gridSpan w:val="4"/>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1"/>
                <w:szCs w:val="21"/>
                <w:color w:val="auto"/>
              </w:rPr>
            </w:pPr>
          </w:p>
        </w:tc>
        <w:tc>
          <w:tcPr>
            <w:tcW w:w="126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6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4"/>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903,227</w:t>
            </w:r>
          </w:p>
        </w:tc>
      </w:tr>
      <w:tr>
        <w:trPr>
          <w:trHeight w:val="225"/>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(483,088)</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(483,088)</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goodwill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420,139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420,139</w:t>
            </w:r>
          </w:p>
        </w:tc>
      </w:tr>
      <w:tr>
        <w:trPr>
          <w:trHeight w:val="252"/>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with indefinite lives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r>
      <w:tr>
        <w:trPr>
          <w:trHeight w:val="225"/>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54,047</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75,621</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64,189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85,763</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goodwill at each of September 30, 2022 and December 31, 2021 consists of $59.3 million associated with the Home segment, $166.1 million associated with the Consumer segment, and $194.7 million associated with the Insurance segment.</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At June 30, 2022, the Company assessed the qualitative factors in its impairment testing of goodwill and determined that the effects of the challenging interest rate environment, consumer price inflation, and the decline in the Company's market capitalization required a quantitative impairment test be performed. The quantitative goodwill impairment test found that the fair value of each reporting unit exceeded its carrying amount, indicating no goodwill impairment. The Company will monitor the recovery of the Insurance reporting unit. The property and casualty auto industry is experiencing challenges caused by inflation, supply chain challenges, and rising severity and frequency of claims. Changes in the timing of the recovery compared to current expectations could cause an impairment to the Insurance reporting unit.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with indefinite lives relate to the Company's trademarks.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with Definite Lives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Intangible assets with definite lives relate to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3"/>
                <w:szCs w:val="13"/>
                <w:color w:val="auto"/>
              </w:rPr>
            </w:pPr>
          </w:p>
        </w:tc>
        <w:tc>
          <w:tcPr>
            <w:tcW w:w="12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3"/>
                <w:szCs w:val="13"/>
                <w:color w:val="auto"/>
              </w:rPr>
            </w:pPr>
          </w:p>
        </w:tc>
        <w:tc>
          <w:tcPr>
            <w:tcW w:w="10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2"/>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(71,108)</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48,052</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162,900</w:t>
            </w:r>
          </w:p>
        </w:tc>
        <w:tc>
          <w:tcPr>
            <w:tcW w:w="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(108,853)</w:t>
            </w:r>
          </w:p>
        </w:tc>
        <w:tc>
          <w:tcPr>
            <w:tcW w:w="4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54,047</w:t>
            </w:r>
          </w:p>
        </w:tc>
        <w:tc>
          <w:tcPr>
            <w:tcW w:w="0" w:type="dxa"/>
            <w:vAlign w:val="bottom"/>
          </w:tcPr>
          <w:p>
            <w:pPr>
              <w:spacing w:after="0"/>
              <w:rPr>
                <w:sz w:val="1"/>
                <w:szCs w:val="1"/>
                <w:color w:val="auto"/>
              </w:rPr>
            </w:pPr>
          </w:p>
        </w:tc>
      </w:tr>
      <w:tr>
        <w:trPr>
          <w:trHeight w:val="333"/>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87,700</w:t>
            </w:r>
          </w:p>
        </w:tc>
        <w:tc>
          <w:tcPr>
            <w:tcW w:w="3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(69,369)</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52,632</w:t>
            </w:r>
          </w:p>
        </w:tc>
        <w:tc>
          <w:tcPr>
            <w:tcW w:w="0" w:type="dxa"/>
            <w:vAlign w:val="bottom"/>
          </w:tcPr>
          <w:p>
            <w:pPr>
              <w:spacing w:after="0"/>
              <w:rPr>
                <w:sz w:val="1"/>
                <w:szCs w:val="1"/>
                <w:color w:val="auto"/>
              </w:rPr>
            </w:pPr>
          </w:p>
        </w:tc>
      </w:tr>
      <w:tr>
        <w:trPr>
          <w:trHeight w:val="22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Website content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202,800</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(127,179)</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75,621</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 xml:space="preserve">Amortization of intangible assets with definite lives is computed on a straight-line basis and, based on balances as of September 30, 2022, future amortization is estimated to be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86"/>
        </w:trPr>
        <w:tc>
          <w:tcPr>
            <w:tcW w:w="9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4"/>
        </w:trPr>
        <w:tc>
          <w:tcPr>
            <w:tcW w:w="9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8"/>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2024</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r>
      <w:tr>
        <w:trPr>
          <w:trHeight w:val="225"/>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25"/>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w:t>
            </w:r>
          </w:p>
        </w:tc>
      </w:tr>
      <w:tr>
        <w:trPr>
          <w:trHeight w:val="225"/>
        </w:trPr>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23,253</w:t>
            </w:r>
          </w:p>
        </w:tc>
      </w:tr>
      <w:tr>
        <w:trPr>
          <w:trHeight w:val="225"/>
        </w:trPr>
        <w:tc>
          <w:tcPr>
            <w:tcW w:w="9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54,047</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7—EQUITY INVESTMENTS</w:t>
      </w:r>
    </w:p>
    <w:p>
      <w:pPr>
        <w:spacing w:after="0" w:line="153"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In January 2022, the Company acquired an equity interest in EarnUp Inc. (“EarnUp”) for $15.0 million. The company is a consumer-first mortgage payment platform that intelligently automates loan payment scheduling and helps consumers better manage their money and improve their financial well-being.</w:t>
      </w:r>
    </w:p>
    <w:p>
      <w:pPr>
        <w:spacing w:after="0" w:line="13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February 28, 2020, the Company acquired an equity interest in Stash Financial, Inc. (“Stash”) for $80.0 million. On January 6, 2021, the Company acquired an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equity securities do not have a readily determinable fair value and, upon acquisition, the Company elected the measurement alternative to value its securities.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 In 2021, the Company recorded a net unrealized gain on the investment in Stash of $95.4 million as a result of an adjustment to the fair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value of the Stash equity securities based on observable price changes, which is included within other income on the consolidated statement of operations and comprehensive income.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2022, there have been no impairments to the acquisition cost of the equity securities.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8—ACCRUED EXPENSES AND OTHER CURRENT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Accrued expenses and other current liabilities consist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5880" w:type="dxa"/>
            <w:vAlign w:val="bottom"/>
            <w:tcBorders>
              <w:bottom w:val="single" w:sz="8" w:color="CCEEFF"/>
            </w:tcBorders>
          </w:tcPr>
          <w:p>
            <w:pPr>
              <w:spacing w:after="0"/>
              <w:rPr>
                <w:sz w:val="16"/>
                <w:szCs w:val="16"/>
                <w:color w:val="auto"/>
              </w:rPr>
            </w:pPr>
          </w:p>
        </w:tc>
        <w:tc>
          <w:tcPr>
            <w:tcW w:w="188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expense</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48,162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59,150</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8,954</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 and escrows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7,442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LendingTree Foundation</w:t>
            </w:r>
          </w:p>
        </w:tc>
        <w:tc>
          <w:tcPr>
            <w:tcW w:w="1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8,909</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8,595</w:t>
            </w:r>
          </w:p>
        </w:tc>
      </w:tr>
      <w:tr>
        <w:trPr>
          <w:trHeight w:val="225"/>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7,976</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9,890</w:t>
            </w:r>
          </w:p>
        </w:tc>
      </w:tr>
      <w:tr>
        <w:trPr>
          <w:trHeight w:val="225"/>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1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84,464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106,731</w:t>
            </w:r>
          </w:p>
        </w:tc>
      </w:tr>
      <w:tr>
        <w:trPr>
          <w:trHeight w:val="55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9—SHAREHOLDERS' EQUITY</w:t>
            </w: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Basic and diluted income per share was determined based on the following share data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3"/>
        </w:trPr>
        <w:tc>
          <w:tcPr>
            <w:tcW w:w="5880" w:type="dxa"/>
            <w:vAlign w:val="bottom"/>
          </w:tcPr>
          <w:p>
            <w:pPr>
              <w:spacing w:after="0"/>
              <w:rPr>
                <w:sz w:val="21"/>
                <w:szCs w:val="21"/>
                <w:color w:val="auto"/>
              </w:rPr>
            </w:pPr>
          </w:p>
        </w:tc>
        <w:tc>
          <w:tcPr>
            <w:tcW w:w="28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1"/>
                <w:szCs w:val="21"/>
                <w:color w:val="auto"/>
              </w:rPr>
            </w:pPr>
          </w:p>
        </w:tc>
        <w:tc>
          <w:tcPr>
            <w:tcW w:w="23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880" w:type="dxa"/>
            <w:vAlign w:val="bottom"/>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58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basic common shares</w:t>
            </w:r>
          </w:p>
        </w:tc>
        <w:tc>
          <w:tcPr>
            <w:tcW w:w="188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12,758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12,794</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13,194</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stock options</w:t>
            </w:r>
          </w:p>
        </w:tc>
        <w:tc>
          <w:tcPr>
            <w:tcW w:w="188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share awards</w:t>
            </w:r>
          </w:p>
        </w:tc>
        <w:tc>
          <w:tcPr>
            <w:tcW w:w="188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Convertible Senior Notes and warrants</w:t>
            </w:r>
          </w:p>
        </w:tc>
        <w:tc>
          <w:tcPr>
            <w:tcW w:w="18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5"/>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diluted common shares</w:t>
            </w:r>
          </w:p>
        </w:tc>
        <w:tc>
          <w:tcPr>
            <w:tcW w:w="1880" w:type="dxa"/>
            <w:vAlign w:val="bottom"/>
            <w:tcBorders>
              <w:bottom w:val="single" w:sz="8" w:color="auto"/>
            </w:tcBorders>
            <w:shd w:val="clear" w:color="auto" w:fill="CCEEFF"/>
          </w:tcPr>
          <w:p>
            <w:pPr>
              <w:jc w:val="right"/>
              <w:ind w:right="538"/>
              <w:spacing w:after="0"/>
              <w:rPr>
                <w:sz w:val="20"/>
                <w:szCs w:val="20"/>
                <w:color w:val="auto"/>
              </w:rPr>
            </w:pPr>
            <w:r>
              <w:rPr>
                <w:rFonts w:ascii="Times New Roman" w:cs="Times New Roman" w:eastAsia="Times New Roman" w:hAnsi="Times New Roman"/>
                <w:sz w:val="18"/>
                <w:szCs w:val="18"/>
                <w:b w:val="1"/>
                <w:bCs w:val="1"/>
                <w:color w:val="auto"/>
              </w:rPr>
              <w:t>12,758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13,268</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12,794</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13,797</w:t>
            </w: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third quarter and first nine months of 2022, the Company had losses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0.1 million and 0.2 million shares related to potentially dilutive securities were excluded from the calculation of diluted loss per share for the third quarter and first nine months of 2022 respectively, because their inclusion would have been anti-dilutive. Approximately 0.4 million shares related to potentially dilutive securities were excluded from the calculation of diluted loss per share for the third quarter of 2021.</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third quarter of 2022, the weighted average shares that were anti-dilutive, and therefore excluded from the calculation of diluted income per share, included options to purchase 1.0 million shares of common stock and 0.5 million restricted stock units. For the first nine months of 2022, the weighted average shares that were anti-dilutive, and therefore excluded from the calculation of diluted income per share, included options to purchase 1.0 million shares of common stock and 0.4 million restricted stock units. For the third quarter of 2021, the weighted average shares that were anti-dilutive, and therefore excluded from the calculation of diluted income per share, included options to purchase 0.9 million shares of common stock and 0.2 million restricted stock units. For the first nine months of 2021, the weighted average shares that were anti-dilutive included options to purchase 0.4 million shares of common stock and 0.1 million restricted stock units.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convertible notes and the warrants issued by the Company could be converted into the Company’s common stock, subject to certain contingencies. </w:t>
      </w: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Note 12—Debt for additional information. On January 1, 2022, the Company adopted ASU 2020-06 using the modified retrospective method.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adoption, the if-converted method is used for diluted net income per share calculation of our convertible notes. Prior to the adoption of ASU 2020-06 the dilutive impact of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convertible notes was calculated using the treasury stock method.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2—Significant Accounting Policies for additional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Approximately 1.2 million shares and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third quarter and first nine months of 2022, respectively, because their inclusion would have been anti-dilutive. Shares of the Company's stock associated with the warrants issued by the Company in 2017 and 2020 were excluded from the calculation of diluted loss per share for the third quarter and first nine months of 2022 and 2021 as they were anti-dilutive since the strike price of the warrants was greater than the average market price of the Company's common stock during the relevant periods.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Shares of the Company's common stock associated with the 0.50% Convertible Senior Notes due July 15, 2025 were excluded from the calculation of diluted income per share for the third quarter and first nine months of 2021 and shares of the Company's common stock associated with the 0.625% Convertible Senior Notes due June 1, 2022 were excluded in the third quarter of 2021 as they were anti-dilutive since the conversion price of the notes was greater than the average market price of the Company's common stock during the relevant periods.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employee stock purchase plan did not have a material impact to the calculation of diluted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each of February 2018 and February 2019, the board of directors authorized and the Company announced the repurchase of up to $100.0 million and $150.0 million, respectively, of LendingTree's common stock. During the nine months ended September 30, 2022, the Company purchased 379,895 shares of its common stock pursuant to this stock repurchase program. At September 30, 2022, approximately $96.7 million of the previous authorizations to repurchase common stock remain available.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10—STOCK-BASED COMPENSATION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Non-cash compensation related to equity awards is included in the following line items in the accompanying consolidated statements of operations and comprehensive income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2"/>
        </w:trPr>
        <w:tc>
          <w:tcPr>
            <w:tcW w:w="49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417</w:t>
            </w:r>
          </w:p>
        </w:tc>
        <w:tc>
          <w:tcPr>
            <w:tcW w:w="6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1,252</w:t>
            </w:r>
          </w:p>
        </w:tc>
        <w:tc>
          <w:tcPr>
            <w:tcW w:w="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90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2,198</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6,522</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11,212</w:t>
            </w:r>
          </w:p>
        </w:tc>
        <w:tc>
          <w:tcPr>
            <w:tcW w:w="6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32,685</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38,658</w:t>
            </w: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1,748</w:t>
            </w: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6,448</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w:t>
            </w: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1,083</w:t>
            </w:r>
          </w:p>
        </w:tc>
        <w:tc>
          <w:tcPr>
            <w:tcW w:w="6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non-cash compensation</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15,575</w:t>
            </w:r>
          </w:p>
        </w:tc>
        <w:tc>
          <w:tcPr>
            <w:tcW w:w="6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17,074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47,990</w:t>
            </w:r>
          </w:p>
        </w:tc>
        <w:tc>
          <w:tcPr>
            <w:tcW w:w="6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51,804</w:t>
            </w:r>
          </w:p>
        </w:tc>
      </w:tr>
      <w:tr>
        <w:trPr>
          <w:trHeight w:val="875"/>
        </w:trPr>
        <w:tc>
          <w:tcPr>
            <w:tcW w:w="4940" w:type="dxa"/>
            <w:vAlign w:val="bottom"/>
          </w:tcPr>
          <w:p>
            <w:pPr>
              <w:spacing w:after="0"/>
              <w:rPr>
                <w:sz w:val="24"/>
                <w:szCs w:val="24"/>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2"/>
        </w:trPr>
        <w:tc>
          <w:tcPr>
            <w:tcW w:w="49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outstanding stock options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tcPr>
          <w:p>
            <w:pPr>
              <w:jc w:val="center"/>
              <w:ind w:right="85"/>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6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2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46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line="199" w:lineRule="exact"/>
              <w:rPr>
                <w:sz w:val="20"/>
                <w:szCs w:val="20"/>
                <w:color w:val="auto"/>
              </w:rPr>
            </w:pPr>
            <w:r>
              <w:rPr>
                <w:rFonts w:ascii="Times New Roman" w:cs="Times New Roman" w:eastAsia="Times New Roman" w:hAnsi="Times New Roman"/>
                <w:sz w:val="14"/>
                <w:szCs w:val="14"/>
                <w:b w:val="1"/>
                <w:bCs w:val="1"/>
                <w:color w:val="auto"/>
                <w:w w:val="89"/>
              </w:rPr>
              <w:t>Value</w:t>
            </w:r>
            <w:r>
              <w:rPr>
                <w:rFonts w:ascii="Times New Roman" w:cs="Times New Roman" w:eastAsia="Times New Roman" w:hAnsi="Times New Roman"/>
                <w:sz w:val="18"/>
                <w:szCs w:val="18"/>
                <w:b w:val="1"/>
                <w:bCs w:val="1"/>
                <w:color w:val="auto"/>
                <w:w w:val="89"/>
                <w:vertAlign w:val="superscript"/>
              </w:rPr>
              <w:t>(a)</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260" w:type="dxa"/>
            <w:vAlign w:val="bottom"/>
          </w:tcPr>
          <w:p>
            <w:pPr>
              <w:spacing w:after="0"/>
              <w:rPr>
                <w:sz w:val="16"/>
                <w:szCs w:val="16"/>
                <w:color w:val="auto"/>
              </w:rPr>
            </w:pPr>
          </w:p>
        </w:tc>
        <w:tc>
          <w:tcPr>
            <w:tcW w:w="12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2022</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676,293</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169.71</w:t>
            </w: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2"/>
                <w:szCs w:val="22"/>
                <w:color w:val="auto"/>
                <w:vertAlign w:val="superscript"/>
              </w:rPr>
              <w:t>(b)</w:t>
            </w: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157,632</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103.54</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205.97</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256.11</w:t>
            </w: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2022</w:t>
            </w: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807,361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155.20</w:t>
            </w:r>
          </w:p>
        </w:tc>
        <w:tc>
          <w:tcPr>
            <w:tcW w:w="1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5.47</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2022</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489,581</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126.08</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3.39</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640" w:right="100" w:hanging="316"/>
        <w:spacing w:after="0" w:line="255" w:lineRule="auto"/>
        <w:tabs>
          <w:tab w:leader="none" w:pos="6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$23.86 on the last trading day of the quarter ended September 30, 2022 and the exercise price, multiplied by the number of shares covered by in-the-money options) that would have been received by the option holder had the option holder exercised these options on September 30, 2022. The intrinsic value changes based on the market value of the Company's common stock.</w:t>
      </w:r>
    </w:p>
    <w:p>
      <w:pPr>
        <w:spacing w:after="0" w:line="127" w:lineRule="exact"/>
        <w:rPr>
          <w:rFonts w:ascii="Times New Roman" w:cs="Times New Roman" w:eastAsia="Times New Roman" w:hAnsi="Times New Roman"/>
          <w:sz w:val="18"/>
          <w:szCs w:val="18"/>
          <w:color w:val="auto"/>
        </w:rPr>
      </w:pPr>
    </w:p>
    <w:p>
      <w:pPr>
        <w:jc w:val="both"/>
        <w:ind w:left="640" w:right="100" w:hanging="316"/>
        <w:spacing w:after="0" w:line="259" w:lineRule="auto"/>
        <w:tabs>
          <w:tab w:leader="none" w:pos="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2022, the Company granted stock options to certain employees with a weighted average grant date fair value per share of $53.21, calculated using the Black-Scholes option pricing model, which vesting periods include (1) immediate vesting on grant date (b) earlier of one year from grant date and the Company's annual meeting of stockholders for 2023 and (c) three years from grant date.</w:t>
      </w:r>
    </w:p>
    <w:p>
      <w:pPr>
        <w:spacing w:after="0" w:line="125" w:lineRule="exact"/>
        <w:rPr>
          <w:sz w:val="20"/>
          <w:szCs w:val="20"/>
          <w:color w:val="auto"/>
        </w:rPr>
      </w:pPr>
    </w:p>
    <w:p>
      <w:pPr>
        <w:jc w:val="both"/>
        <w:ind w:left="640" w:right="100"/>
        <w:spacing w:after="0" w:line="259" w:lineRule="auto"/>
        <w:rPr>
          <w:sz w:val="20"/>
          <w:szCs w:val="20"/>
          <w:color w:val="auto"/>
        </w:rPr>
      </w:pPr>
      <w:r>
        <w:rPr>
          <w:rFonts w:ascii="Times New Roman" w:cs="Times New Roman" w:eastAsia="Times New Roman" w:hAnsi="Times New Roman"/>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76"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2"/>
                <w:szCs w:val="22"/>
                <w:color w:val="auto"/>
                <w:vertAlign w:val="superscript"/>
              </w:rPr>
              <w:t>(1)</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5.00 - 6.00 year</w:t>
            </w:r>
          </w:p>
        </w:tc>
      </w:tr>
      <w:tr>
        <w:trPr>
          <w:trHeight w:val="225"/>
        </w:trPr>
        <w:tc>
          <w:tcPr>
            <w:tcW w:w="564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2"/>
                <w:szCs w:val="22"/>
                <w:color w:val="auto"/>
                <w:vertAlign w:val="superscript"/>
              </w:rPr>
              <w:t>(2)</w:t>
            </w:r>
          </w:p>
        </w:tc>
        <w:tc>
          <w:tcPr>
            <w:tcW w:w="5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2"/>
                <w:szCs w:val="22"/>
                <w:color w:val="auto"/>
                <w:vertAlign w:val="superscript"/>
              </w:rPr>
              <w:t>(3)</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53 - 56%</w:t>
            </w:r>
          </w:p>
        </w:tc>
      </w:tr>
      <w:tr>
        <w:trPr>
          <w:trHeight w:val="225"/>
        </w:trPr>
        <w:tc>
          <w:tcPr>
            <w:tcW w:w="5640" w:type="dxa"/>
            <w:vAlign w:val="bottom"/>
            <w:tcBorders>
              <w:bottom w:val="single" w:sz="8" w:color="999999"/>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2"/>
                <w:szCs w:val="22"/>
                <w:color w:val="auto"/>
                <w:vertAlign w:val="superscript"/>
              </w:rPr>
              <w:t>(4)</w:t>
            </w:r>
          </w:p>
        </w:tc>
        <w:tc>
          <w:tcPr>
            <w:tcW w:w="506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1.62 - 3.23%</w:t>
            </w:r>
          </w:p>
        </w:tc>
      </w:tr>
    </w:tbl>
    <w:p>
      <w:pPr>
        <w:spacing w:after="0" w:line="233" w:lineRule="exact"/>
        <w:rPr>
          <w:sz w:val="20"/>
          <w:szCs w:val="20"/>
          <w:color w:val="auto"/>
        </w:rPr>
      </w:pPr>
    </w:p>
    <w:p>
      <w:pPr>
        <w:jc w:val="both"/>
        <w:ind w:left="960" w:right="100" w:hanging="318"/>
        <w:spacing w:after="0" w:line="259" w:lineRule="auto"/>
        <w:tabs>
          <w:tab w:leader="none" w:pos="9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4" w:lineRule="exact"/>
        <w:rPr>
          <w:rFonts w:ascii="Times New Roman" w:cs="Times New Roman" w:eastAsia="Times New Roman" w:hAnsi="Times New Roman"/>
          <w:sz w:val="18"/>
          <w:szCs w:val="18"/>
          <w:color w:val="auto"/>
        </w:rPr>
      </w:pPr>
    </w:p>
    <w:p>
      <w:pPr>
        <w:ind w:left="960" w:right="100" w:hanging="318"/>
        <w:spacing w:after="0" w:line="274" w:lineRule="auto"/>
        <w:tabs>
          <w:tab w:leader="none" w:pos="9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stock options granted in 2022, no dividends are expected to be paid over the contractual term of the stock options, resulting in a zero expected dividend rate.</w:t>
      </w:r>
    </w:p>
    <w:p>
      <w:pPr>
        <w:spacing w:after="0" w:line="11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64" w:lineRule="exact"/>
        <w:rPr>
          <w:rFonts w:ascii="Times New Roman" w:cs="Times New Roman" w:eastAsia="Times New Roman" w:hAnsi="Times New Roman"/>
          <w:sz w:val="18"/>
          <w:szCs w:val="18"/>
          <w:color w:val="auto"/>
        </w:rPr>
      </w:pPr>
    </w:p>
    <w:p>
      <w:pPr>
        <w:ind w:left="960" w:right="100" w:hanging="318"/>
        <w:spacing w:after="0" w:line="274" w:lineRule="auto"/>
        <w:tabs>
          <w:tab w:leader="none" w:pos="9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with Market Conditions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outstanding stock options with market conditions at target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vMerge w:val="restart"/>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tcPr>
          <w:p>
            <w:pPr>
              <w:jc w:val="center"/>
              <w:ind w:right="85"/>
              <w:spacing w:after="0" w:line="13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320" w:type="dxa"/>
            <w:vAlign w:val="bottom"/>
          </w:tcPr>
          <w:p>
            <w:pPr>
              <w:spacing w:after="0"/>
              <w:rPr>
                <w:sz w:val="12"/>
                <w:szCs w:val="12"/>
                <w:color w:val="auto"/>
              </w:rPr>
            </w:pPr>
          </w:p>
        </w:tc>
        <w:tc>
          <w:tcPr>
            <w:tcW w:w="1440" w:type="dxa"/>
            <w:vAlign w:val="bottom"/>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9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jc w:val="center"/>
              <w:ind w:right="379"/>
              <w:spacing w:after="0" w:line="146"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460" w:type="dxa"/>
            <w:vAlign w:val="bottom"/>
          </w:tcPr>
          <w:p>
            <w:pPr>
              <w:jc w:val="center"/>
              <w:ind w:right="85"/>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280" w:type="dxa"/>
            <w:vAlign w:val="bottom"/>
          </w:tcPr>
          <w:p>
            <w:pPr>
              <w:jc w:val="center"/>
              <w:ind w:right="123"/>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with Market Conditions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46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line="199" w:lineRule="exact"/>
              <w:rPr>
                <w:sz w:val="20"/>
                <w:szCs w:val="20"/>
                <w:color w:val="auto"/>
              </w:rPr>
            </w:pPr>
            <w:r>
              <w:rPr>
                <w:rFonts w:ascii="Times New Roman" w:cs="Times New Roman" w:eastAsia="Times New Roman" w:hAnsi="Times New Roman"/>
                <w:sz w:val="14"/>
                <w:szCs w:val="14"/>
                <w:b w:val="1"/>
                <w:bCs w:val="1"/>
                <w:color w:val="auto"/>
                <w:w w:val="89"/>
              </w:rPr>
              <w:t>Value</w:t>
            </w:r>
            <w:r>
              <w:rPr>
                <w:rFonts w:ascii="Times New Roman" w:cs="Times New Roman" w:eastAsia="Times New Roman" w:hAnsi="Times New Roman"/>
                <w:sz w:val="18"/>
                <w:szCs w:val="18"/>
                <w:b w:val="1"/>
                <w:bCs w:val="1"/>
                <w:color w:val="auto"/>
                <w:w w:val="89"/>
                <w:vertAlign w:val="superscript"/>
              </w:rPr>
              <w:t>(a)</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jc w:val="center"/>
              <w:ind w:right="379"/>
              <w:spacing w:after="0"/>
              <w:rPr>
                <w:sz w:val="20"/>
                <w:szCs w:val="20"/>
                <w:color w:val="auto"/>
              </w:rPr>
            </w:pPr>
            <w:r>
              <w:rPr>
                <w:rFonts w:ascii="Times New Roman" w:cs="Times New Roman" w:eastAsia="Times New Roman" w:hAnsi="Times New Roman"/>
                <w:sz w:val="14"/>
                <w:szCs w:val="14"/>
                <w:b w:val="1"/>
                <w:bCs w:val="1"/>
                <w:i w:val="1"/>
                <w:iCs w:val="1"/>
                <w:color w:val="auto"/>
              </w:rPr>
              <w:t>(per option)</w:t>
            </w:r>
          </w:p>
        </w:tc>
        <w:tc>
          <w:tcPr>
            <w:tcW w:w="146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i w:val="1"/>
                <w:iCs w:val="1"/>
                <w:color w:val="auto"/>
                <w:w w:val="98"/>
              </w:rPr>
              <w:t>(in years)</w:t>
            </w:r>
          </w:p>
        </w:tc>
        <w:tc>
          <w:tcPr>
            <w:tcW w:w="260" w:type="dxa"/>
            <w:vAlign w:val="bottom"/>
          </w:tcPr>
          <w:p>
            <w:pPr>
              <w:spacing w:after="0"/>
              <w:rPr>
                <w:sz w:val="16"/>
                <w:szCs w:val="16"/>
                <w:color w:val="auto"/>
              </w:rPr>
            </w:pPr>
          </w:p>
        </w:tc>
        <w:tc>
          <w:tcPr>
            <w:tcW w:w="128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January 1, 2022</w:t>
            </w:r>
          </w:p>
        </w:tc>
        <w:tc>
          <w:tcPr>
            <w:tcW w:w="1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700,209</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236.01</w:t>
            </w:r>
          </w:p>
        </w:tc>
        <w:tc>
          <w:tcPr>
            <w:tcW w:w="1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47,639</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195.10</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378.95</w:t>
            </w: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September 30, 2022</w:t>
            </w:r>
          </w:p>
        </w:tc>
        <w:tc>
          <w:tcPr>
            <w:tcW w:w="15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734,685</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230.79</w:t>
            </w:r>
          </w:p>
        </w:tc>
        <w:tc>
          <w:tcPr>
            <w:tcW w:w="14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5.94</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2022</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481,669</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195.10</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b w:val="1"/>
                <w:bCs w:val="1"/>
                <w:color w:val="auto"/>
              </w:rPr>
              <w:t>4.85</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640" w:hanging="316"/>
        <w:spacing w:after="0" w:line="255" w:lineRule="auto"/>
        <w:tabs>
          <w:tab w:leader="none" w:pos="6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(the difference between the Company's closing stock price of $23.86 on the last trading day of the quarter ended September 30, 2022 and the exercise price, multiplied by the number of shares covered by in-the-money options) that would have been received by the option holder had the option holder exercised these options on September 30, 2022. The intrinsic value changes based on the market value of the Company's common stock.</w:t>
      </w:r>
    </w:p>
    <w:p>
      <w:pPr>
        <w:spacing w:after="0" w:line="12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2022, a maximum of 422,537 shares may be earned for achieving superior performance up to 167% of the remaining unvested target number of shares. As of September 30, 2022, no additional performance-based nonqualified stock options with a market condition had been earned.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outstanding nonvested restricted stock units (“RSUs”)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82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1"/>
                <w:szCs w:val="11"/>
                <w:color w:val="auto"/>
              </w:rPr>
            </w:pPr>
          </w:p>
        </w:tc>
        <w:tc>
          <w:tcPr>
            <w:tcW w:w="1600" w:type="dxa"/>
            <w:vAlign w:val="bottom"/>
          </w:tcPr>
          <w:p>
            <w:pPr>
              <w:jc w:val="center"/>
              <w:ind w:right="98"/>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2022</w:t>
            </w:r>
          </w:p>
        </w:tc>
        <w:tc>
          <w:tcPr>
            <w:tcW w:w="1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308,068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402,960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(125,961)</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(79,112)</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2022</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505,955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131.60</w:t>
            </w:r>
          </w:p>
        </w:tc>
        <w:tc>
          <w:tcPr>
            <w:tcW w:w="0" w:type="dxa"/>
            <w:vAlign w:val="bottom"/>
          </w:tcPr>
          <w:p>
            <w:pPr>
              <w:spacing w:after="0"/>
              <w:rPr>
                <w:sz w:val="1"/>
                <w:szCs w:val="1"/>
                <w:color w:val="auto"/>
              </w:rPr>
            </w:pPr>
          </w:p>
        </w:tc>
      </w:tr>
      <w:tr>
        <w:trPr>
          <w:trHeight w:val="518"/>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 with Performance Conditions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summary of changes in outstanding nonvested RSUs with performance conditions is as follows: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80" w:type="dxa"/>
            <w:vAlign w:val="bottom"/>
          </w:tcPr>
          <w:p>
            <w:pPr>
              <w:spacing w:after="0"/>
              <w:rPr>
                <w:sz w:val="17"/>
                <w:szCs w:val="17"/>
                <w:color w:val="auto"/>
              </w:rPr>
            </w:pPr>
          </w:p>
        </w:tc>
        <w:tc>
          <w:tcPr>
            <w:tcW w:w="3660" w:type="dxa"/>
            <w:vAlign w:val="bottom"/>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RSUs with Performance Conditions</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82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40" w:type="dxa"/>
            <w:vAlign w:val="bottom"/>
          </w:tcPr>
          <w:p>
            <w:pPr>
              <w:spacing w:after="0"/>
              <w:rPr>
                <w:sz w:val="11"/>
                <w:szCs w:val="11"/>
                <w:color w:val="auto"/>
              </w:rPr>
            </w:pPr>
          </w:p>
        </w:tc>
        <w:tc>
          <w:tcPr>
            <w:tcW w:w="1600" w:type="dxa"/>
            <w:vAlign w:val="bottom"/>
          </w:tcPr>
          <w:p>
            <w:pPr>
              <w:jc w:val="center"/>
              <w:ind w:right="98"/>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2022</w:t>
            </w:r>
          </w:p>
        </w:tc>
        <w:tc>
          <w:tcPr>
            <w:tcW w:w="1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16,000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2022</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16,000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83.25</w:t>
            </w:r>
          </w:p>
        </w:tc>
        <w:tc>
          <w:tcPr>
            <w:tcW w:w="0" w:type="dxa"/>
            <w:vAlign w:val="bottom"/>
          </w:tcPr>
          <w:p>
            <w:pPr>
              <w:spacing w:after="0"/>
              <w:rPr>
                <w:sz w:val="1"/>
                <w:szCs w:val="1"/>
                <w:color w:val="auto"/>
              </w:rPr>
            </w:pPr>
          </w:p>
        </w:tc>
      </w:tr>
      <w:tr>
        <w:trPr>
          <w:trHeight w:val="889"/>
        </w:trPr>
        <w:tc>
          <w:tcPr>
            <w:tcW w:w="75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75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maximum of 24,000 shares may be earned for achieving superior performance up to 150% of the target number of shares.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with Market Conditions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outstanding nonvested RSAs with market conditions at target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3660" w:type="dxa"/>
            <w:vAlign w:val="bottom"/>
            <w:gridSpan w:val="3"/>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RSAs with Market Conditions</w:t>
            </w:r>
          </w:p>
        </w:tc>
        <w:tc>
          <w:tcPr>
            <w:tcW w:w="0" w:type="dxa"/>
            <w:vAlign w:val="bottom"/>
          </w:tcPr>
          <w:p>
            <w:pPr>
              <w:spacing w:after="0"/>
              <w:rPr>
                <w:sz w:val="1"/>
                <w:szCs w:val="1"/>
                <w:color w:val="auto"/>
              </w:rPr>
            </w:pPr>
          </w:p>
        </w:tc>
      </w:tr>
      <w:tr>
        <w:trPr>
          <w:trHeight w:val="24"/>
        </w:trPr>
        <w:tc>
          <w:tcPr>
            <w:tcW w:w="75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580" w:type="dxa"/>
            <w:vAlign w:val="bottom"/>
          </w:tcPr>
          <w:p>
            <w:pPr>
              <w:spacing w:after="0"/>
              <w:rPr>
                <w:sz w:val="11"/>
                <w:szCs w:val="11"/>
                <w:color w:val="auto"/>
              </w:rPr>
            </w:pPr>
          </w:p>
        </w:tc>
        <w:tc>
          <w:tcPr>
            <w:tcW w:w="182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220" w:type="dxa"/>
            <w:vAlign w:val="bottom"/>
          </w:tcPr>
          <w:p>
            <w:pPr>
              <w:spacing w:after="0"/>
              <w:rPr>
                <w:sz w:val="11"/>
                <w:szCs w:val="11"/>
                <w:color w:val="auto"/>
              </w:rPr>
            </w:pPr>
          </w:p>
        </w:tc>
        <w:tc>
          <w:tcPr>
            <w:tcW w:w="162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i w:val="1"/>
                <w:iCs w:val="1"/>
                <w:color w:val="auto"/>
              </w:rPr>
              <w:t>(per unit)</w:t>
            </w: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January 1, 2022</w:t>
            </w:r>
          </w:p>
        </w:tc>
        <w:tc>
          <w:tcPr>
            <w:tcW w:w="18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26,674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340.25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0" w:type="dxa"/>
            <w:vAlign w:val="bottom"/>
          </w:tcPr>
          <w:p>
            <w:pPr>
              <w:spacing w:after="0"/>
              <w:rPr>
                <w:sz w:val="1"/>
                <w:szCs w:val="1"/>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340.25</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September 30, 2022</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1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2021, the Company implemented an employee stock purchase plan (“ESPP”), under which a total of 262,731 shares of the Company's common stock were reserved for issuance. As of September 30, 2022, 243,929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nine months ended September 30, 2022, 13,259 shares were issued under the ESPP.</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employee stock purchase rights to certain employees with a grant date fair value per share of $20.96,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89"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22"/>
                <w:szCs w:val="22"/>
                <w:color w:val="auto"/>
                <w:vertAlign w:val="superscript"/>
              </w:rPr>
              <w:t>(1)</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25"/>
        </w:trPr>
        <w:tc>
          <w:tcPr>
            <w:tcW w:w="56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Expected dividend </w:t>
            </w:r>
            <w:r>
              <w:rPr>
                <w:rFonts w:ascii="Times New Roman" w:cs="Times New Roman" w:eastAsia="Times New Roman" w:hAnsi="Times New Roman"/>
                <w:sz w:val="22"/>
                <w:szCs w:val="22"/>
                <w:color w:val="auto"/>
                <w:vertAlign w:val="superscript"/>
              </w:rPr>
              <w:t>(2)</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2"/>
                <w:szCs w:val="22"/>
                <w:color w:val="auto"/>
                <w:vertAlign w:val="superscript"/>
              </w:rPr>
              <w:t>(3)</w:t>
            </w:r>
          </w:p>
        </w:tc>
        <w:tc>
          <w:tcPr>
            <w:tcW w:w="4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49 - 73%</w:t>
            </w:r>
          </w:p>
        </w:tc>
      </w:tr>
      <w:tr>
        <w:trPr>
          <w:trHeight w:val="225"/>
        </w:trPr>
        <w:tc>
          <w:tcPr>
            <w:tcW w:w="5620" w:type="dxa"/>
            <w:vAlign w:val="bottom"/>
            <w:tcBorders>
              <w:bottom w:val="single" w:sz="8" w:color="999999"/>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2"/>
                <w:szCs w:val="22"/>
                <w:color w:val="auto"/>
                <w:vertAlign w:val="superscript"/>
              </w:rPr>
              <w:t>(4)</w:t>
            </w:r>
          </w:p>
        </w:tc>
        <w:tc>
          <w:tcPr>
            <w:tcW w:w="482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color w:val="auto"/>
              </w:rPr>
              <w:t>0.19 - 2.51%</w:t>
            </w:r>
          </w:p>
        </w:tc>
      </w:tr>
    </w:tbl>
    <w:p>
      <w:pPr>
        <w:spacing w:after="0" w:line="220"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calculated using the time period between the grant date and the purchase date.</w:t>
      </w:r>
    </w:p>
    <w:p>
      <w:pPr>
        <w:spacing w:after="0" w:line="16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are expected to be paid, resulting in a zero expected dividend rate.</w:t>
      </w:r>
    </w:p>
    <w:p>
      <w:pPr>
        <w:spacing w:after="0" w:line="16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rate is based on the historical volatility of the Company's common stock.</w:t>
      </w:r>
    </w:p>
    <w:p>
      <w:pPr>
        <w:spacing w:after="0" w:line="164" w:lineRule="exact"/>
        <w:rPr>
          <w:rFonts w:ascii="Times New Roman" w:cs="Times New Roman" w:eastAsia="Times New Roman" w:hAnsi="Times New Roman"/>
          <w:sz w:val="18"/>
          <w:szCs w:val="18"/>
          <w:color w:val="auto"/>
        </w:rPr>
      </w:pPr>
    </w:p>
    <w:p>
      <w:pPr>
        <w:ind w:left="960" w:hanging="318"/>
        <w:spacing w:after="0" w:line="274" w:lineRule="auto"/>
        <w:tabs>
          <w:tab w:leader="none" w:pos="9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11—INCOME TAXES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0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2"/>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2"/>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2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(135,910)</w:t>
            </w:r>
          </w:p>
        </w:tc>
        <w:tc>
          <w:tcPr>
            <w:tcW w:w="9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(133,956)</w:t>
            </w:r>
          </w:p>
        </w:tc>
        <w:tc>
          <w:tcPr>
            <w:tcW w:w="6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5300" w:type="dxa"/>
            <w:vAlign w:val="bottom"/>
            <w:tcBorders>
              <w:bottom w:val="single" w:sz="8" w:color="999999"/>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tcBorders>
              <w:bottom w:val="single" w:sz="8" w:color="999999"/>
            </w:tcBorders>
          </w:tcPr>
          <w:p>
            <w:pPr>
              <w:spacing w:after="0"/>
              <w:rPr>
                <w:sz w:val="19"/>
                <w:szCs w:val="19"/>
                <w:color w:val="auto"/>
              </w:rPr>
            </w:pPr>
          </w:p>
        </w:tc>
        <w:tc>
          <w:tcPr>
            <w:tcW w:w="1140" w:type="dxa"/>
            <w:vAlign w:val="bottom"/>
            <w:tcBorders>
              <w:bottom w:val="single" w:sz="8" w:color="999999"/>
            </w:tcBorders>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(596.8)%</w:t>
            </w:r>
          </w:p>
        </w:tc>
        <w:tc>
          <w:tcPr>
            <w:tcW w:w="960" w:type="dxa"/>
            <w:vAlign w:val="bottom"/>
            <w:tcBorders>
              <w:bottom w:val="single" w:sz="8" w:color="999999"/>
            </w:tcBorders>
          </w:tcPr>
          <w:p>
            <w:pPr>
              <w:spacing w:after="0"/>
              <w:rPr>
                <w:sz w:val="19"/>
                <w:szCs w:val="19"/>
                <w:color w:val="auto"/>
              </w:rPr>
            </w:pPr>
          </w:p>
        </w:tc>
        <w:tc>
          <w:tcPr>
            <w:tcW w:w="580" w:type="dxa"/>
            <w:vAlign w:val="bottom"/>
            <w:tcBorders>
              <w:bottom w:val="single" w:sz="8" w:color="999999"/>
            </w:tcBorders>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 %</w:t>
            </w:r>
          </w:p>
        </w:tc>
        <w:tc>
          <w:tcPr>
            <w:tcW w:w="340" w:type="dxa"/>
            <w:vAlign w:val="bottom"/>
            <w:tcBorders>
              <w:bottom w:val="single" w:sz="8" w:color="999999"/>
            </w:tcBorders>
          </w:tcPr>
          <w:p>
            <w:pPr>
              <w:spacing w:after="0"/>
              <w:rPr>
                <w:sz w:val="19"/>
                <w:szCs w:val="19"/>
                <w:color w:val="auto"/>
              </w:rPr>
            </w:pPr>
          </w:p>
        </w:tc>
        <w:tc>
          <w:tcPr>
            <w:tcW w:w="1140" w:type="dxa"/>
            <w:vAlign w:val="bottom"/>
            <w:tcBorders>
              <w:bottom w:val="single" w:sz="8" w:color="999999"/>
            </w:tcBorders>
          </w:tcPr>
          <w:p>
            <w:pPr>
              <w:jc w:val="right"/>
              <w:ind w:right="2"/>
              <w:spacing w:after="0"/>
              <w:rPr>
                <w:sz w:val="20"/>
                <w:szCs w:val="20"/>
                <w:color w:val="auto"/>
              </w:rPr>
            </w:pPr>
            <w:r>
              <w:rPr>
                <w:rFonts w:ascii="Times New Roman" w:cs="Times New Roman" w:eastAsia="Times New Roman" w:hAnsi="Times New Roman"/>
                <w:sz w:val="18"/>
                <w:szCs w:val="18"/>
                <w:i w:val="1"/>
                <w:iCs w:val="1"/>
                <w:color w:val="auto"/>
              </w:rPr>
              <w:t>(307.3)%</w:t>
            </w:r>
          </w:p>
        </w:tc>
        <w:tc>
          <w:tcPr>
            <w:tcW w:w="600" w:type="dxa"/>
            <w:vAlign w:val="bottom"/>
            <w:tcBorders>
              <w:bottom w:val="single" w:sz="8" w:color="999999"/>
            </w:tcBorders>
          </w:tcPr>
          <w:p>
            <w:pPr>
              <w:spacing w:after="0"/>
              <w:rPr>
                <w:sz w:val="19"/>
                <w:szCs w:val="19"/>
                <w:color w:val="auto"/>
              </w:rPr>
            </w:pPr>
          </w:p>
        </w:tc>
        <w:tc>
          <w:tcPr>
            <w:tcW w:w="840" w:type="dxa"/>
            <w:vAlign w:val="bottom"/>
            <w:tcBorders>
              <w:bottom w:val="single" w:sz="8" w:color="999999"/>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r>
    </w:tbl>
    <w:p>
      <w:pPr>
        <w:spacing w:after="0" w:line="27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For the third quarter and first nine months of 2022, the effective tax rate varied from the federal statutory rate of 21% primarily due to expense of $139.7 million to record a full valuation allowance against our net deferred tax assets, excess tax expense of $1.8 million and $4.7 million, respectively, resulting from vesting of restricted stock in accordance with ASU 2016-09 and the effect of state taxes. For the third quarter and first nine months of 2021, the effective tax rate varied from the federal statutory rate of 21% in part due to an excess tax expense of $0.9 million and an excess tax benefit of $7.4 million, respectively, resulting from employee exercises of stock options and vesting of restricted stock in accordance with ASU 2016-09 and the effect of state taxes.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the third quarter of 2022, the Company recorded tax expense of $139.7 million to establish a full valuation allowance against its net deferred tax assets due to historical cumulative pre-tax losses and continued pre-tax losses in the quarter. Management regularly reviews the deferred tax assets for recoverability based on historical taxable income, projected future taxable income, the expected timing of the reversals of existing taxable temporary differences, and tax planning strategies. The ultimate realization of deferred tax assets is dependent upon the generation of future taxable income. In determining the amount of the valuation allowance, the Company considered the scheduled reversal of deferred tax liabilities. The Company will maintain a full valuation allowance on net deferred tax assets until there is sufficient evidence to support the reversal of some or all of the allowance. Should there be a change in the valuation allowance in the future, the income tax provision would increase or decrease in the period in which the allowance is changed.</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indefinite carryforward period for certain deferred tax assets means that indefinite-lived deferred tax liabilities can be considered as support for realization of such deferred tax assets including post December 31, 2017 net operating loss carryovers, which can affect the need to record or maintain a valuation allowance for deferred tax assets. At September 30, 2022 the Company maintains a valuation allowance of $146 million against its net deferred tax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2"/>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1"/>
        </w:trPr>
        <w:tc>
          <w:tcPr>
            <w:tcW w:w="5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9"/>
        </w:trPr>
        <w:tc>
          <w:tcPr>
            <w:tcW w:w="56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Income tax benefit (expense) - excluding excess tax expense from valuation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and excess tax (expense) benefit on stock compensation</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5,512</w:t>
            </w:r>
          </w:p>
        </w:tc>
        <w:tc>
          <w:tcPr>
            <w:tcW w:w="9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10,372</w:t>
            </w:r>
          </w:p>
        </w:tc>
        <w:tc>
          <w:tcPr>
            <w:tcW w:w="5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from valuation allowance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(139,670)</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(139,670)</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(expense) benefit on stock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w:t>
            </w:r>
          </w:p>
        </w:tc>
      </w:tr>
      <w:tr>
        <w:trPr>
          <w:trHeight w:val="225"/>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(135,910)</w:t>
            </w:r>
          </w:p>
        </w:tc>
        <w:tc>
          <w:tcPr>
            <w:tcW w:w="90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(133,956)</w:t>
            </w:r>
          </w:p>
        </w:tc>
        <w:tc>
          <w:tcPr>
            <w:tcW w:w="5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12—DEBT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Senior Notes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2025 Notes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0" w:lineRule="exact"/>
        <w:rPr>
          <w:sz w:val="20"/>
          <w:szCs w:val="20"/>
          <w:color w:val="auto"/>
        </w:rPr>
      </w:pPr>
    </w:p>
    <w:p>
      <w:pPr>
        <w:jc w:val="both"/>
        <w:ind w:left="640" w:hanging="316"/>
        <w:spacing w:after="0" w:line="25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including but not limited to a fundamental change.</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Holders of the 2025 Notes were not entitled to convert the 2025 Notes during the calendar quarter ended September 30, 2022 as the last reported sale price of the Company's common stock, for at least 20 trading days (whether or not consecutive) during the period of 30 consecutive trading days ending on June 30, 2022, was not greater than or equal to 130% of the conversion price of the 2025 Notes on each applicable trading day. Holders of the 2025 Notes are not entitled to convert the 2025 Notes during the calendar quarter ended December 31, 2022 as the last reported sale price of the Company's common stock, for at least 20 trading days (whether or not consecutive) during the period of 30 consecutive trading days ending on September 30, 2022, was not greater than or equal to 130% of the conversion price of the 2025 Notes on each applicable trading day.</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07"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The Company may not redeem the 2025 Notes prior to July 20, 2023. On or after July 20, 2023 and before the 41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redeemed, plus any accrued and unpaid interest to, but excluding, the redemption date. No sinking fund is provided for the 2025 Notes.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for the Notes After Adoption of ASU 2020-06</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The Company adopted ASU 2020-06 on January 1, 2022 as further described in Note 2—Significant Accounting Policies.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Note 2—Significant Accounting Policies for additional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for the Notes Before Adoption of ASU 2020-06</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initial measurement of convertible debt instruments that may be settled in cash was separated into a debt and an equity component whereby the debt component was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first nine months of 2022, the Company recorded interest expense on the 2025 Notes of $4.4 million which consisted of $2.1 million associated with the 0.50% coupon rate and $2.3 million associated with the amortization of the debt issuance costs. In the first nine months of 2021, the Company recorded interest expense on the 2025 Notes of $20.3 million which consisted of $2.2 million associated with the 0.50% coupon rate, $16.4 million associated with the accretion of the debt discount, and $1.7 million associated with the amortization of the debt issuance costs.</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2022, the fair value of the 2025 Notes is estimated to be approximately $411.8 million using the Level 1 observable input of the last quoted market price on September 30, 2022.</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 summary of the gross carrying amount, unamortized debt cost, debt issuance costs, and net carrying value of the liability component of the 2025 Notes, all of which is recorded as a non-current liability in the September 30, 2022 consolidated balance sheet,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14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8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575,000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19"/>
                <w:szCs w:val="19"/>
                <w:color w:val="auto"/>
              </w:rPr>
            </w:pP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87,994</w:t>
            </w:r>
          </w:p>
        </w:tc>
      </w:tr>
      <w:tr>
        <w:trPr>
          <w:trHeight w:val="225"/>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8,496</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8,855</w:t>
            </w:r>
          </w:p>
        </w:tc>
      </w:tr>
      <w:tr>
        <w:trPr>
          <w:trHeight w:val="22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rPr>
              <w:t>566,504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478,151</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Notes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31, 2017, the Company issued $300.0 million aggregate principal amount of its 0.625% Convertible Senior Notes due June 1, 2022 (the “2022 Notes”) in a private placement. The Company settled the outstanding balance of the 2022 Notes of $169.7 million in cash on June 1, 2022. The initial conversion rate of the 2022 Notes was 4.8163 shares of the Company's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per $1,000 principal amount of 2022 Notes (which is equivalent to an initial conversion price of approximately $207.63 per share).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for the Notes After Adoption of ASU 2020-06</w:t>
      </w:r>
    </w:p>
    <w:p>
      <w:pPr>
        <w:spacing w:after="0" w:line="16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The Company adopted ASU 2020-06 on January 1, 2022 as further described in Note 2—Significant Accounting Policies.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Note 2—Significant Accounting Policies for additional information.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Accounting for the Notes Before Adoption of ASU 2020-06</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11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first nine months of 2022, the Company recorded interest expense on the 2022 Notes of $0.8 million which consisted of $0.4 million associated with the 0.625% coupon rate and $0.4 million associated with the amortization of the debt issuance costs. In the first nine months of 2021, the Company recorded interest expense on the 2022 Notes of $7.1 million which consisted of $0.8 million associated with the 0.625% coupon rate, $5.6 million associated with the accretion of the debt discount, and $0.7 million associated with the amortization of the debt issuance costs.</w:t>
      </w:r>
    </w:p>
    <w:p>
      <w:pPr>
        <w:spacing w:after="0" w:line="12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 xml:space="preserve">A summary of the gross carrying amount, unamortized debt cost, debt issuance costs and net carrying value of the liability component of the 2022 Notes,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46"/>
        </w:trPr>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2"/>
                <w:szCs w:val="12"/>
                <w:color w:val="auto"/>
              </w:rPr>
            </w:pPr>
          </w:p>
        </w:tc>
        <w:tc>
          <w:tcPr>
            <w:tcW w:w="1140" w:type="dxa"/>
            <w:vAlign w:val="bottom"/>
          </w:tcPr>
          <w:p>
            <w:pPr>
              <w:jc w:val="right"/>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169,659</w:t>
            </w:r>
          </w:p>
        </w:tc>
      </w:tr>
      <w:tr>
        <w:trPr>
          <w:trHeight w:val="225"/>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19"/>
                <w:szCs w:val="19"/>
                <w:color w:val="auto"/>
              </w:rPr>
            </w:pPr>
          </w:p>
        </w:tc>
        <w:tc>
          <w:tcPr>
            <w:tcW w:w="11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r>
      <w:tr>
        <w:trPr>
          <w:trHeight w:val="225"/>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5"/>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carrying amount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166,008</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Hedge and Warrant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2020 Hedge and Warrants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2017 Hedge and Warrants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2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were exercisable upon any conversion of the 2022 Notes. The 2017 Hedge transactions were expected generally to reduce the potential dilution to the Company's common stock upon conversion of the 2022 Notes and/or offset any cash payments the Company was required to make in excess of the principal amount of the converted 2022 Notes, as the case may be, in the event that the market price per share of common stock, as measured under the terms of the 2017 Hedge transactions, was greater than the strike price of the 2017 Hedge transactions, which initially corresponded to the initial conversion price of the 2022 Notes, or approximately $207.63 per share of common stock. The 2017 Hedge transactions expired on June 1, 2022 upon the maturity of the Notes.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 As of September 30, 2022, there were 0.8 million warrants outstanding. The warrants expire ratably from October 14, 2022 through December 12, 2022.</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The Company received $109.9 million and paid $94.3 million as a result of terminating such portions of the 2017 Hedge and 2017 Warrants, respectively. The net $15.6 million was recorded as an increase to additional paid-in capital in the consolidated statement of shareholders’ equity.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On May 31, 2022, the Company received proceeds of $250.0 million from the Term Loan Facility and on June 1, 2022, used $170.2 million of the proceeds to settle the Company’s 2022 Notes, including interest. The remaining proceeds of $79.8 million may be used for general corporate purposes and any other purposes not prohibited by the Credit Agreement. The Credit Facility replaces the Company's $500.0 million five-year senior secured revolving credit facility (the “Amended Revolving Credit Facility”) which was entered into on December 10, 2019. As of September 30, 2022, the Company had $249.4 million of borrowings outstanding under the Term Loan Facility bearing interest at the LIBO option rate of 6.87% and had no borrowings under the Revolving Facility. As of December 31, 2021, the Company had no borrowings outstanding under the Credit Facility. As of September 30, 2022, borrowings of $2.5 million under the Term Loan Facility are recorded as current portion of long-term debt on the consolidated balance sheet.</w:t>
      </w:r>
    </w:p>
    <w:p>
      <w:pPr>
        <w:spacing w:after="0" w:line="13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full amount of the Revolving Facility will be available on a same-day basis, with respect to base rate loans and upon advance notice with respect to LIBO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September 30, 2022 and December 31, 2021, the Company had outstanding one letter of credit issued in the amount of $0.2 million.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borrowings under the Credit Facility bear interest at annual rates that, at the Company’s option, will be either:</w:t>
      </w:r>
    </w:p>
    <w:p>
      <w:pPr>
        <w:spacing w:after="0" w:line="164" w:lineRule="exact"/>
        <w:rPr>
          <w:sz w:val="20"/>
          <w:szCs w:val="20"/>
          <w:color w:val="auto"/>
        </w:rPr>
      </w:pPr>
    </w:p>
    <w:p>
      <w:pPr>
        <w:jc w:val="both"/>
        <w:ind w:left="640" w:hanging="316"/>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12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 rate generally defined as the sum of (i) the rate for Eurodollar deposits for the applicable interest period and (ii) an applicable percentage of 2.25% to 2.75% for loans under the Revolving Facility and 3.75% to 4.00% for loans under the Term Loan Facility, in each case, based on a first lien net leverage ratio.</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11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The Credit Facility also includes a restricted payment covenant which is set at a total net leverage ratio of 4.0 to 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was in compliance with all covenants at September 30, 2022.</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With respect to the Term Loan Facility, the Company was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recognized $1.1 million in additional interest expense in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 Revolving Facility are being amortized to interest expense over the life of the Revolving Facility. Debt issuance costs of $3.5 million related to the Term Loan Facility and the original issue discount of $2.5 million paid on the undrawn term loan facility were amortized to interest expense over the delayed draw access period, until such time that the loans thereunder are drawn. These deferred costs are included in prepaid and other current assets and other non-current assets in the Company's consolidated balance sheet.</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first nine months of 2022, the Company recorded interest expense related to its Revolving Facility of $1.1 million which consisted of $0.4 million in unused commitment fees, and $0.7 million associated with the amortization of the debt issuance costs. In the first nine months of 2022, the Company recorded interest expense related to the Term Loan Facility of $13.5 million which consisted of $4.9 million associated with borrowings bearing interest at the LIBO rate, $5.1 million in unused commitment fees, $2.0 million associated with the amortization of the debt issuance costs, and $1.5 million associated with the amortization of the original issue discount.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first nine months of 2021, the Company recorded interest expense related to its revolving credit facilities of $3.0 million which consisted of $1.8 million in unused commitment fees, and $1.2 million associated with the amortization of the debt issuance costs. In the first nine months of 2021, the Company recorded interest expense related to the Term Loan Facility of $0.7 million which consisted of $0.4 million in unused commitment fees, $0.2 million associated with the amortization of the debt issuance costs, and $0.1 million associated with the amortization of the original issue discount.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litigation settlement accruals of $0.1 million in continuing operations. The litigation settlement accruals relate to litigation matters that were either settled or a firm offer for settlement was extended, thereby establishing an accrual amount that is both probable and reasonably estimable.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 MEASUREMENTS</w:t>
      </w:r>
    </w:p>
    <w:p>
      <w:pPr>
        <w:spacing w:after="0" w:line="166"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 xml:space="preserve">Other than the convertible notes and warrants, as well as the equity interests, the carrying amounts of the Company's financial instruments are equal to fair value at September 30, 2022.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12—Debt for additional information on the convertible notes and warrants, and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7—Equity Investments for additional information on the equity interests in Stash and EarnUp.</w:t>
      </w:r>
    </w:p>
    <w:p>
      <w:pPr>
        <w:spacing w:after="0" w:line="125"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In 2018, the Company acquired all of the outstanding equity interests of QuoteWizard.com, LLC (“QuoteWizard”). In the third quarter and first nine months of 2021, the company recorded $0.2 million and $8.2 million, respectively, of income for the change in fair value of the contingent consideration related to the QuoteWizard acquisition. The earnout was completed in 2021 and there were no earnout payments related to the acquisition in 2021.</w:t>
      </w:r>
    </w:p>
    <w:p>
      <w:pPr>
        <w:spacing w:after="0" w:line="125"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7580" w:type="dxa"/>
            <w:vAlign w:val="bottom"/>
          </w:tcPr>
          <w:p>
            <w:pPr>
              <w:spacing w:after="0"/>
              <w:rPr>
                <w:sz w:val="16"/>
                <w:szCs w:val="16"/>
                <w:color w:val="auto"/>
              </w:rPr>
            </w:pPr>
          </w:p>
        </w:tc>
        <w:tc>
          <w:tcPr>
            <w:tcW w:w="142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7580" w:type="dxa"/>
            <w:vAlign w:val="bottom"/>
          </w:tcPr>
          <w:p>
            <w:pPr>
              <w:spacing w:after="0"/>
              <w:rPr>
                <w:sz w:val="16"/>
                <w:szCs w:val="16"/>
                <w:color w:val="auto"/>
              </w:rPr>
            </w:pPr>
          </w:p>
        </w:tc>
        <w:tc>
          <w:tcPr>
            <w:tcW w:w="142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4"/>
        </w:trPr>
        <w:tc>
          <w:tcPr>
            <w:tcW w:w="7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beginning of period</w:t>
            </w:r>
          </w:p>
        </w:tc>
        <w:tc>
          <w:tcPr>
            <w:tcW w:w="1420" w:type="dxa"/>
            <w:vAlign w:val="bottom"/>
            <w:shd w:val="clear" w:color="auto" w:fill="CCEEFF"/>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into Level 3</w:t>
            </w:r>
          </w:p>
        </w:tc>
        <w:tc>
          <w:tcPr>
            <w:tcW w:w="142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losses (gains) included in earnings (realized and unrealized)</w:t>
            </w:r>
          </w:p>
        </w:tc>
        <w:tc>
          <w:tcPr>
            <w:tcW w:w="14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(196)</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420" w:type="dxa"/>
            <w:vAlign w:val="bottom"/>
          </w:tcPr>
          <w:p>
            <w:pPr>
              <w:spacing w:after="0"/>
              <w:rPr>
                <w:sz w:val="19"/>
                <w:szCs w:val="19"/>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7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4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 consideration, end of period</w:t>
            </w:r>
          </w:p>
        </w:tc>
        <w:tc>
          <w:tcPr>
            <w:tcW w:w="1420" w:type="dxa"/>
            <w:vAlign w:val="bottom"/>
            <w:tcBorders>
              <w:bottom w:val="single" w:sz="8" w:color="auto"/>
            </w:tcBorders>
          </w:tcPr>
          <w:p>
            <w:pPr>
              <w:jc w:val="right"/>
              <w:ind w:right="112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spacing w:after="0"/>
              <w:rPr>
                <w:sz w:val="19"/>
                <w:szCs w:val="19"/>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15—SEGMENT INFORMATION</w:t>
      </w:r>
    </w:p>
    <w:p>
      <w:pPr>
        <w:spacing w:after="0" w:line="166"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2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Home segment includes the following products: purchase mortgage, refinance mortgage, home equity loans and lines of credit, and reverse mortgage loans. The Consumer segment includes the following products: credit cards, personal loans, small business loans, student loans, auto loans, deposit accounts, and other credit products such as credit repair and debt settlement. The Insurance segment consists of insurance quote products and sales of insurance policies in the agency businesses.</w:t>
      </w:r>
    </w:p>
    <w:p>
      <w:pPr>
        <w:spacing w:after="0" w:line="127"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are a reconciliation of segment profit, which is the Company's primary segment profitability measure, to income before income taxes and discontinued operations. Segment marketing expense represents the portion of selling and</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marketing expense attributable to variable costs paid for advertising, direct marketing and related expenses, that are directly attributable to the segments' products. This measure excludes overhead, fixed costs and personnel-related expenses.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64,927</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84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237,836</w:t>
            </w:r>
          </w:p>
        </w:tc>
      </w:tr>
      <w:tr>
        <w:trPr>
          <w:trHeight w:val="21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40,810</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56,868</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47,663</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145,569</w:t>
            </w:r>
          </w:p>
        </w:tc>
      </w:tr>
      <w:tr>
        <w:trPr>
          <w:trHeight w:val="20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24,117</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45,793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22,568</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92,267</w:t>
            </w:r>
          </w:p>
        </w:tc>
      </w:tr>
      <w:tr>
        <w:trPr>
          <w:trHeight w:val="20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14,105</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31,306</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39,540</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14,043</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5,274</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6,582</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4"/>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(18,576)</w:t>
            </w:r>
          </w:p>
        </w:tc>
      </w:tr>
      <w:tr>
        <w:trPr>
          <w:trHeight w:val="213"/>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w:t>
            </w:r>
          </w:p>
        </w:tc>
      </w:tr>
      <w:tr>
        <w:trPr>
          <w:trHeight w:val="21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2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(22,773)</w:t>
            </w:r>
          </w:p>
        </w:tc>
      </w:tr>
      <w:tr>
        <w:trPr>
          <w:trHeight w:val="439"/>
        </w:trPr>
        <w:tc>
          <w:tcPr>
            <w:tcW w:w="5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112,422</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84,837</w:t>
            </w:r>
          </w:p>
        </w:tc>
        <w:tc>
          <w:tcPr>
            <w:tcW w:w="84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297,450</w:t>
            </w:r>
          </w:p>
        </w:tc>
      </w:tr>
      <w:tr>
        <w:trPr>
          <w:trHeight w:val="21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70,905</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55,295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58,227</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184,510</w:t>
            </w:r>
          </w:p>
        </w:tc>
      </w:tr>
      <w:tr>
        <w:trPr>
          <w:trHeight w:val="20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Segment profit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41,517</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44,716</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26,610</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112,940</w:t>
            </w:r>
          </w:p>
        </w:tc>
      </w:tr>
      <w:tr>
        <w:trPr>
          <w:trHeight w:val="20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15,020</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21,965</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40,126</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r>
      <w:tr>
        <w:trPr>
          <w:trHeight w:val="210"/>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7"/>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7,419</w:t>
            </w:r>
          </w:p>
        </w:tc>
      </w:tr>
      <w:tr>
        <w:trPr>
          <w:trHeight w:val="210"/>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(11,826)</w:t>
            </w:r>
          </w:p>
        </w:tc>
      </w:tr>
      <w:tr>
        <w:trPr>
          <w:trHeight w:val="214"/>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240,809</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309,873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232,025</w:t>
            </w:r>
          </w:p>
        </w:tc>
        <w:tc>
          <w:tcPr>
            <w:tcW w:w="84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782,937</w:t>
            </w: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154,043</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176,985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165,770</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497,441</w:t>
            </w: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86,766</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132,888</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66,255</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285,496</w:t>
            </w:r>
          </w:p>
        </w:tc>
      </w:tr>
      <w:tr>
        <w:trPr>
          <w:trHeight w:val="20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44,240</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68,128</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115,802</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42,413</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15,024</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21,574</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4"/>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(25,404)</w:t>
            </w:r>
          </w:p>
        </w:tc>
      </w:tr>
      <w:tr>
        <w:trPr>
          <w:trHeight w:val="21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(19,990)</w:t>
            </w:r>
          </w:p>
        </w:tc>
      </w:tr>
      <w:tr>
        <w:trPr>
          <w:trHeight w:val="210"/>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27"/>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(43,588)</w:t>
            </w:r>
          </w:p>
        </w:tc>
      </w:tr>
      <w:tr>
        <w:trPr>
          <w:trHeight w:val="426"/>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4"/>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6"/>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2"/>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8"/>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345,408</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260,714</w:t>
            </w:r>
          </w:p>
        </w:tc>
        <w:tc>
          <w:tcPr>
            <w:tcW w:w="84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840,214</w:t>
            </w:r>
          </w:p>
        </w:tc>
      </w:tr>
      <w:tr>
        <w:trPr>
          <w:trHeight w:val="210"/>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225,884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130,877</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168,024</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525,327</w:t>
            </w: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119,524</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102,717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92,690</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314,887</w:t>
            </w:r>
          </w:p>
        </w:tc>
      </w:tr>
      <w:tr>
        <w:trPr>
          <w:trHeight w:val="203"/>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42,849</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63,816</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114,926</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39,142</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12,969</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32,967</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(8,249)</w:t>
            </w:r>
          </w:p>
        </w:tc>
      </w:tr>
      <w:tr>
        <w:trPr>
          <w:trHeight w:val="21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0"/>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0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16,060</w:t>
            </w:r>
          </w:p>
        </w:tc>
      </w:tr>
      <w:tr>
        <w:trPr>
          <w:trHeight w:val="210"/>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(31,881)</w:t>
            </w:r>
          </w:p>
        </w:tc>
      </w:tr>
      <w:tr>
        <w:trPr>
          <w:trHeight w:val="212"/>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40,072</w:t>
            </w:r>
          </w:p>
        </w:tc>
      </w:tr>
      <w:tr>
        <w:trPr>
          <w:trHeight w:val="214"/>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 and discontinued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24,251</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16—DISCONTINUED OPERATIONS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LENDINGTREE, INC. AND SUBSIDIARIES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The components of net loss reported as discontinued operations in the accompanying consolidated statements of operations and comprehensive income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2060" w:type="dxa"/>
            <w:vAlign w:val="bottom"/>
            <w:gridSpan w:val="3"/>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2"/>
        </w:trPr>
        <w:tc>
          <w:tcPr>
            <w:tcW w:w="6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6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25"/>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5"/>
        </w:trPr>
        <w:tc>
          <w:tcPr>
            <w:tcW w:w="6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w:t>
            </w:r>
          </w:p>
        </w:tc>
        <w:tc>
          <w:tcPr>
            <w:tcW w:w="820" w:type="dxa"/>
            <w:vAlign w:val="bottom"/>
            <w:tcBorders>
              <w:bottom w:val="single" w:sz="8" w:color="auto"/>
            </w:tcBorders>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(3,516)</w:t>
            </w: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17—RESTRUCTURING ACTIVITIES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first quarter of 2022, the Company completed a workforce reduction of approximately 75 employees, and in the second quarter of 2022 completed a workforce reduction of approximately 25 employees. The Company incurred total expense of $3.8 million consisting of employee separation costs of $2.7 million and non-cash compensation expense of $1.1 million due to the accelerated vesting of certain equity awards. All employee separation costs are expected to be paid by the first quarter of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0" w:type="dxa"/>
            <w:vAlign w:val="bottom"/>
          </w:tcPr>
          <w:p>
            <w:pPr>
              <w:spacing w:after="0"/>
              <w:rPr>
                <w:sz w:val="12"/>
                <w:szCs w:val="12"/>
                <w:color w:val="auto"/>
              </w:rPr>
            </w:pPr>
          </w:p>
        </w:tc>
        <w:tc>
          <w:tcPr>
            <w:tcW w:w="2140" w:type="dxa"/>
            <w:vAlign w:val="bottom"/>
            <w:tcBorders>
              <w:top w:val="single" w:sz="8" w:color="auto"/>
            </w:tcBorders>
            <w:gridSpan w:val="2"/>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159"/>
              <w:spacing w:after="0" w:line="146" w:lineRule="exact"/>
              <w:rPr>
                <w:sz w:val="20"/>
                <w:szCs w:val="20"/>
                <w:color w:val="auto"/>
              </w:rPr>
            </w:pPr>
            <w:r>
              <w:rPr>
                <w:rFonts w:ascii="Times New Roman" w:cs="Times New Roman" w:eastAsia="Times New Roman" w:hAnsi="Times New Roman"/>
                <w:sz w:val="14"/>
                <w:szCs w:val="14"/>
                <w:b w:val="1"/>
                <w:bCs w:val="1"/>
                <w:color w:val="auto"/>
              </w:rPr>
              <w:t>Accrued Balance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Statement Impact</w:t>
            </w: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 action</w:t>
            </w:r>
          </w:p>
        </w:tc>
        <w:tc>
          <w:tcPr>
            <w:tcW w:w="1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separation payments</w:t>
            </w:r>
          </w:p>
        </w:tc>
        <w:tc>
          <w:tcPr>
            <w:tcW w:w="1400" w:type="dxa"/>
            <w:vAlign w:val="bottom"/>
          </w:tcPr>
          <w:p>
            <w:pPr>
              <w:jc w:val="right"/>
              <w:ind w:right="122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compensation</w:t>
            </w:r>
          </w:p>
        </w:tc>
        <w:tc>
          <w:tcPr>
            <w:tcW w:w="1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2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3,760</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9"/>
        </w:trPr>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0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66"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6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included elsewhere in this quarterly report and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the 2021 Annual Report.</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LendingTree, Inc. is the parent of LT Intermediate Company, LLC, which holds all of the outstanding ownership interests of LendingTree, LLC, and LendingTree, LLC owns several companies.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LendingTree Loans business is presented as discontinued operations in the accompanying consolidated balance sheets, consolidated statements of operations and comprehensive income and consolidated statements of cash flows for all periods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presented. Except for the discussion under the heading “Discontinued Operations,” the analysis within Management's Discussion and Analysis of Financial Condition and Results of Operations reflects our continuing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our three reportable segments, the Consumer segment was most impacted as unsecured credit and the flow of capital in certain areas of the market have contracted. Most of our selling and marketing expenses are variable costs that we adjust dynamically in relation to revenue opportunities to profitably meet demand. Thus, as our revenue was negatively impacted during the COVID-19 pandemic, our marketing expenses generally decreased in line with revenue.</w:t>
      </w:r>
    </w:p>
    <w:p>
      <w:pPr>
        <w:spacing w:after="0" w:line="127"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During the first nine months of 2022, the challenging interest rate environment combined with annual inflation persistently running above 8% has presented additional challenges for many of our mortgage lending and insurance partners. We have seen the most significant impact in our Home segment as mortgage rates have nearly doubled over the first nine months of 2022, causing a sharp decline in refinance volumes and more recent pressure on purchase</w:t>
      </w:r>
    </w:p>
    <w:p>
      <w:pPr>
        <w:spacing w:after="0" w:line="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activity. Although our Insurance segment continues to rebound from the trough in the fourth quarter of 2021, the recovery has been slower than expected as demand from our carrier partners remains volatile as premium increases continue to chase inflation.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three reportable segments: Home, Consumer, and Insurance.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Acquisitions</w:t>
      </w:r>
    </w:p>
    <w:p>
      <w:pPr>
        <w:spacing w:after="0" w:line="153" w:lineRule="exact"/>
        <w:rPr>
          <w:sz w:val="20"/>
          <w:szCs w:val="20"/>
          <w:color w:val="auto"/>
        </w:rPr>
      </w:pPr>
    </w:p>
    <w:p>
      <w:pPr>
        <w:jc w:val="both"/>
        <w:ind w:firstLine="318"/>
        <w:spacing w:after="0" w:line="234" w:lineRule="auto"/>
        <w:rPr>
          <w:sz w:val="20"/>
          <w:szCs w:val="20"/>
          <w:color w:val="auto"/>
        </w:rPr>
      </w:pPr>
      <w:r>
        <w:rPr>
          <w:rFonts w:ascii="Times New Roman" w:cs="Times New Roman" w:eastAsia="Times New Roman" w:hAnsi="Times New Roman"/>
          <w:sz w:val="18"/>
          <w:szCs w:val="18"/>
          <w:color w:val="auto"/>
        </w:rPr>
        <w:t>On February 28, 2020, we acquired an equity interest in Stash for $80.0 million. On January 6, 2021 we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the fourth quarter of 2021, we sold a portion of our investment in Stash for $46.3 million, realizing a gain on the sale of $27.9 million.</w:t>
      </w:r>
    </w:p>
    <w:p>
      <w:pPr>
        <w:spacing w:after="0" w:line="130"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 xml:space="preserve">In January 2022, the Company acquired an equity interest in EarnUp for $15.0 million. EarnUp is a consumer-first mortgage payment platform that intelligently automates loan payment scheduling and helps consumers better manage their money and improve their financial well-being.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7—Equity Investments for additional information on the equity interest in EarnUp.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Carolina Office Properties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new corporate office is located on approximately 176,000 square feet of office space in Charlotte, North Carolina under an approximate 15-year lease that contractually commenced in the second quarter of 2021.</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Mortgage Interest Rate Trends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1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dynamically adjust selling and marketing expenditures in all interest rate environments to optimize our results against these variables.</w:t>
      </w:r>
    </w:p>
    <w:p>
      <w:pPr>
        <w:spacing w:after="0" w:line="15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According to Freddie Mac, 30-year mortgage interest rates increased from a monthly average of 3.10% in December 2021 to a monthly average of 6.11% in September 2022. On a quarterly basis, 30-year mortgage interest rates in the third quarter of 2022 averaged 5.58%, compared to 2.87% in the third quarter of 2021 and 3.08%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82550</wp:posOffset>
            </wp:positionV>
            <wp:extent cx="5039995" cy="3617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39995" cy="361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19% of total mortgage origination dollars in the third quarter of 2022 compared to 53% in the fourth quarter of 2021. In the third quarter of 2022, total refinance origination dollars decreased 82% from the fourth quarter of 2021 and 84% from the third quarter of 2021. Industry-wide mortgage origination dollars in the third quarter of 2022 decreased 52% from the fourth quarter of 2021 and 55% from third quarter of 2021.</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October 2022, the MBA projected 30-year mortgage interest rates to increase during 2022, to an average 6.7% for the year. According to MBA projections, the mix of mortgage origination dollars is expected to move back towards purchase mortgages with the refinance share representing approximately 30% for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 Real Estate Market</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According to Fannie Mae data, existing-home sales decreased 24% in the third quarter of 2022 compared to the fourth quarter of 2021, and 22% compared to the third quarter of 2021. Fannie Mae predicts an overall decrease in existing-home sales of approximately 18% in 2022 compared to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MyLendingTree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consider certain metrics related to MyLendingTree set forth below to help us evaluate our business and growth trends and assess operational efficiencies. The calculation of the metrics discussed below may differ from other similarly titled metrics used by other companies, securities analysts or investors.</w:t>
      </w:r>
    </w:p>
    <w:p>
      <w:pPr>
        <w:spacing w:after="0" w:line="125"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We continued to grow our user base and added 0.8 million new users in the third quarter of 2022, bringing cumulative sign-ups to 23.9 million at September 30, 2022. We attribute $29 million of revenue in the third quarter of 2022 to registered MyLendingTree members across the LendingTree platform.</w:t>
      </w:r>
    </w:p>
    <w:p>
      <w:pPr>
        <w:spacing w:after="0" w:line="8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focus on improving the MyLendingTree experience for consumers remains a top priority. Becoming an integrated digital advisor will greatly improve the consumer experience, which we expect to result in higher levels of engagement improved membership growth rates, and ultimately stronger financial results.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60" w:type="dxa"/>
            <w:vAlign w:val="bottom"/>
            <w:gridSpan w:val="7"/>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8"/>
                <w:szCs w:val="18"/>
                <w:color w:val="auto"/>
              </w:rPr>
            </w:pPr>
          </w:p>
        </w:tc>
        <w:tc>
          <w:tcPr>
            <w:tcW w:w="30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50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ind w:right="382"/>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66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tcPr>
          <w:p>
            <w:pPr>
              <w:jc w:val="right"/>
              <w:ind w:right="201"/>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gridSpan w:val="4"/>
          </w:tcPr>
          <w:p>
            <w:pPr>
              <w:jc w:val="right"/>
              <w:ind w:right="361"/>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Home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64,927</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(47,495)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240,809</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345,408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(104,599)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Consumer</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100,011</w:t>
            </w:r>
          </w:p>
        </w:tc>
        <w:tc>
          <w:tcPr>
            <w:tcW w:w="1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2,650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309,873</w:t>
            </w: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233,594</w:t>
            </w:r>
          </w:p>
        </w:tc>
        <w:tc>
          <w:tcPr>
            <w:tcW w:w="160" w:type="dxa"/>
            <w:vAlign w:val="bottom"/>
          </w:tcPr>
          <w:p>
            <w:pPr>
              <w:spacing w:after="0"/>
              <w:rPr>
                <w:sz w:val="18"/>
                <w:szCs w:val="18"/>
                <w:color w:val="auto"/>
              </w:rPr>
            </w:pPr>
          </w:p>
        </w:tc>
        <w:tc>
          <w:tcPr>
            <w:tcW w:w="10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76,279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70,231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84,837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(14,606)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232,025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260,714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(28,689)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(163)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(268)</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237,836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297,450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(59,614)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782,937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840,214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(57,277)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16"/>
                <w:szCs w:val="16"/>
                <w:i w:val="1"/>
                <w:iCs w:val="1"/>
                <w:color w:val="auto"/>
              </w:rPr>
              <w:t>(exclusive of depreciation and</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14,105</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15,020</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(915)</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44,240</w:t>
            </w: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42,849</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1,391</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amortization shown separately below)</w:t>
            </w: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176,875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206,475</w:t>
            </w:r>
          </w:p>
        </w:tc>
        <w:tc>
          <w:tcPr>
            <w:tcW w:w="1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(29,600)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565,569</w:t>
            </w: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589,143</w:t>
            </w:r>
          </w:p>
        </w:tc>
        <w:tc>
          <w:tcPr>
            <w:tcW w:w="160" w:type="dxa"/>
            <w:vAlign w:val="bottom"/>
          </w:tcPr>
          <w:p>
            <w:pPr>
              <w:spacing w:after="0"/>
              <w:rPr>
                <w:sz w:val="18"/>
                <w:szCs w:val="18"/>
                <w:color w:val="auto"/>
              </w:rPr>
            </w:pPr>
          </w:p>
        </w:tc>
        <w:tc>
          <w:tcPr>
            <w:tcW w:w="10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(23,574)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40,126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(586)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114,926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876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14,043</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w:t>
            </w:r>
          </w:p>
        </w:tc>
        <w:tc>
          <w:tcPr>
            <w:tcW w:w="180" w:type="dxa"/>
            <w:vAlign w:val="bottom"/>
          </w:tcPr>
          <w:p>
            <w:pPr>
              <w:spacing w:after="0"/>
              <w:rPr>
                <w:sz w:val="18"/>
                <w:szCs w:val="18"/>
                <w:color w:val="auto"/>
              </w:rPr>
            </w:pPr>
          </w:p>
        </w:tc>
        <w:tc>
          <w:tcPr>
            <w:tcW w:w="9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659</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42,413</w:t>
            </w: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39,142</w:t>
            </w:r>
          </w:p>
        </w:tc>
        <w:tc>
          <w:tcPr>
            <w:tcW w:w="160" w:type="dxa"/>
            <w:vAlign w:val="bottom"/>
          </w:tcPr>
          <w:p>
            <w:pPr>
              <w:spacing w:after="0"/>
              <w:rPr>
                <w:sz w:val="18"/>
                <w:szCs w:val="18"/>
                <w:color w:val="auto"/>
              </w:rPr>
            </w:pPr>
          </w:p>
        </w:tc>
        <w:tc>
          <w:tcPr>
            <w:tcW w:w="10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3,271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12,969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2,055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6,582</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1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(3,763)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21,574</w:t>
            </w: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32,967</w:t>
            </w:r>
          </w:p>
        </w:tc>
        <w:tc>
          <w:tcPr>
            <w:tcW w:w="160" w:type="dxa"/>
            <w:vAlign w:val="bottom"/>
          </w:tcPr>
          <w:p>
            <w:pPr>
              <w:spacing w:after="0"/>
              <w:rPr>
                <w:sz w:val="18"/>
                <w:szCs w:val="18"/>
                <w:color w:val="auto"/>
              </w:rPr>
            </w:pPr>
          </w:p>
        </w:tc>
        <w:tc>
          <w:tcPr>
            <w:tcW w:w="10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(11,393)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6"/>
                <w:szCs w:val="16"/>
                <w:color w:val="auto"/>
              </w:rPr>
              <w:t>Change in fair value of contingent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196</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8,249</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consideration</w:t>
            </w: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and severance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8"/>
                <w:szCs w:val="18"/>
                <w:color w:val="auto"/>
              </w:rPr>
            </w:pPr>
          </w:p>
        </w:tc>
        <w:tc>
          <w:tcPr>
            <w:tcW w:w="9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24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0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3,713</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Litigation settlements and contingencies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(401)</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256,412</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290,031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(33,619)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808,341</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824,154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(15,813)</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0" w:type="dxa"/>
            <w:vAlign w:val="bottom"/>
          </w:tcPr>
          <w:p>
            <w:pPr>
              <w:spacing w:after="0"/>
              <w:rPr>
                <w:sz w:val="1"/>
                <w:szCs w:val="1"/>
                <w:color w:val="auto"/>
              </w:rPr>
            </w:pPr>
          </w:p>
        </w:tc>
      </w:tr>
      <w:tr>
        <w:trPr>
          <w:trHeight w:val="20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(18,576)</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7,419</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(25,995)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(25,404)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16,060</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(41,464)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(6,106)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(11,891)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1,523</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40,072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(38,266)</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income before income taxes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(22,773)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(18,366)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(43,588)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24,251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(67,839)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(280)%</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(135,910)</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(135,911)</w:t>
            </w:r>
          </w:p>
        </w:tc>
        <w:tc>
          <w:tcPr>
            <w:tcW w:w="10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(133,956)</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455</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(134,411)</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income from continuing operations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(158,683)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(4,406)</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(154,277)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(177,544)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24,706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(202,250)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net of tax</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rPr>
              <w:t>(3,512)</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154"/>
        </w:trPr>
        <w:tc>
          <w:tcPr>
            <w:tcW w:w="31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Net (loss) income and comprehensive (loss)</w:t>
            </w: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(158,684)</w:t>
            </w: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(154,224)</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(3,458)%</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(177,548)</w:t>
            </w:r>
          </w:p>
        </w:tc>
        <w:tc>
          <w:tcPr>
            <w:tcW w:w="24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21,190</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(198,738)</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(938)%</w:t>
            </w:r>
          </w:p>
        </w:tc>
        <w:tc>
          <w:tcPr>
            <w:tcW w:w="0" w:type="dxa"/>
            <w:vAlign w:val="bottom"/>
          </w:tcPr>
          <w:p>
            <w:pPr>
              <w:spacing w:after="0"/>
              <w:rPr>
                <w:sz w:val="1"/>
                <w:szCs w:val="1"/>
                <w:color w:val="auto"/>
              </w:rPr>
            </w:pPr>
          </w:p>
        </w:tc>
      </w:tr>
      <w:tr>
        <w:trPr>
          <w:trHeight w:val="219"/>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 decreased in the third quarter of 2022 compared to the third quarter of 2021, and in the first nine months of 2022 compared to the first nine months of 2021, due to decreases in our Home and Insurance segments, partially offset by an increase in our Consumer segment.</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$2.7 million, or 3%, in the third quarter of 2022 from the third quarter of 2021. Revenue from our Consumer segment increased $76.3 million, or 33%, in the first nine months of 2022 from the first nine months of 2021, primarily due to increases in our personal loans, small business loans, and credit cards. Many of our products in the Consumer segment experienced increases in revenue in the third quarter and first nine months of 2022 from the third quarter and first nine months of 2021 due to the recovery from the impacts of the COVID-19 pandemic.</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 from our personal loans product increased $3.9 million, or 12%, to $37.7 million in the third quarter of 2022 from $33.8 million in the third quarter of 2021, and increased $41.3 million, or 56%, to $115.2 million in the first nine months of</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from $73.9 million in the first nine months of 2021 primarily due to an increase in the number of consumers completing request forms.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 from our credit cards product decreased $2.6 million, or 10%, to $24.3 million in the third quarter of 2022 from $26.9 million in the third quarter of 2021 primarily due to a decrease in the number of consumer clicks. Revenue from our credit cards product increased $14.5 million, or 22%, to $81.4 million in the first nine months of 2022 compared to $67.0 million in the first nine months of 2021, due to an increase in revenue earned per click.</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the periods presented, no other products in our Consumer segment represented more than 10% of revenue; however, certain other Consumer products experienced notable changes. Revenue from our small business loans product increased $1.3 million, or 9%, in the third quarter of 2022 compared to the third quarter of 2021, primarily due to an increase in revenue earned per consumer. Revenue from our small business loans product increased $19.8 million, or 62%, in the first nine months of 2022 compared to the first nine months of 2021, primarily due to an increase in revenue earned per consumer and an increase in the number of consumers completing request forms.</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Home segment includes the following products: purchase mortgage, refinance mortgage, home equity loans, and reverse mortgage loans. Revenue from our Home segment decreased $47.5 million, or 42%, in the third quarter of 2022 from the third quarter of 2021, and $104.6 million, or 30%, in the first nine months of 2022 compared to the first nine months of 2021, primarily due to a decrease in revenue from our refinance mortgage product, partially offset by increases in our home equity and purchase mortgage products. Revenue from deposits increased $2.4 million, or 134%, in the third quarter of 2022 compared to the third quarter of 2021, and $3.3 million, or 52%, in the first nine months of 2022 compared to the first nine months of 2021, primarily due to increases in both revenue earned per consumer and in the number of consumers. Revenue from student loans decreased $3.3 million, or 40%, in the third quarter of 2022 compared to the third quarter of 2021, primarily due to a decrease in the number of consumers. Revenue from student loans decreased $5.8 million, or 43%, in the first nine months of 2022 compared to the first nine months of 2021, primarily due to revenue earned per consumer.</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Revenue from our mortgage products decreased $58.1 million, or 63%, to $34.5 million in the third quarter of 2022 from $92.6 million in the third quarter of 2021, and decreased $139.6 million or 47%, to $156.9 million in the first nine months of 2022 from $296.5 million in the first nine months of 2021. Revenue from our refinance mortgage product decreased $58.8 million in the third quarter of 2022 compared to the third quarter of 2021, and $150.4 million in the first nine months of 2022 compared to the first nine months of 2021, due to a decrease in the number of consumers completing request forms as interest rates have risen. Revenue from our purchase mortgage product increased $10.8 million in the first nine months of 2022 compared to the first nine months of 2021, primarily due to an increase in revenue earned per consumer.</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Revenue from our home equity loans product increased $10.0 million, or 52%, to $29.0 million in the third quarter of 2022 from $19.0 million in to the third quarter of 2021, and increased $34.0 million, or 73%, to $80.5 million in the first nine months of 2022 from $46.5 million in the first nine months of 2021, primarily due to increases in consumers completing request forms and in revenue earned per consumer.</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from our Insurance segment decreased $14.6 million, or 17%, to $70.2 million in the third quarter of 2022 from $84.8 million in the third quarter of 2021 due to decreases in the number of consumers seeking insurance coverage and in revenue earned per consumer. Revenue from our Insurance segment decreased $28.7 million, or 11%, to $232.0 million in the first nine months of 2022 from $260.7 million in the first nine months of 2021 due to a decrease in the number of consumers seeking insurance coverage, partially offset by an increase in revenue earned per consumer.</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 of revenue decreased in the third quarter of 2022 from the third quarter of 2021 by $0.9 million. Cost of revenue increased $1.4 million in the first nine months of 2022 from the first nine months of 2021, due to an increase in website network hosting and server hosting fees.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 of revenue as a percentage of revenue increased to 6% in the third quarter of 2022 compared to 5% in the third quarter of 2021, and increased to 6% in the first nine months of 2022 compared to 5% in the first nine months of 2021.</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Selling and marketing expense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Selling and marketing expense decreased in the third quarter of 2022 compared to the third quarter 2021 by $29.6 million and decreased in the first nine months of 2022 from the first nine months of 2021 by $23.6 million, primarily due to the changes in advertising and promotional expense discussed below. Additionally, compensation and benefits decreased $1.2 million in the third quarter of 2022 compared to the third quarter 2021.</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and promotional expense is the largest component of selling and marketing expense, and is comprised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0"/>
                <w:szCs w:val="10"/>
                <w:color w:val="auto"/>
              </w:rPr>
            </w:pPr>
          </w:p>
        </w:tc>
        <w:tc>
          <w:tcPr>
            <w:tcW w:w="7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108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41"/>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0"/>
                <w:szCs w:val="10"/>
                <w:color w:val="auto"/>
              </w:rPr>
            </w:pPr>
          </w:p>
        </w:tc>
        <w:tc>
          <w:tcPr>
            <w:tcW w:w="78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0"/>
                <w:szCs w:val="10"/>
                <w:color w:val="auto"/>
              </w:rPr>
            </w:pPr>
          </w:p>
        </w:tc>
        <w:tc>
          <w:tcPr>
            <w:tcW w:w="1060" w:type="dxa"/>
            <w:vAlign w:val="bottom"/>
          </w:tcPr>
          <w:p>
            <w:pPr>
              <w:jc w:val="right"/>
              <w:ind w:right="618"/>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438"/>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60" w:type="dxa"/>
            <w:vAlign w:val="bottom"/>
            <w:gridSpan w:val="4"/>
          </w:tcPr>
          <w:p>
            <w:pPr>
              <w:jc w:val="right"/>
              <w:ind w:right="395"/>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Online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145,478</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(39,736)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495,662</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527,073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(31,411)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5"/>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Broadcast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20" w:type="dxa"/>
            <w:vAlign w:val="bottom"/>
          </w:tcPr>
          <w:p>
            <w:pPr>
              <w:spacing w:after="0"/>
              <w:rPr>
                <w:sz w:val="19"/>
                <w:szCs w:val="19"/>
                <w:color w:val="auto"/>
              </w:rPr>
            </w:pPr>
          </w:p>
        </w:tc>
        <w:tc>
          <w:tcPr>
            <w:tcW w:w="1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12,087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20" w:type="dxa"/>
            <w:vAlign w:val="bottom"/>
          </w:tcPr>
          <w:p>
            <w:pPr>
              <w:spacing w:after="0"/>
              <w:rPr>
                <w:sz w:val="19"/>
                <w:szCs w:val="19"/>
                <w:color w:val="auto"/>
              </w:rPr>
            </w:pPr>
          </w:p>
        </w:tc>
        <w:tc>
          <w:tcPr>
            <w:tcW w:w="1060" w:type="dxa"/>
            <w:vAlign w:val="bottom"/>
          </w:tcPr>
          <w:p>
            <w:pPr>
              <w:jc w:val="right"/>
              <w:ind w:right="198"/>
              <w:spacing w:after="0"/>
              <w:rPr>
                <w:sz w:val="20"/>
                <w:szCs w:val="20"/>
                <w:color w:val="auto"/>
              </w:rPr>
            </w:pPr>
            <w:r>
              <w:rPr>
                <w:rFonts w:ascii="Times New Roman" w:cs="Times New Roman" w:eastAsia="Times New Roman" w:hAnsi="Times New Roman"/>
                <w:sz w:val="18"/>
                <w:szCs w:val="18"/>
                <w:color w:val="auto"/>
              </w:rPr>
              <w:t>9,881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5"/>
        </w:trPr>
        <w:tc>
          <w:tcPr>
            <w:tcW w:w="25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(754)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(1,943)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5"/>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advertising expense</w:t>
            </w: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163,144</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(28,403)</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523,372</w:t>
            </w:r>
          </w:p>
        </w:tc>
        <w:tc>
          <w:tcPr>
            <w:tcW w:w="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546,845</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rPr>
              <w:t>(23,473)</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the periods presented, advertising and promotional expenses are equivalent to our variable marketing expense.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Variable Marketing Margin below for additional information on variable marketing expense.</w:t>
      </w:r>
    </w:p>
    <w:p>
      <w:pPr>
        <w:spacing w:after="0" w:line="5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adjusted our advertising expenditures in the third quarter and first nine months of 2022 compared to the third quarter and first nine months of 2021 in response to changes in Network Partner demand on our marketplace. We will continue to adjust selling and marketing expenditures dynamically in response to anticipated revenue opportunities.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 decreased in the third quarter of 2022 compared to the third quarter of 2021, due to a $2.6 million decrease in compensation and benefits, partially offset by an increase in technology expenses of $1.6 million. General and administrative expense increased in the first nine months of 2022 compared to the first nine months of 2021 primarily due to increases in technology of $4.2 million, loss on assets of $1.6 million, other tax expense of $1.5 million, an increase in travel and entertainment expenses of $1.5 million, and an increase in fees and charges of $1.3 million, partially offset by decreases in compensation and benefits of $7.6 million and a decrease in professional fees of $1.8 million.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General and administrative expense as a percentage of revenue in the third quarter of 2022 was 17% compared to 13% for the third quarter of 2021, and 15% for the first nine months of 2022 compared to 14% for the first nine months of 2021.</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Product development expense increased in the third quarter and first nine months of 2022 compared to the third quarter and first nine months of 2021 as we continued to invest in internal development of new and enhanced features, functionality and business opportunities that we believe will enable us to better and more fully serve consumers and Network Partners.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Amortization of intangibles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decrease in amortization of intangibles in the third quarter and first nine months of 2022 compared to the third quarter and first nine months of 2021 was due to certain intangible assets associated with our recent business acquisitions becoming fully amortized.</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third quarter and first nine months of 2022, we did not record contingent consideration expense. All earnouts were completed prior to 2022.</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third quarter and first nine months of 2021, we recorded an aggregate gain of $0.2 million and $8.2 million respectively, due to adjustments in the estimated fair value of the earnout payments related to the QuoteWizard acquisition.</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Restructuring and severance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the first quarter of 2022, we completed a workforce reduction of approximately 75 employees, and in the second quarter of 2022 completed a workforce reduction of approximately 25 employees. The Company incurred total expense of $3.8 million consisting of employee separation costs of $2.7 million and non-cash compensation expense of $1.1 million due to the accelerated vesting of certain equity awards. All employee separation costs are expected to be paid by the first quarter of 2023.</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decreased in the third quarter and first nine months of 2022 compared to the third quarter and first nine months of 2021 primarily due to the adoption of ASU 2020-06 on January 1, 2022, whereby we derecognized the remaining debt discounts on the 2022 Notes and 2025 Notes and therefore no longer recognize any amortization of debt discounts as interest expense partially offset by an increase in interest from our Term Loan Facility.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Note—2 Significant Accounting Policies for additional information.</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For the first nine months of 2021, other income primarily consists of a $40.1 million gain on our investment in Stash as a result of an adjustment to the fair value based on observable market events.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7—Equity Investments for additional information on the equity interest in Stash.</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For the third quarter and first nine months of 2022, the effective tax rate varied from the federal statutory rate of 21% primarily due to expense of $139.7 million to record a full valuation allowance against our net deferred tax assets, excess tax expense of $1.8 million and $4.7 million, respectively, resulting from vesting of restricted stock in accordance with ASU 2016-09 and the effect of state taxes.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11—Income Taxes for additional information on the valuation allowance.</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third quarter and first nine months of 2021, the effective tax rate varied from the federal statutory rate of 21% in part due to an excess tax expense of $0.9 million and an excess tax benefit of $7.4 million, respectively, resulting from employee exercises of stock options and vesting of restricted stock in accordance with ASU 2016-09 and the effect of state taxes.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Segment Profit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0" w:type="dxa"/>
            <w:vAlign w:val="bottom"/>
            <w:gridSpan w:val="4"/>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2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0"/>
                <w:szCs w:val="10"/>
                <w:color w:val="auto"/>
              </w:rPr>
            </w:pPr>
          </w:p>
        </w:tc>
        <w:tc>
          <w:tcPr>
            <w:tcW w:w="8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0"/>
                <w:szCs w:val="10"/>
                <w:color w:val="auto"/>
              </w:rPr>
            </w:pPr>
          </w:p>
        </w:tc>
        <w:tc>
          <w:tcPr>
            <w:tcW w:w="1100" w:type="dxa"/>
            <w:vAlign w:val="bottom"/>
          </w:tcPr>
          <w:p>
            <w:pPr>
              <w:jc w:val="right"/>
              <w:ind w:right="657"/>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ind w:right="479"/>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0"/>
                <w:szCs w:val="10"/>
                <w:color w:val="auto"/>
              </w:rPr>
            </w:pPr>
          </w:p>
        </w:tc>
        <w:tc>
          <w:tcPr>
            <w:tcW w:w="90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0"/>
                <w:szCs w:val="10"/>
                <w:color w:val="auto"/>
              </w:rPr>
            </w:pPr>
          </w:p>
        </w:tc>
        <w:tc>
          <w:tcPr>
            <w:tcW w:w="1040" w:type="dxa"/>
            <w:vAlign w:val="bottom"/>
          </w:tcPr>
          <w:p>
            <w:pPr>
              <w:jc w:val="right"/>
              <w:ind w:right="597"/>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457"/>
              <w:spacing w:after="0" w:line="126"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8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i w:val="1"/>
                <w:iCs w:val="1"/>
                <w:color w:val="auto"/>
              </w:rPr>
              <w:t>(Dollars in thousands)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2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41,517</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(17,400)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86,766</w:t>
            </w:r>
          </w:p>
        </w:tc>
        <w:tc>
          <w:tcPr>
            <w:tcW w:w="2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119,524</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(32,758)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5"/>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44,716</w:t>
            </w:r>
          </w:p>
        </w:tc>
        <w:tc>
          <w:tcPr>
            <w:tcW w:w="240" w:type="dxa"/>
            <w:vAlign w:val="bottom"/>
          </w:tcPr>
          <w:p>
            <w:pPr>
              <w:spacing w:after="0"/>
              <w:rPr>
                <w:sz w:val="19"/>
                <w:szCs w:val="19"/>
                <w:color w:val="auto"/>
              </w:rPr>
            </w:pP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1,077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102,717</w:t>
            </w:r>
          </w:p>
        </w:tc>
        <w:tc>
          <w:tcPr>
            <w:tcW w:w="20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30,171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5"/>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(4,042)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66,255</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92,690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(26,435)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rPr>
              <w:t>(308)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(369)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 %</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92,267</w:t>
            </w:r>
          </w:p>
        </w:tc>
        <w:tc>
          <w:tcPr>
            <w:tcW w:w="2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112,940</w:t>
            </w:r>
          </w:p>
        </w:tc>
        <w:tc>
          <w:tcPr>
            <w:tcW w:w="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b w:val="1"/>
                <w:bCs w:val="1"/>
                <w:color w:val="auto"/>
              </w:rPr>
              <w:t>(20,673)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285,496</w:t>
            </w: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314,887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b w:val="1"/>
                <w:bCs w:val="1"/>
                <w:color w:val="auto"/>
              </w:rPr>
              <w:t>(29,391)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15— Segment Information in the notes to the consolidated financial statements for additional information on segments and a reconciliation of segment profit to pre-tax income from continuing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home equity product achieved record revenue in the third quarter of 2022, with a 52% increase in the third quarter of 2022 from the third quarter of 2021. Purchase revenue increased 4% in the third quarter of 2022 compared to the third quarter of 2021 despite volumes declining 29% in the third quarter of 2022 compared to the third quarter of 2021. Revenue per lead for purchase loans continues to expand having become more valuable to our lending partners in this difficult origination market. However, limited home inventory and overall affordability is expected to continue to weigh on overall home sale volumes.</w:t>
      </w:r>
    </w:p>
    <w:p>
      <w:pPr>
        <w:spacing w:after="0" w:line="11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30-year fixed mortgage rate at the end of the third quarter, as measured by the Freddie Mac Mortgage Market Survey, reached the highest level recorded since 2006 at 6.7%, negatively impacting already depressed loan origination volumes. The number of consumers with an incentive to refinance has dropped to levels last seen in January 2000, according to the August 2022 Black Knight Mortgage Monitor. Near record home prices coupled with higher mortgage rates led to a 24% decrease in existing home sales in September 2022 compared to September 2021.</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home lending partners continue to adjust their origination capacity to the rapidly changing housing market. As a result, revenue in the Home segment decreased 42% to $64.9 million in the third quarter of 2022 from the third quarter of 2021, with segment profit of $24.1 million in the third quarter of 2022, a decrease of 42% from the third quarter of 2021. Importantly, our variable model allowed us to generate a 37% segment margin in the third quarter, which was consistent with that of the third quarter of 2021, as decreased revenue per lead was offset by a similar decline in cost per lead.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Growth in our Consumer segment continued, although the pace of growth has slowed as expected, with revenue of $102.7 million in the third quarter of 2022, an increase of 3% from the third quarter of 2021, and segment profit of $45.8 million in the third quarter of 2022, an increase of 2% from the third quarter of 2021.</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Personal loans revenue of $37.7 million in the third quarter of 2022 increased 12% from the third quarter of 2021 as debt consolidation remains attractive with consumer credit card balances continuing to rise. Many of our partners have tightened their underwriting criteria in order to reduce portfolio risk given recession fears, focusing their customer acquisition activity on consumers with somewhat higher credit quality.</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Small business performed well this quarter, achieving revenue growth of 9% in the third quarter of 2022 compared to the third quarter of 2021. We continue to focus on lender performance to grow originations and improve conversion rates. By optimizing our marketing mix, we have aimed to increase the quality of our leads which benefits lenders and increases profitability. We are working on providing new product offerings and expanding data capabilities to provide real-time borrower cash flow insights, with a focus on being a valued partner to our lenders to gain share in this quickly evolving market over time.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credit card business generated revenue of $24.3 million in the third quarter of 2022, a decrease of 10% from the third quarter of 2021, as high levels of competition in the quarter drove a decline in volume. Revenue per click growth continued in the quarter, increasing 3% in the third quarter of 2022 from the third quarter of 2021. Margins in the segment remain lower than historical levels as we prioritize capturing partner spend and maximizing variable marketing dollars. We aim to continue to diversify our marketing mix to pursue more profitable marketing channels and partnerships to expand our reach and attract more consumers.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student loan business, which typically has seasonally strong performance in the third quarter, continues to be negatively impacted by the extension of the government’s loan payment moratorium. However, loan payments are expected to resume beginning in 2023. We believe borrowers will be looking for opportunities to refinance their student debt as payments have been paused since the onset of the pandemic. Our deposits business is growing quickly again as consumers are looking to capitalize on higher interest rates for their savings.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auto and home insurance industry continues to be impacted by persistent industry headwinds, supply chain issues, rising accident severity and frequency, and more recently hurricane losses. Although consumer search volumes are running at all-time highs, the difficult operating environment for our carrier partners limited growth in the quarter. Revenue was $70.2 million in the third quarter of 2022, a decrease of 17% from the third quarter of 2021. Segment profit of $22.6 million in the third quarter of 2022 decreased 15% from the third quarter of 2021.</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do not expect property &amp; casualty carriers to return with meaningful budget increases until next year. Most of our top partners have lowered budgets due to profitability concerns and outsized losses from Hurricane Ian. Given our focus on lead quality and margin performance, we believe we are well positioned to capture additional share of carrier marketing spend when budgets begin to grow again.</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report variable marketing margin as a supplemental measure to GAAP. This measure is the primary metric by which we measure the effectiveness of our marketing efforts. Variable marketing margin is a measure of the efficiency of our operating model, measuring revenue after subtracting variable marketing and advertising costs that directly influence revenue.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2"/>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237,836</w:t>
            </w:r>
          </w:p>
        </w:tc>
        <w:tc>
          <w:tcPr>
            <w:tcW w:w="5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782,937</w:t>
            </w:r>
          </w:p>
        </w:tc>
        <w:tc>
          <w:tcPr>
            <w:tcW w:w="5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840,214</w:t>
            </w:r>
          </w:p>
        </w:tc>
      </w:tr>
      <w:tr>
        <w:trPr>
          <w:trHeight w:val="225"/>
        </w:trPr>
        <w:tc>
          <w:tcPr>
            <w:tcW w:w="6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Variable marketing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163,144</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191,547</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523,372</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546,845</w:t>
            </w:r>
          </w:p>
        </w:tc>
      </w:tr>
      <w:tr>
        <w:trPr>
          <w:trHeight w:val="225"/>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74,692</w:t>
            </w:r>
          </w:p>
        </w:tc>
        <w:tc>
          <w:tcPr>
            <w:tcW w:w="5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105,903</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259,565</w:t>
            </w:r>
          </w:p>
        </w:tc>
        <w:tc>
          <w:tcPr>
            <w:tcW w:w="50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293,369</w:t>
            </w: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is a reconciliation of selling and marketing expense to variable marketing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20" w:type="dxa"/>
            <w:vAlign w:val="bottom"/>
            <w:gridSpan w:val="3"/>
          </w:tcPr>
          <w:p>
            <w:pPr>
              <w:jc w:val="center"/>
              <w:ind w:right="3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4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4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2"/>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176,875</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206,475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565,569</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589,143</w:t>
            </w:r>
          </w:p>
        </w:tc>
      </w:tr>
      <w:tr>
        <w:trPr>
          <w:trHeight w:val="225"/>
        </w:trPr>
        <w:tc>
          <w:tcPr>
            <w:tcW w:w="4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Non-variable selling and marketing expense</w:t>
            </w:r>
          </w:p>
        </w:tc>
        <w:tc>
          <w:tcPr>
            <w:tcW w:w="1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(13,731)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(14,928)</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(42,197)</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97"/>
              </w:rPr>
              <w:t>(42,298)</w:t>
            </w:r>
          </w:p>
        </w:tc>
      </w:tr>
      <w:tr>
        <w:trPr>
          <w:trHeight w:val="225"/>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expense</w:t>
            </w:r>
          </w:p>
        </w:tc>
        <w:tc>
          <w:tcPr>
            <w:tcW w:w="19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163,144</w:t>
            </w:r>
          </w:p>
        </w:tc>
        <w:tc>
          <w:tcPr>
            <w:tcW w:w="48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191,547</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523,372</w:t>
            </w:r>
          </w:p>
        </w:tc>
        <w:tc>
          <w:tcPr>
            <w:tcW w:w="48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546,845</w:t>
            </w:r>
          </w:p>
        </w:tc>
      </w:tr>
      <w:tr>
        <w:trPr>
          <w:trHeight w:val="875"/>
        </w:trPr>
        <w:tc>
          <w:tcPr>
            <w:tcW w:w="4400" w:type="dxa"/>
            <w:vAlign w:val="bottom"/>
          </w:tcPr>
          <w:p>
            <w:pPr>
              <w:spacing w:after="0"/>
              <w:rPr>
                <w:sz w:val="24"/>
                <w:szCs w:val="24"/>
                <w:color w:val="auto"/>
              </w:rPr>
            </w:pPr>
          </w:p>
        </w:tc>
        <w:tc>
          <w:tcPr>
            <w:tcW w:w="16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1"/>
        </w:trPr>
        <w:tc>
          <w:tcPr>
            <w:tcW w:w="44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is a reconciliation of net (loss) income from continuing operations to variable marketing margin </w:t>
      </w:r>
      <w:r>
        <w:rPr>
          <w:rFonts w:ascii="Times New Roman" w:cs="Times New Roman" w:eastAsia="Times New Roman" w:hAnsi="Times New Roman"/>
          <w:sz w:val="18"/>
          <w:szCs w:val="18"/>
          <w:i w:val="1"/>
          <w:i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6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6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8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6"/>
                <w:szCs w:val="16"/>
                <w:color w:val="auto"/>
              </w:rPr>
            </w:pPr>
          </w:p>
        </w:tc>
        <w:tc>
          <w:tcPr>
            <w:tcW w:w="7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6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8"/>
        </w:trPr>
        <w:tc>
          <w:tcPr>
            <w:tcW w:w="6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from continuing operations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(158,683)</w:t>
            </w:r>
          </w:p>
        </w:tc>
        <w:tc>
          <w:tcPr>
            <w:tcW w:w="5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(4,406)</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(177,544)</w:t>
            </w:r>
          </w:p>
        </w:tc>
        <w:tc>
          <w:tcPr>
            <w:tcW w:w="5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24,706</w:t>
            </w:r>
          </w:p>
        </w:tc>
      </w:tr>
      <w:tr>
        <w:trPr>
          <w:trHeight w:val="232"/>
        </w:trPr>
        <w:tc>
          <w:tcPr>
            <w:tcW w:w="6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variable marketing margin: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14,105</w:t>
            </w: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44,240</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42,849</w:t>
            </w:r>
          </w:p>
        </w:tc>
      </w:tr>
      <w:tr>
        <w:trPr>
          <w:trHeight w:val="225"/>
        </w:trPr>
        <w:tc>
          <w:tcPr>
            <w:tcW w:w="6040" w:type="dxa"/>
            <w:vAlign w:val="bottom"/>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 xml:space="preserve">Non-variable selling and marketing expense </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13,731</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14,928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42,197</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42,298</w:t>
            </w: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39,540</w:t>
            </w: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115,802</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114,926</w:t>
            </w:r>
          </w:p>
        </w:tc>
      </w:tr>
      <w:tr>
        <w:trPr>
          <w:trHeight w:val="225"/>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 development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14,043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42,413</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39,142</w:t>
            </w: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5,274</w:t>
            </w: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15,024</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12,969</w:t>
            </w:r>
          </w:p>
        </w:tc>
      </w:tr>
      <w:tr>
        <w:trPr>
          <w:trHeight w:val="225"/>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6,582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21,574</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32,967</w:t>
            </w: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(8,249)</w:t>
            </w:r>
          </w:p>
        </w:tc>
      </w:tr>
      <w:tr>
        <w:trPr>
          <w:trHeight w:val="225"/>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3,760</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360</w:t>
            </w:r>
          </w:p>
        </w:tc>
      </w:tr>
      <w:tr>
        <w:trPr>
          <w:trHeight w:val="225"/>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5,720</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19,990</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31,881</w:t>
            </w:r>
          </w:p>
        </w:tc>
      </w:tr>
      <w:tr>
        <w:trPr>
          <w:trHeight w:val="225"/>
        </w:trPr>
        <w:tc>
          <w:tcPr>
            <w:tcW w:w="6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(1,523)</w:t>
            </w:r>
          </w:p>
        </w:tc>
        <w:tc>
          <w:tcPr>
            <w:tcW w:w="5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(1,806)</w:t>
            </w:r>
          </w:p>
        </w:tc>
        <w:tc>
          <w:tcPr>
            <w:tcW w:w="520" w:type="dxa"/>
            <w:vAlign w:val="bottom"/>
          </w:tcPr>
          <w:p>
            <w:pPr>
              <w:spacing w:after="0"/>
              <w:rPr>
                <w:sz w:val="19"/>
                <w:szCs w:val="19"/>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(40,072)</w:t>
            </w:r>
          </w:p>
        </w:tc>
      </w:tr>
      <w:tr>
        <w:trPr>
          <w:trHeight w:val="225"/>
        </w:trPr>
        <w:tc>
          <w:tcPr>
            <w:tcW w:w="6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135,910</w:t>
            </w: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133,956</w:t>
            </w:r>
          </w:p>
        </w:tc>
        <w:tc>
          <w:tcPr>
            <w:tcW w:w="5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(455)</w:t>
            </w:r>
          </w:p>
        </w:tc>
      </w:tr>
      <w:tr>
        <w:trPr>
          <w:trHeight w:val="219"/>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marketing margin</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74,692</w:t>
            </w:r>
          </w:p>
        </w:tc>
        <w:tc>
          <w:tcPr>
            <w:tcW w:w="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105,903</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259,565</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293,369</w:t>
            </w:r>
          </w:p>
        </w:tc>
      </w:tr>
    </w:tbl>
    <w:p>
      <w:pPr>
        <w:spacing w:after="0" w:line="260" w:lineRule="exact"/>
        <w:rPr>
          <w:sz w:val="20"/>
          <w:szCs w:val="20"/>
          <w:color w:val="auto"/>
        </w:rPr>
      </w:pPr>
    </w:p>
    <w:p>
      <w:pPr>
        <w:ind w:left="400" w:right="80" w:hanging="255"/>
        <w:spacing w:after="0" w:line="234"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dividend income, and (9)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One-Time Items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SEC rules. For the periods presented below, one-time items consisted of the franchise tax caused by the equity investment gain in Stash.</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Non-Cash Expenses that are Excluded from Adjusted EBITDA</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is a reconciliation of net (loss) income from continuing operations to Adjusted EBITDA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4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from continuing operations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(158,683)</w:t>
            </w:r>
          </w:p>
        </w:tc>
        <w:tc>
          <w:tcPr>
            <w:tcW w:w="4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(177,544)</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24,706</w:t>
            </w:r>
          </w:p>
        </w:tc>
      </w:tr>
      <w:tr>
        <w:trPr>
          <w:trHeight w:val="225"/>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to Adjusted EBITDA: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6,582</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21,574</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32,967</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5,274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15,024</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12,969</w:t>
            </w: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3,760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impairments and disposal of assets</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834</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4,261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(40,072)</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15,575</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46,907</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51,804</w:t>
            </w: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Franchise tax caused by equity investment gain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1,500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and contingencies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25"/>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5,720</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19,990</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31,881</w:t>
            </w:r>
          </w:p>
        </w:tc>
      </w:tr>
      <w:tr>
        <w:trPr>
          <w:trHeight w:val="225"/>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4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135,910</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133,956</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9,786</w:t>
            </w:r>
          </w:p>
        </w:tc>
        <w:tc>
          <w:tcPr>
            <w:tcW w:w="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40,997</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67,753</w:t>
            </w:r>
          </w:p>
        </w:tc>
        <w:tc>
          <w:tcPr>
            <w:tcW w:w="4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109,975</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2022, we had $285.5 million of cash and cash equivalents, compared to $251.2 million of cash and cash equivalents as of December 31, 2021.</w:t>
      </w:r>
    </w:p>
    <w:p>
      <w:pPr>
        <w:spacing w:after="0" w:line="5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In the first quarter of 2022, we acquired an equity interest in EarnUp Inc. (“EarnUp”) for $15.0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7—Equity Investments to the consolidated financial statements included elsewhere in this report for additional information on the equity interest.</w:t>
      </w:r>
    </w:p>
    <w:p>
      <w:pPr>
        <w:spacing w:after="0" w:line="5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On May 31, 2022, we drew $250.0 million on the Term Loan Facility. A portion of this was used to pay the outstanding balance of $169.7 million and interest on our 0.625% Convertible Senior Notes that matured on June 1, 2022.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12—Debt for additional information.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ongoing COVID-19 pandemic and inflation on our liquidity and capital resources.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2022 Notes, including interest. The remaining proceeds of $79.8 million may be used for general corporate purposes and any other purposes not prohibited by the Credit Agreement.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12—Debt for additional information.</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November 4, 2022, we have outstanding $249.4 million under the Term Loan Facility, a $0.2 million letter of credit under the Revolving Facility and the remaining borrowing capacity under the Revolving Facility is $199.8 million.</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cash flows attributable to continuing operations are as follows:</w:t>
      </w:r>
    </w:p>
    <w:p>
      <w:pPr>
        <w:spacing w:after="0" w:line="121" w:lineRule="exact"/>
        <w:rPr>
          <w:sz w:val="20"/>
          <w:szCs w:val="20"/>
          <w:color w:val="auto"/>
        </w:rPr>
      </w:pP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7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2"/>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6"/>
                <w:szCs w:val="16"/>
                <w:color w:val="auto"/>
              </w:rPr>
            </w:pPr>
          </w:p>
        </w:tc>
      </w:tr>
      <w:tr>
        <w:trPr>
          <w:trHeight w:val="23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6"/>
              </w:rPr>
              <w:t>26,329</w:t>
            </w:r>
          </w:p>
        </w:tc>
        <w:tc>
          <w:tcPr>
            <w:tcW w:w="4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88,893</w:t>
            </w: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980" w:type="dxa"/>
            <w:vAlign w:val="bottom"/>
          </w:tcPr>
          <w:p>
            <w:pPr>
              <w:jc w:val="center"/>
              <w:ind w:left="139"/>
              <w:spacing w:after="0"/>
              <w:rPr>
                <w:sz w:val="20"/>
                <w:szCs w:val="20"/>
                <w:color w:val="auto"/>
              </w:rPr>
            </w:pPr>
            <w:r>
              <w:rPr>
                <w:rFonts w:ascii="Times New Roman" w:cs="Times New Roman" w:eastAsia="Times New Roman" w:hAnsi="Times New Roman"/>
                <w:sz w:val="18"/>
                <w:szCs w:val="18"/>
                <w:color w:val="auto"/>
                <w:w w:val="97"/>
              </w:rPr>
              <w:t>(25,410)</w:t>
            </w:r>
          </w:p>
        </w:tc>
        <w:tc>
          <w:tcPr>
            <w:tcW w:w="480" w:type="dxa"/>
            <w:vAlign w:val="bottom"/>
          </w:tcPr>
          <w:p>
            <w:pPr>
              <w:spacing w:after="0"/>
              <w:rPr>
                <w:sz w:val="19"/>
                <w:szCs w:val="19"/>
                <w:color w:val="auto"/>
              </w:rPr>
            </w:pPr>
          </w:p>
        </w:tc>
        <w:tc>
          <w:tcPr>
            <w:tcW w:w="7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7"/>
              </w:rPr>
              <w:t>(31,695)</w:t>
            </w:r>
          </w:p>
        </w:tc>
      </w:tr>
      <w:tr>
        <w:trPr>
          <w:trHeight w:val="225"/>
        </w:trPr>
        <w:tc>
          <w:tcPr>
            <w:tcW w:w="8720" w:type="dxa"/>
            <w:vAlign w:val="bottom"/>
            <w:tcBorders>
              <w:bottom w:val="single" w:sz="8" w:color="999999"/>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999999"/>
            </w:tcBorders>
            <w:shd w:val="clear" w:color="auto" w:fill="CCEEFF"/>
          </w:tcPr>
          <w:p>
            <w:pPr>
              <w:spacing w:after="0"/>
              <w:rPr>
                <w:sz w:val="19"/>
                <w:szCs w:val="19"/>
                <w:color w:val="auto"/>
              </w:rPr>
            </w:pPr>
          </w:p>
        </w:tc>
        <w:tc>
          <w:tcPr>
            <w:tcW w:w="980" w:type="dxa"/>
            <w:vAlign w:val="bottom"/>
            <w:tcBorders>
              <w:bottom w:val="single" w:sz="8" w:color="999999"/>
            </w:tcBorders>
            <w:shd w:val="clear" w:color="auto" w:fill="CCEEFF"/>
          </w:tcPr>
          <w:p>
            <w:pPr>
              <w:jc w:val="center"/>
              <w:ind w:left="179"/>
              <w:spacing w:after="0"/>
              <w:rPr>
                <w:sz w:val="20"/>
                <w:szCs w:val="20"/>
                <w:color w:val="auto"/>
              </w:rPr>
            </w:pPr>
            <w:r>
              <w:rPr>
                <w:rFonts w:ascii="Times New Roman" w:cs="Times New Roman" w:eastAsia="Times New Roman" w:hAnsi="Times New Roman"/>
                <w:sz w:val="18"/>
                <w:szCs w:val="18"/>
                <w:color w:val="auto"/>
                <w:w w:val="96"/>
              </w:rPr>
              <w:t>33,411</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7"/>
              </w:rPr>
              <w:t>(15,192)</w:t>
            </w:r>
          </w:p>
        </w:tc>
      </w:tr>
    </w:tbl>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operating activities attributable to continuing operations decreased in the first nine months of 2022 from the first nine months of 2021 primarily due to a reduction in revenue generated by our products.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nine months of 2022 of $25.4 million consisted of the purchase of a $16.4 million equity interest in EarnUp and another small investment, as well as capital expenditures of $9.0 million primarily related to internally developed software.</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investing activities attributable to continuing operations in the first nine months of 2021 of $31.7 million consisted of capital expenditures of $30.5 million primarily related to internally developed software and leasehold improvements for our new principal corporate offices, as well as the purchase of an additional $1.2 million equity interest in Stash.</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attributable to continuing operations in the first nine months of 2022 of $33.4 million consisted primarily of $250.0 million in proceeds from the term loan and the repayment of $169.7 million to settle the Company’s 2022 Notes discussed in the “Credit Facility” section above, $43.0 million for the repurchase of our stock, and $3.3 million in withholding taxes paid upon surrender of shares to satisfy obligations on equity awards, net of proceeds from the exercise of stock options.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attributable to continuing operations in the first nine months of 2021 of $15.2 million consisted primarily of $6.7 million in withholding taxes paid upon surrender of shares to satisfy obligations on equity awards, net of proceeds from the exercise of stock options, as well as $6.0 million for the payment of debt issuance costs and $2.5 million paid for the original issue discount on the undrawn Term Loan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For information regarding new accounting pronouncements,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Significant Accounting Policies, in Part I, Item 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November 4, 2022, the Company had $249.4 million outstanding on its Term Loan Facility, and there were no outstanding borrowings under its Revolving Facility.</w:t>
      </w:r>
    </w:p>
    <w:p>
      <w:pPr>
        <w:spacing w:after="0" w:line="21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September 30, 2022,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September 30, 2022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our 2021 Annual Report and updated that information in Note 13— Contingencies to the consolidated financial statements included elsewhere in this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There have been no material changes to the risk factors included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2021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September 30, 2022, no shares of common stock were repurchased under the stock repurchase program. As of </w:t>
      </w:r>
      <w:r>
        <w:rPr>
          <w:rFonts w:ascii="Times New Roman" w:cs="Times New Roman" w:eastAsia="Times New Roman" w:hAnsi="Times New Roman"/>
          <w:sz w:val="16"/>
          <w:szCs w:val="16"/>
          <w:color w:val="auto"/>
        </w:rPr>
        <w:t>October 31, 2022</w:t>
      </w:r>
      <w:r>
        <w:rPr>
          <w:rFonts w:ascii="Times New Roman" w:cs="Times New Roman" w:eastAsia="Times New Roman" w:hAnsi="Times New Roman"/>
          <w:sz w:val="18"/>
          <w:szCs w:val="18"/>
          <w:color w:val="auto"/>
        </w:rPr>
        <w:t>, approximately $96.7 million remains authorized for share repurchase.</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LendingTree Seventh Amended and Restated 2008 Stock Plan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September 30, 2022, 25,825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purchases of equity securities during the quarter ended September 30,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left="189"/>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22"/>
              <w:spacing w:after="0" w:line="144" w:lineRule="exact"/>
              <w:rPr>
                <w:sz w:val="20"/>
                <w:szCs w:val="20"/>
                <w:color w:val="auto"/>
              </w:rPr>
            </w:pPr>
            <w:r>
              <w:rPr>
                <w:rFonts w:ascii="Times New Roman" w:cs="Times New Roman" w:eastAsia="Times New Roman" w:hAnsi="Times New Roman"/>
                <w:sz w:val="14"/>
                <w:szCs w:val="14"/>
                <w:b w:val="1"/>
                <w:bCs w:val="1"/>
                <w:color w:val="auto"/>
                <w:w w:val="98"/>
              </w:rPr>
              <w:t>Dollar Value of Shares</w:t>
            </w: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240" w:type="dxa"/>
            <w:vAlign w:val="bottom"/>
          </w:tcPr>
          <w:p>
            <w:pPr>
              <w:spacing w:after="0"/>
              <w:rPr>
                <w:sz w:val="11"/>
                <w:szCs w:val="11"/>
                <w:color w:val="auto"/>
              </w:rPr>
            </w:pPr>
          </w:p>
        </w:tc>
        <w:tc>
          <w:tcPr>
            <w:tcW w:w="15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540" w:type="dxa"/>
            <w:vAlign w:val="bottom"/>
          </w:tcPr>
          <w:p>
            <w:pPr>
              <w:jc w:val="center"/>
              <w:ind w:left="189"/>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ind w:right="122"/>
              <w:spacing w:after="0" w:line="135" w:lineRule="exact"/>
              <w:rPr>
                <w:sz w:val="20"/>
                <w:szCs w:val="20"/>
                <w:color w:val="auto"/>
              </w:rPr>
            </w:pPr>
            <w:r>
              <w:rPr>
                <w:rFonts w:ascii="Times New Roman" w:cs="Times New Roman" w:eastAsia="Times New Roman" w:hAnsi="Times New Roman"/>
                <w:sz w:val="14"/>
                <w:szCs w:val="14"/>
                <w:b w:val="1"/>
                <w:bCs w:val="1"/>
                <w:color w:val="auto"/>
                <w:w w:val="99"/>
              </w:rPr>
              <w:t>that May Yet Be</w:t>
            </w:r>
          </w:p>
        </w:tc>
        <w:tc>
          <w:tcPr>
            <w:tcW w:w="0" w:type="dxa"/>
            <w:vAlign w:val="bottom"/>
          </w:tcPr>
          <w:p>
            <w:pPr>
              <w:spacing w:after="0"/>
              <w:rPr>
                <w:sz w:val="1"/>
                <w:szCs w:val="1"/>
                <w:color w:val="auto"/>
              </w:rPr>
            </w:pPr>
          </w:p>
        </w:tc>
      </w:tr>
      <w:tr>
        <w:trPr>
          <w:trHeight w:val="144"/>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40" w:type="dxa"/>
            <w:vAlign w:val="bottom"/>
          </w:tcPr>
          <w:p>
            <w:pPr>
              <w:jc w:val="center"/>
              <w:ind w:left="189"/>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jc w:val="center"/>
              <w:ind w:right="122"/>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Under the</w:t>
            </w:r>
          </w:p>
        </w:tc>
        <w:tc>
          <w:tcPr>
            <w:tcW w:w="0" w:type="dxa"/>
            <w:vAlign w:val="bottom"/>
          </w:tcPr>
          <w:p>
            <w:pPr>
              <w:spacing w:after="0"/>
              <w:rPr>
                <w:sz w:val="1"/>
                <w:szCs w:val="1"/>
                <w:color w:val="auto"/>
              </w:rPr>
            </w:pPr>
          </w:p>
        </w:tc>
      </w:tr>
      <w:tr>
        <w:trPr>
          <w:trHeight w:val="199"/>
        </w:trPr>
        <w:tc>
          <w:tcPr>
            <w:tcW w:w="3880" w:type="dxa"/>
            <w:vAlign w:val="bottom"/>
            <w:gridSpan w:val="2"/>
            <w:vMerge w:val="continue"/>
          </w:tcPr>
          <w:p>
            <w:pPr>
              <w:spacing w:after="0"/>
              <w:rPr>
                <w:sz w:val="17"/>
                <w:szCs w:val="17"/>
                <w:color w:val="auto"/>
              </w:rPr>
            </w:pPr>
          </w:p>
        </w:tc>
        <w:tc>
          <w:tcPr>
            <w:tcW w:w="1800" w:type="dxa"/>
            <w:vAlign w:val="bottom"/>
            <w:gridSpan w:val="2"/>
          </w:tcPr>
          <w:p>
            <w:pPr>
              <w:jc w:val="center"/>
              <w:ind w:right="100"/>
              <w:spacing w:after="0" w:line="199" w:lineRule="exact"/>
              <w:rPr>
                <w:sz w:val="20"/>
                <w:szCs w:val="20"/>
                <w:color w:val="auto"/>
              </w:rPr>
            </w:pPr>
            <w:r>
              <w:rPr>
                <w:rFonts w:ascii="Times New Roman" w:cs="Times New Roman" w:eastAsia="Times New Roman" w:hAnsi="Times New Roman"/>
                <w:sz w:val="14"/>
                <w:szCs w:val="14"/>
                <w:b w:val="1"/>
                <w:bCs w:val="1"/>
                <w:color w:val="auto"/>
                <w:w w:val="97"/>
              </w:rPr>
              <w:t xml:space="preserve">Shares Purchased </w:t>
            </w:r>
            <w:r>
              <w:rPr>
                <w:rFonts w:ascii="Times New Roman" w:cs="Times New Roman" w:eastAsia="Times New Roman" w:hAnsi="Times New Roman"/>
                <w:sz w:val="18"/>
                <w:szCs w:val="18"/>
                <w:b w:val="1"/>
                <w:bCs w:val="1"/>
                <w:color w:val="auto"/>
                <w:w w:val="97"/>
                <w:vertAlign w:val="superscript"/>
              </w:rPr>
              <w:t>(1)</w:t>
            </w: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Paid per Share</w:t>
            </w:r>
          </w:p>
        </w:tc>
        <w:tc>
          <w:tcPr>
            <w:tcW w:w="15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8"/>
              </w:rPr>
              <w:t xml:space="preserve">Programs </w:t>
            </w:r>
            <w:r>
              <w:rPr>
                <w:rFonts w:ascii="Times New Roman" w:cs="Times New Roman" w:eastAsia="Times New Roman" w:hAnsi="Times New Roman"/>
                <w:sz w:val="9"/>
                <w:szCs w:val="9"/>
                <w:b w:val="1"/>
                <w:bCs w:val="1"/>
                <w:color w:val="auto"/>
                <w:w w:val="98"/>
              </w:rPr>
              <w:t>(2)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86"/>
        </w:trPr>
        <w:tc>
          <w:tcPr>
            <w:tcW w:w="3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7/1/2022 - 7/31/2022</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8/1/2022 - 8/31/2022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9/1/2022 - 9/30/2022</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14,224</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96,655</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25,825</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96,655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left="640" w:hanging="316"/>
        <w:spacing w:after="0" w:line="259"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July 2022, August 2022 and September 2022, 376 shares, 11,225 shares and 14,224 shares, respectively (totaling 25,825 shares), were purchased to satisfy federal and state withholding obligations of our employees upon the settlement of restricted stock units, all in accordance with our Seventh Amended and Restated 2008 Stock Plan, as described above.</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narrative disclosure above the table for further description of our publicly announced stock repurchase program.</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6760" w:type="dxa"/>
            <w:vAlign w:val="bottom"/>
            <w:gridSpan w:val="8"/>
          </w:tcPr>
          <w:p>
            <w:pPr>
              <w:ind w:left="2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94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Location</w:t>
            </w:r>
          </w:p>
        </w:tc>
      </w:tr>
      <w:tr>
        <w:trPr>
          <w:trHeight w:val="24"/>
        </w:trPr>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33"/>
        </w:trPr>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5"/>
        </w:trPr>
        <w:tc>
          <w:tcPr>
            <w:tcW w:w="1140" w:type="dxa"/>
            <w:vAlign w:val="bottom"/>
            <w:shd w:val="clear" w:color="auto" w:fill="CCEEFF"/>
          </w:tcPr>
          <w:p>
            <w:pPr>
              <w:jc w:val="right"/>
              <w:ind w:right="93"/>
              <w:spacing w:after="0" w:line="186" w:lineRule="exact"/>
              <w:rPr>
                <w:sz w:val="20"/>
                <w:szCs w:val="20"/>
                <w:color w:val="auto"/>
              </w:rPr>
            </w:pPr>
            <w:r>
              <w:rPr>
                <w:rFonts w:ascii="Times New Roman" w:cs="Times New Roman" w:eastAsia="Times New Roman" w:hAnsi="Times New Roman"/>
                <w:sz w:val="18"/>
                <w:szCs w:val="18"/>
                <w:color w:val="auto"/>
              </w:rPr>
              <w:t>3.1</w:t>
            </w:r>
          </w:p>
        </w:tc>
        <w:tc>
          <w:tcPr>
            <w:tcW w:w="7160" w:type="dxa"/>
            <w:vAlign w:val="bottom"/>
            <w:gridSpan w:val="9"/>
            <w:shd w:val="clear" w:color="auto" w:fill="CCEEFF"/>
          </w:tcPr>
          <w:p>
            <w:pPr>
              <w:spacing w:after="0" w:line="18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Certificate of Incorporation of LendingTree, Inc.</w:t>
              </w:r>
            </w:hyperlink>
          </w:p>
        </w:tc>
        <w:tc>
          <w:tcPr>
            <w:tcW w:w="2940" w:type="dxa"/>
            <w:vAlign w:val="bottom"/>
            <w:shd w:val="clear" w:color="auto" w:fill="CCEEFF"/>
          </w:tcPr>
          <w:p>
            <w:pPr>
              <w:ind w:left="80"/>
              <w:spacing w:after="0" w:line="186"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39"/>
        </w:trPr>
        <w:tc>
          <w:tcPr>
            <w:tcW w:w="1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1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840" w:type="dxa"/>
            <w:vAlign w:val="bottom"/>
            <w:tcBorders>
              <w:top w:val="single" w:sz="8" w:color="0000FF"/>
            </w:tcBorders>
            <w:shd w:val="clear" w:color="auto" w:fill="CCEEFF"/>
          </w:tcPr>
          <w:p>
            <w:pPr>
              <w:spacing w:after="0"/>
              <w:rPr>
                <w:sz w:val="12"/>
                <w:szCs w:val="12"/>
                <w:color w:val="auto"/>
              </w:rPr>
            </w:pPr>
          </w:p>
        </w:tc>
        <w:tc>
          <w:tcPr>
            <w:tcW w:w="19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80"/>
              <w:spacing w:after="0" w:line="139" w:lineRule="exact"/>
              <w:rPr>
                <w:sz w:val="20"/>
                <w:szCs w:val="20"/>
                <w:color w:val="auto"/>
              </w:rPr>
            </w:pPr>
            <w:r>
              <w:rPr>
                <w:rFonts w:ascii="Times New Roman" w:cs="Times New Roman" w:eastAsia="Times New Roman" w:hAnsi="Times New Roman"/>
                <w:sz w:val="15"/>
                <w:szCs w:val="15"/>
                <w:color w:val="auto"/>
              </w:rPr>
              <w:t>Report on Form 8-K filed August 25,</w:t>
            </w:r>
          </w:p>
        </w:tc>
      </w:tr>
      <w:tr>
        <w:trPr>
          <w:trHeight w:val="238"/>
        </w:trPr>
        <w:tc>
          <w:tcPr>
            <w:tcW w:w="1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2008</w:t>
            </w:r>
          </w:p>
        </w:tc>
      </w:tr>
      <w:tr>
        <w:trPr>
          <w:trHeight w:val="186"/>
        </w:trPr>
        <w:tc>
          <w:tcPr>
            <w:tcW w:w="1140" w:type="dxa"/>
            <w:vAlign w:val="bottom"/>
          </w:tcPr>
          <w:p>
            <w:pPr>
              <w:jc w:val="right"/>
              <w:ind w:right="93"/>
              <w:spacing w:after="0" w:line="186" w:lineRule="exact"/>
              <w:rPr>
                <w:sz w:val="20"/>
                <w:szCs w:val="20"/>
                <w:color w:val="auto"/>
              </w:rPr>
            </w:pPr>
            <w:r>
              <w:rPr>
                <w:rFonts w:ascii="Times New Roman" w:cs="Times New Roman" w:eastAsia="Times New Roman" w:hAnsi="Times New Roman"/>
                <w:sz w:val="18"/>
                <w:szCs w:val="18"/>
                <w:color w:val="auto"/>
              </w:rPr>
              <w:t>3.2</w:t>
            </w:r>
          </w:p>
        </w:tc>
        <w:tc>
          <w:tcPr>
            <w:tcW w:w="7160" w:type="dxa"/>
            <w:vAlign w:val="bottom"/>
            <w:gridSpan w:val="9"/>
          </w:tcPr>
          <w:p>
            <w:pPr>
              <w:spacing w:after="0" w:line="18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Fourth Amended and Restated By-laws of LendingTree, Inc.</w:t>
              </w:r>
            </w:hyperlink>
          </w:p>
        </w:tc>
        <w:tc>
          <w:tcPr>
            <w:tcW w:w="2940" w:type="dxa"/>
            <w:vAlign w:val="bottom"/>
          </w:tcPr>
          <w:p>
            <w:pPr>
              <w:ind w:left="80"/>
              <w:spacing w:after="0" w:line="186" w:lineRule="exact"/>
              <w:rPr>
                <w:sz w:val="20"/>
                <w:szCs w:val="20"/>
                <w:color w:val="auto"/>
              </w:rPr>
            </w:pPr>
            <w:r>
              <w:rPr>
                <w:rFonts w:ascii="Times New Roman" w:cs="Times New Roman" w:eastAsia="Times New Roman" w:hAnsi="Times New Roman"/>
                <w:sz w:val="18"/>
                <w:szCs w:val="18"/>
                <w:color w:val="auto"/>
              </w:rPr>
              <w:t>Exhibit 3.1 to the Registrant's Current</w:t>
            </w:r>
          </w:p>
        </w:tc>
      </w:tr>
      <w:tr>
        <w:trPr>
          <w:trHeight w:val="139"/>
        </w:trPr>
        <w:tc>
          <w:tcPr>
            <w:tcW w:w="114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1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80"/>
              <w:spacing w:after="0" w:line="139" w:lineRule="exact"/>
              <w:rPr>
                <w:sz w:val="20"/>
                <w:szCs w:val="20"/>
                <w:color w:val="auto"/>
              </w:rPr>
            </w:pPr>
            <w:r>
              <w:rPr>
                <w:rFonts w:ascii="Times New Roman" w:cs="Times New Roman" w:eastAsia="Times New Roman" w:hAnsi="Times New Roman"/>
                <w:sz w:val="15"/>
                <w:szCs w:val="15"/>
                <w:color w:val="auto"/>
              </w:rPr>
              <w:t>Report on Form 8-K filed November</w:t>
            </w:r>
          </w:p>
        </w:tc>
      </w:tr>
      <w:tr>
        <w:trPr>
          <w:trHeight w:val="235"/>
        </w:trPr>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15, 2017</w:t>
            </w:r>
          </w:p>
        </w:tc>
      </w:tr>
      <w:tr>
        <w:trPr>
          <w:trHeight w:val="189"/>
        </w:trPr>
        <w:tc>
          <w:tcPr>
            <w:tcW w:w="1140" w:type="dxa"/>
            <w:vAlign w:val="bottom"/>
            <w:shd w:val="clear" w:color="auto" w:fill="CCEEFF"/>
          </w:tcPr>
          <w:p>
            <w:pPr>
              <w:jc w:val="right"/>
              <w:ind w:right="93"/>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716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Rule 13a-14(a) or Rule 15d-14(a) of the</w:t>
            </w:r>
          </w:p>
        </w:tc>
        <w:tc>
          <w:tcPr>
            <w:tcW w:w="29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7100" w:type="dxa"/>
            <w:vAlign w:val="bottom"/>
            <w:tcBorders>
              <w:top w:val="single" w:sz="8" w:color="0000FF"/>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Securities Exchange Act of 1934 as adopted pursuant to Section 302 of the Sarbanes-Oxley Act of</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0000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2002.</w:t>
            </w:r>
          </w:p>
        </w:tc>
        <w:tc>
          <w:tcPr>
            <w:tcW w:w="7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9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5"/>
        </w:trPr>
        <w:tc>
          <w:tcPr>
            <w:tcW w:w="1140" w:type="dxa"/>
            <w:vAlign w:val="bottom"/>
          </w:tcPr>
          <w:p>
            <w:pPr>
              <w:jc w:val="right"/>
              <w:ind w:right="93"/>
              <w:spacing w:after="0" w:line="186" w:lineRule="exact"/>
              <w:rPr>
                <w:sz w:val="20"/>
                <w:szCs w:val="20"/>
                <w:color w:val="auto"/>
              </w:rPr>
            </w:pPr>
            <w:r>
              <w:rPr>
                <w:rFonts w:ascii="Times New Roman" w:cs="Times New Roman" w:eastAsia="Times New Roman" w:hAnsi="Times New Roman"/>
                <w:sz w:val="18"/>
                <w:szCs w:val="18"/>
                <w:color w:val="auto"/>
              </w:rPr>
              <w:t>31.2</w:t>
            </w:r>
          </w:p>
        </w:tc>
        <w:tc>
          <w:tcPr>
            <w:tcW w:w="716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Rule 13a-14(a) or Rule 15d-14(a) of the</w:t>
            </w:r>
          </w:p>
        </w:tc>
        <w:tc>
          <w:tcPr>
            <w:tcW w:w="2940" w:type="dxa"/>
            <w:vAlign w:val="bottom"/>
          </w:tcPr>
          <w:p>
            <w:pPr>
              <w:ind w:left="80"/>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52"/>
        </w:trPr>
        <w:tc>
          <w:tcPr>
            <w:tcW w:w="1140" w:type="dxa"/>
            <w:vAlign w:val="bottom"/>
          </w:tcPr>
          <w:p>
            <w:pPr>
              <w:spacing w:after="0"/>
              <w:rPr>
                <w:sz w:val="13"/>
                <w:szCs w:val="13"/>
                <w:color w:val="auto"/>
              </w:rPr>
            </w:pPr>
          </w:p>
        </w:tc>
        <w:tc>
          <w:tcPr>
            <w:tcW w:w="7140" w:type="dxa"/>
            <w:vAlign w:val="bottom"/>
            <w:tcBorders>
              <w:top w:val="single" w:sz="8" w:color="0000FF"/>
            </w:tcBorders>
            <w:gridSpan w:val="8"/>
          </w:tcPr>
          <w:p>
            <w:pPr>
              <w:spacing w:after="0" w:line="152" w:lineRule="exact"/>
              <w:rPr>
                <w:sz w:val="20"/>
                <w:szCs w:val="20"/>
                <w:color w:val="auto"/>
              </w:rPr>
            </w:pPr>
            <w:r>
              <w:rPr>
                <w:rFonts w:ascii="Times New Roman" w:cs="Times New Roman" w:eastAsia="Times New Roman" w:hAnsi="Times New Roman"/>
                <w:sz w:val="17"/>
                <w:szCs w:val="17"/>
                <w:color w:val="0000FF"/>
              </w:rPr>
              <w:t>Securities Exchange Act of 1934 as adopted pursuant to Section 302 of the Sarbanes-Oxley Act of</w:t>
            </w: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3580" w:type="dxa"/>
            <w:vAlign w:val="bottom"/>
            <w:tcBorders>
              <w:top w:val="single" w:sz="8" w:color="0000FF"/>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FF"/>
              </w:rPr>
              <w:t>2002.</w:t>
            </w:r>
          </w:p>
        </w:tc>
        <w:tc>
          <w:tcPr>
            <w:tcW w:w="7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3"/>
        </w:trPr>
        <w:tc>
          <w:tcPr>
            <w:tcW w:w="11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6"/>
        </w:trPr>
        <w:tc>
          <w:tcPr>
            <w:tcW w:w="1140" w:type="dxa"/>
            <w:vAlign w:val="bottom"/>
            <w:shd w:val="clear" w:color="auto" w:fill="CCEEFF"/>
          </w:tcPr>
          <w:p>
            <w:pPr>
              <w:jc w:val="right"/>
              <w:ind w:right="93"/>
              <w:spacing w:after="0" w:line="186" w:lineRule="exact"/>
              <w:rPr>
                <w:sz w:val="20"/>
                <w:szCs w:val="20"/>
                <w:color w:val="auto"/>
              </w:rPr>
            </w:pPr>
            <w:r>
              <w:rPr>
                <w:rFonts w:ascii="Times New Roman" w:cs="Times New Roman" w:eastAsia="Times New Roman" w:hAnsi="Times New Roman"/>
                <w:sz w:val="18"/>
                <w:szCs w:val="18"/>
                <w:color w:val="auto"/>
              </w:rPr>
              <w:t>32.1</w:t>
            </w:r>
          </w:p>
        </w:tc>
        <w:tc>
          <w:tcPr>
            <w:tcW w:w="7160" w:type="dxa"/>
            <w:vAlign w:val="bottom"/>
            <w:gridSpan w:val="9"/>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the Chief Executive Officer pursuant to 18 U.S.C. Section 1350 as adopted pursuant</w:t>
            </w:r>
          </w:p>
        </w:tc>
        <w:tc>
          <w:tcPr>
            <w:tcW w:w="2940" w:type="dxa"/>
            <w:vAlign w:val="bottom"/>
            <w:shd w:val="clear" w:color="auto" w:fill="CCEEFF"/>
          </w:tcPr>
          <w:p>
            <w:pPr>
              <w:ind w:left="80"/>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7080" w:type="dxa"/>
            <w:vAlign w:val="bottom"/>
            <w:tcBorders>
              <w:top w:val="single" w:sz="8" w:color="0000FF"/>
            </w:tcBorders>
            <w:gridSpan w:val="5"/>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to Section 906 of the Sarbanes-Oxley Act of 2002.</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33"/>
        </w:trPr>
        <w:tc>
          <w:tcPr>
            <w:tcW w:w="11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940" w:type="dxa"/>
            <w:vAlign w:val="bottom"/>
            <w:tcBorders>
              <w:top w:val="single" w:sz="8" w:color="CCEEFF"/>
            </w:tcBorders>
            <w:shd w:val="clear" w:color="auto" w:fill="CCEEFF"/>
          </w:tcPr>
          <w:p>
            <w:pPr>
              <w:spacing w:after="0"/>
              <w:rPr>
                <w:sz w:val="2"/>
                <w:szCs w:val="2"/>
                <w:color w:val="auto"/>
              </w:rPr>
            </w:pPr>
          </w:p>
        </w:tc>
      </w:tr>
      <w:tr>
        <w:trPr>
          <w:trHeight w:val="186"/>
        </w:trPr>
        <w:tc>
          <w:tcPr>
            <w:tcW w:w="1140" w:type="dxa"/>
            <w:vAlign w:val="bottom"/>
          </w:tcPr>
          <w:p>
            <w:pPr>
              <w:jc w:val="right"/>
              <w:ind w:right="93"/>
              <w:spacing w:after="0" w:line="186" w:lineRule="exact"/>
              <w:rPr>
                <w:sz w:val="20"/>
                <w:szCs w:val="20"/>
                <w:color w:val="auto"/>
              </w:rPr>
            </w:pPr>
            <w:r>
              <w:rPr>
                <w:rFonts w:ascii="Times New Roman" w:cs="Times New Roman" w:eastAsia="Times New Roman" w:hAnsi="Times New Roman"/>
                <w:sz w:val="18"/>
                <w:szCs w:val="18"/>
                <w:color w:val="auto"/>
              </w:rPr>
              <w:t>32.2</w:t>
            </w:r>
          </w:p>
        </w:tc>
        <w:tc>
          <w:tcPr>
            <w:tcW w:w="716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w:t>
            </w:r>
          </w:p>
        </w:tc>
        <w:tc>
          <w:tcPr>
            <w:tcW w:w="2940" w:type="dxa"/>
            <w:vAlign w:val="bottom"/>
          </w:tcPr>
          <w:p>
            <w:pPr>
              <w:ind w:left="80"/>
              <w:spacing w:after="0" w:line="186" w:lineRule="exact"/>
              <w:rPr>
                <w:sz w:val="20"/>
                <w:szCs w:val="20"/>
                <w:color w:val="auto"/>
              </w:rPr>
            </w:pPr>
            <w:r>
              <w:rPr>
                <w:rFonts w:ascii="Times New Roman" w:cs="Times New Roman" w:eastAsia="Times New Roman" w:hAnsi="Times New Roman"/>
                <w:sz w:val="18"/>
                <w:szCs w:val="18"/>
                <w:color w:val="auto"/>
              </w:rPr>
              <w:t>††</w:t>
            </w:r>
          </w:p>
        </w:tc>
      </w:tr>
      <w:tr>
        <w:trPr>
          <w:trHeight w:val="152"/>
        </w:trPr>
        <w:tc>
          <w:tcPr>
            <w:tcW w:w="1140" w:type="dxa"/>
            <w:vAlign w:val="bottom"/>
          </w:tcPr>
          <w:p>
            <w:pPr>
              <w:spacing w:after="0"/>
              <w:rPr>
                <w:sz w:val="13"/>
                <w:szCs w:val="13"/>
                <w:color w:val="auto"/>
              </w:rPr>
            </w:pPr>
          </w:p>
        </w:tc>
        <w:tc>
          <w:tcPr>
            <w:tcW w:w="7120" w:type="dxa"/>
            <w:vAlign w:val="bottom"/>
            <w:tcBorders>
              <w:top w:val="single" w:sz="8" w:color="0000FF"/>
            </w:tcBorders>
            <w:gridSpan w:val="7"/>
          </w:tcPr>
          <w:p>
            <w:pPr>
              <w:spacing w:after="0" w:line="152" w:lineRule="exact"/>
              <w:rPr>
                <w:sz w:val="20"/>
                <w:szCs w:val="20"/>
                <w:color w:val="auto"/>
              </w:rPr>
            </w:pPr>
            <w:r>
              <w:rPr>
                <w:rFonts w:ascii="Times New Roman" w:cs="Times New Roman" w:eastAsia="Times New Roman" w:hAnsi="Times New Roman"/>
                <w:sz w:val="17"/>
                <w:szCs w:val="17"/>
                <w:color w:val="0000FF"/>
              </w:rPr>
              <w:t>to Section 906 of the Sarbanes-Oxley Act of 2002.</w:t>
            </w:r>
          </w:p>
        </w:tc>
        <w:tc>
          <w:tcPr>
            <w:tcW w:w="40" w:type="dxa"/>
            <w:vAlign w:val="bottom"/>
            <w:gridSpan w:val="2"/>
          </w:tcPr>
          <w:p>
            <w:pPr>
              <w:spacing w:after="0"/>
              <w:rPr>
                <w:sz w:val="13"/>
                <w:szCs w:val="13"/>
                <w:color w:val="auto"/>
              </w:rPr>
            </w:pPr>
          </w:p>
        </w:tc>
        <w:tc>
          <w:tcPr>
            <w:tcW w:w="2940" w:type="dxa"/>
            <w:vAlign w:val="bottom"/>
          </w:tcPr>
          <w:p>
            <w:pPr>
              <w:spacing w:after="0"/>
              <w:rPr>
                <w:sz w:val="13"/>
                <w:szCs w:val="13"/>
                <w:color w:val="auto"/>
              </w:rPr>
            </w:pPr>
          </w:p>
        </w:tc>
      </w:tr>
      <w:tr>
        <w:trPr>
          <w:trHeight w:val="33"/>
        </w:trPr>
        <w:tc>
          <w:tcPr>
            <w:tcW w:w="11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18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72"/>
        </w:trPr>
        <w:tc>
          <w:tcPr>
            <w:tcW w:w="1140" w:type="dxa"/>
            <w:vAlign w:val="bottom"/>
            <w:shd w:val="clear" w:color="auto" w:fill="CCEEFF"/>
          </w:tcPr>
          <w:p>
            <w:pPr>
              <w:jc w:val="right"/>
              <w:ind w:right="53"/>
              <w:spacing w:after="0" w:line="172" w:lineRule="exact"/>
              <w:rPr>
                <w:sz w:val="20"/>
                <w:szCs w:val="20"/>
                <w:color w:val="auto"/>
              </w:rPr>
            </w:pPr>
            <w:r>
              <w:rPr>
                <w:rFonts w:ascii="Times New Roman" w:cs="Times New Roman" w:eastAsia="Times New Roman" w:hAnsi="Times New Roman"/>
                <w:sz w:val="18"/>
                <w:szCs w:val="18"/>
                <w:color w:val="auto"/>
              </w:rPr>
              <w:t>101.INS</w:t>
            </w:r>
          </w:p>
        </w:tc>
        <w:tc>
          <w:tcPr>
            <w:tcW w:w="7160" w:type="dxa"/>
            <w:vAlign w:val="bottom"/>
            <w:gridSpan w:val="9"/>
            <w:shd w:val="clear" w:color="auto" w:fill="CCEEFF"/>
          </w:tcPr>
          <w:p>
            <w:pPr>
              <w:spacing w:after="0" w:line="172" w:lineRule="exact"/>
              <w:rPr>
                <w:sz w:val="20"/>
                <w:szCs w:val="20"/>
                <w:color w:val="auto"/>
              </w:rPr>
            </w:pPr>
            <w:r>
              <w:rPr>
                <w:rFonts w:ascii="Times New Roman" w:cs="Times New Roman" w:eastAsia="Times New Roman" w:hAnsi="Times New Roman"/>
                <w:sz w:val="18"/>
                <w:szCs w:val="18"/>
                <w:color w:val="auto"/>
              </w:rPr>
              <w:t xml:space="preserve">XBRL Instance Document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instance document does not appear in the Interactive Data File</w:t>
            </w:r>
          </w:p>
        </w:tc>
        <w:tc>
          <w:tcPr>
            <w:tcW w:w="2940" w:type="dxa"/>
            <w:vAlign w:val="bottom"/>
            <w:shd w:val="clear" w:color="auto" w:fill="CCEEFF"/>
          </w:tcPr>
          <w:p>
            <w:pPr>
              <w:ind w:left="80"/>
              <w:spacing w:after="0" w:line="172" w:lineRule="exact"/>
              <w:rPr>
                <w:sz w:val="20"/>
                <w:szCs w:val="20"/>
                <w:color w:val="auto"/>
              </w:rPr>
            </w:pPr>
            <w:r>
              <w:rPr>
                <w:rFonts w:ascii="Times New Roman" w:cs="Times New Roman" w:eastAsia="Times New Roman" w:hAnsi="Times New Roman"/>
                <w:sz w:val="18"/>
                <w:szCs w:val="18"/>
                <w:color w:val="auto"/>
              </w:rPr>
              <w:t>†††</w:t>
            </w:r>
          </w:p>
        </w:tc>
      </w:tr>
      <w:tr>
        <w:trPr>
          <w:trHeight w:val="238"/>
        </w:trPr>
        <w:tc>
          <w:tcPr>
            <w:tcW w:w="1140" w:type="dxa"/>
            <w:vAlign w:val="bottom"/>
            <w:shd w:val="clear" w:color="auto" w:fill="CCEEFF"/>
          </w:tcPr>
          <w:p>
            <w:pPr>
              <w:spacing w:after="0"/>
              <w:rPr>
                <w:sz w:val="20"/>
                <w:szCs w:val="20"/>
                <w:color w:val="auto"/>
              </w:rPr>
            </w:pPr>
          </w:p>
        </w:tc>
        <w:tc>
          <w:tcPr>
            <w:tcW w:w="71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2940" w:type="dxa"/>
            <w:vAlign w:val="bottom"/>
            <w:shd w:val="clear" w:color="auto" w:fill="CCEEFF"/>
          </w:tcPr>
          <w:p>
            <w:pPr>
              <w:spacing w:after="0"/>
              <w:rPr>
                <w:sz w:val="20"/>
                <w:szCs w:val="20"/>
                <w:color w:val="auto"/>
              </w:rPr>
            </w:pPr>
          </w:p>
        </w:tc>
      </w:tr>
      <w:tr>
        <w:trPr>
          <w:trHeight w:val="225"/>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101.SCH</w:t>
            </w:r>
          </w:p>
        </w:tc>
        <w:tc>
          <w:tcPr>
            <w:tcW w:w="7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101.CAL</w:t>
            </w:r>
          </w:p>
        </w:tc>
        <w:tc>
          <w:tcPr>
            <w:tcW w:w="71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101.DEF</w:t>
            </w:r>
          </w:p>
        </w:tc>
        <w:tc>
          <w:tcPr>
            <w:tcW w:w="7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1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101.LAB</w:t>
            </w:r>
          </w:p>
        </w:tc>
        <w:tc>
          <w:tcPr>
            <w:tcW w:w="716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101.PRE</w:t>
            </w:r>
          </w:p>
        </w:tc>
        <w:tc>
          <w:tcPr>
            <w:tcW w:w="71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7134860" cy="260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140" w:hanging="396"/>
        <w:spacing w:after="0" w:line="209"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contained in  †††</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101)</w:t>
      </w:r>
    </w:p>
    <w:p>
      <w:pPr>
        <w:spacing w:after="0" w:line="7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________________________________________________________________________________________________________________________________</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38" w:lineRule="exact"/>
        <w:rPr>
          <w:sz w:val="20"/>
          <w:szCs w:val="20"/>
          <w:color w:val="auto"/>
        </w:rPr>
      </w:pPr>
    </w:p>
    <w:p>
      <w:pPr>
        <w:jc w:val="both"/>
        <w:ind w:firstLine="6"/>
        <w:spacing w:after="0" w:line="259" w:lineRule="auto"/>
        <w:tabs>
          <w:tab w:leader="none" w:pos="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12" w:lineRule="exact"/>
        <w:rPr>
          <w:sz w:val="20"/>
          <w:szCs w:val="20"/>
          <w:color w:val="auto"/>
        </w:rPr>
      </w:pPr>
    </w:p>
    <w:p>
      <w:pPr>
        <w:jc w:val="both"/>
        <w:ind w:firstLine="6"/>
        <w:spacing w:after="0" w:line="259" w:lineRule="auto"/>
        <w:tabs>
          <w:tab w:leader="none" w:pos="11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3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LENDINGTREE, INC.</w:t>
      </w:r>
    </w:p>
    <w:p>
      <w:pPr>
        <w:spacing w:after="0" w:line="242" w:lineRule="exact"/>
        <w:rPr>
          <w:sz w:val="20"/>
          <w:szCs w:val="20"/>
          <w:color w:val="auto"/>
        </w:rPr>
      </w:pPr>
    </w:p>
    <w:p>
      <w:pPr>
        <w:ind w:left="46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15875</wp:posOffset>
            </wp:positionV>
            <wp:extent cx="37611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761105"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Trent Ziegler</w:t>
      </w:r>
    </w:p>
    <w:p>
      <w:pPr>
        <w:spacing w:after="0" w:line="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R. Lebda, certify that:</w:t>
      </w:r>
    </w:p>
    <w:p>
      <w:pPr>
        <w:spacing w:after="0" w:line="98"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LendingTree, Inc.;</w:t>
      </w:r>
    </w:p>
    <w:p>
      <w:pPr>
        <w:spacing w:after="0" w:line="84"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640" w:right="160" w:hanging="316"/>
        <w:spacing w:after="0" w:line="259" w:lineRule="auto"/>
        <w:tabs>
          <w:tab w:leader="none" w:pos="63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13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14605</wp:posOffset>
            </wp:positionV>
            <wp:extent cx="387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4"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6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Trent Ziegler, certify that:</w:t>
      </w:r>
    </w:p>
    <w:p>
      <w:pPr>
        <w:spacing w:after="0" w:line="98"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2022 of LendingTree, Inc.;</w:t>
      </w:r>
    </w:p>
    <w:p>
      <w:pPr>
        <w:spacing w:after="0" w:line="84" w:lineRule="exact"/>
        <w:rPr>
          <w:rFonts w:ascii="Times New Roman" w:cs="Times New Roman" w:eastAsia="Times New Roman" w:hAnsi="Times New Roman"/>
          <w:sz w:val="18"/>
          <w:szCs w:val="18"/>
          <w:color w:val="auto"/>
        </w:rPr>
      </w:pPr>
    </w:p>
    <w:p>
      <w:pPr>
        <w:ind w:left="320" w:right="160" w:hanging="314"/>
        <w:spacing w:after="0" w:line="304" w:lineRule="auto"/>
        <w:tabs>
          <w:tab w:leader="none" w:pos="3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left="320" w:right="600" w:hanging="314"/>
        <w:spacing w:after="0" w:line="274"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Times New Roman" w:cs="Times New Roman" w:eastAsia="Times New Roman" w:hAnsi="Times New Roman"/>
          <w:sz w:val="18"/>
          <w:szCs w:val="18"/>
          <w:color w:val="auto"/>
        </w:rPr>
      </w:pPr>
    </w:p>
    <w:p>
      <w:pPr>
        <w:ind w:left="320" w:right="220" w:hanging="314"/>
        <w:spacing w:after="0" w:line="259"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ind w:left="640" w:right="80" w:hanging="316"/>
        <w:spacing w:after="0" w:line="259" w:lineRule="auto"/>
        <w:tabs>
          <w:tab w:leader="none" w:pos="63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8"/>
          <w:szCs w:val="18"/>
          <w:color w:val="auto"/>
        </w:rPr>
      </w:pPr>
    </w:p>
    <w:p>
      <w:pPr>
        <w:ind w:left="640" w:right="160" w:hanging="316"/>
        <w:spacing w:after="0" w:line="259" w:lineRule="auto"/>
        <w:tabs>
          <w:tab w:leader="none" w:pos="63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left="320" w:right="340" w:hanging="314"/>
        <w:spacing w:after="0" w:line="274"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138"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14605</wp:posOffset>
            </wp:positionV>
            <wp:extent cx="387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Trent Ziegler</w:t>
      </w:r>
    </w:p>
    <w:p>
      <w:pPr>
        <w:spacing w:after="0" w:line="24"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6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7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57" w:lineRule="exact"/>
        <w:rPr>
          <w:sz w:val="20"/>
          <w:szCs w:val="20"/>
          <w:color w:val="auto"/>
        </w:rPr>
      </w:pPr>
    </w:p>
    <w:p>
      <w:pPr>
        <w:ind w:right="800"/>
        <w:spacing w:after="0" w:line="274" w:lineRule="auto"/>
        <w:rPr>
          <w:sz w:val="20"/>
          <w:szCs w:val="20"/>
          <w:color w:val="auto"/>
        </w:rPr>
      </w:pPr>
      <w:r>
        <w:rPr>
          <w:rFonts w:ascii="Times New Roman" w:cs="Times New Roman" w:eastAsia="Times New Roman" w:hAnsi="Times New Roman"/>
          <w:sz w:val="18"/>
          <w:szCs w:val="18"/>
          <w:color w:val="auto"/>
        </w:rPr>
        <w:t>I, Douglas R. Lebda, certify, pursuant to 18 U.S.C. Section 1350, as adopted pursuant to Section 906 of the Sarbanes-Oxley Act of 2002, that to my knowledge:</w:t>
      </w:r>
    </w:p>
    <w:p>
      <w:pPr>
        <w:spacing w:after="0" w:line="44" w:lineRule="exact"/>
        <w:rPr>
          <w:sz w:val="20"/>
          <w:szCs w:val="20"/>
          <w:color w:val="auto"/>
        </w:rPr>
      </w:pPr>
    </w:p>
    <w:p>
      <w:pPr>
        <w:ind w:left="320" w:right="460" w:hanging="314"/>
        <w:spacing w:after="0" w:line="304" w:lineRule="auto"/>
        <w:tabs>
          <w:tab w:leader="none" w:pos="31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September 30, 2022 of LendingTree, Inc. (the “Report”) which this statement accompanies fully complies with the requirements of Section 13(a) or 15(d) of the Securities Exchange Act of 1934 (15 U.S.C. 78m or 78o(d)); and</w:t>
      </w:r>
    </w:p>
    <w:p>
      <w:pPr>
        <w:spacing w:after="0" w:line="21" w:lineRule="exact"/>
        <w:rPr>
          <w:rFonts w:ascii="Times New Roman" w:cs="Times New Roman" w:eastAsia="Times New Roman" w:hAnsi="Times New Roman"/>
          <w:sz w:val="17"/>
          <w:szCs w:val="17"/>
          <w:color w:val="auto"/>
        </w:rPr>
      </w:pPr>
    </w:p>
    <w:p>
      <w:pPr>
        <w:ind w:right="440" w:firstLine="6"/>
        <w:spacing w:after="0" w:line="366" w:lineRule="auto"/>
        <w:tabs>
          <w:tab w:leader="none" w:pos="3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November 4, 2022</w:t>
      </w:r>
    </w:p>
    <w:p>
      <w:pPr>
        <w:spacing w:after="0" w:line="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14605</wp:posOffset>
            </wp:positionV>
            <wp:extent cx="387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Douglas R. Lebda</w:t>
      </w:r>
    </w:p>
    <w:p>
      <w:pPr>
        <w:spacing w:after="0" w:line="24"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67"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7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Trent Ziegler, certify, pursuant to 18 U.S.C. Section 1350, as adopted pursuant to Section 906 of the Sarbanes-Oxley Act of 2002, that to my knowledge:</w:t>
      </w:r>
    </w:p>
    <w:p>
      <w:pPr>
        <w:spacing w:after="0" w:line="98" w:lineRule="exact"/>
        <w:rPr>
          <w:sz w:val="20"/>
          <w:szCs w:val="20"/>
          <w:color w:val="auto"/>
        </w:rPr>
      </w:pPr>
    </w:p>
    <w:p>
      <w:pPr>
        <w:ind w:left="320" w:right="460" w:hanging="314"/>
        <w:spacing w:after="0" w:line="304" w:lineRule="auto"/>
        <w:tabs>
          <w:tab w:leader="none" w:pos="3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fiscal quarter ended September 30, 2022 of LendingTree, Inc. (the “Report”) which this statement accompanies fully complies with the requirements of Section 13(a) or 15(d) of the Securities Exchange Act of 1934 (15 U.S.C. 78m or 78o(d)); and</w:t>
      </w:r>
    </w:p>
    <w:p>
      <w:pPr>
        <w:spacing w:after="0" w:line="21" w:lineRule="exact"/>
        <w:rPr>
          <w:rFonts w:ascii="Times New Roman" w:cs="Times New Roman" w:eastAsia="Times New Roman" w:hAnsi="Times New Roman"/>
          <w:sz w:val="17"/>
          <w:szCs w:val="17"/>
          <w:color w:val="auto"/>
        </w:rPr>
      </w:pPr>
    </w:p>
    <w:p>
      <w:pPr>
        <w:ind w:right="440" w:firstLine="6"/>
        <w:spacing w:after="0" w:line="366" w:lineRule="auto"/>
        <w:tabs>
          <w:tab w:leader="none" w:pos="3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LendingTree, Inc. Date: November 4, 2022</w:t>
      </w:r>
    </w:p>
    <w:p>
      <w:pPr>
        <w:spacing w:after="0" w:line="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14605</wp:posOffset>
            </wp:positionV>
            <wp:extent cx="387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Trent Ziegler</w:t>
      </w:r>
    </w:p>
    <w:p>
      <w:pPr>
        <w:spacing w:after="0" w:line="24"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8"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8" Type="http://schemas.openxmlformats.org/officeDocument/2006/relationships/hyperlink" Target="http://www.sec.gov/Archives/edgar/data/1434621/000110465908054882/a08-22125_1ex3d1.htm" TargetMode="External"/><Relationship Id="rId69"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2022-11-04T16:45:40Z</dcterms:created>
  <dcterms:modified xsi:type="dcterms:W3CDTF">2022-11-04T16:45:40Z</dcterms:modified>
</cp:coreProperties>
</file>