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29,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LendingTree,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5739"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001-34063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26-2414818</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rPr>
      </w:pPr>
      <w:r>
        <w:rPr>
          <w:color w:val="000000"/>
        </w:rPr>
        <w:t> </w:t>
      </w:r>
    </w:p>
    <w:tbl>
      <w:tblPr>
        <w:tblW w:w="5638" w:type="dxa"/>
        <w:jc w:val="left"/>
        <w:tblInd w:w="0" w:type="dxa"/>
        <w:tblLayout w:type="fixed"/>
        <w:tblCellMar>
          <w:top w:w="28" w:type="dxa"/>
          <w:left w:w="28" w:type="dxa"/>
          <w:bottom w:w="28" w:type="dxa"/>
          <w:right w:w="28" w:type="dxa"/>
        </w:tblCellMar>
      </w:tblPr>
      <w:tblGrid>
        <w:gridCol w:w="1080"/>
        <w:gridCol w:w="950"/>
        <w:gridCol w:w="954"/>
        <w:gridCol w:w="305"/>
        <w:gridCol w:w="305"/>
        <w:gridCol w:w="306"/>
        <w:gridCol w:w="125"/>
        <w:gridCol w:w="125"/>
        <w:gridCol w:w="126"/>
        <w:gridCol w:w="109"/>
        <w:gridCol w:w="109"/>
        <w:gridCol w:w="109"/>
        <w:gridCol w:w="303"/>
        <w:gridCol w:w="303"/>
        <w:gridCol w:w="429"/>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1415 Vantage Park Dr., Suite 700,</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Charlotte</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28203</w:t>
            </w:r>
          </w:p>
        </w:tc>
      </w:tr>
      <w:tr>
        <w:trPr/>
        <w:tc>
          <w:tcPr>
            <w:tcW w:w="4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(704) 541-5351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2.02.     </w:t>
      </w:r>
      <w:r>
        <w:rPr>
          <w:rFonts w:ascii="Times New Roman;serif" w:hAnsi="Times New Roman;serif"/>
          <w:b/>
          <w:i/>
          <w:color w:val="000000"/>
          <w:sz w:val="20"/>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2026, LendingTree, Inc. (the “Registrant”) announced financial results for the quarter ended June 30, 2026.  A copy of the related press release is furnished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shall not be deemed to be “filed” for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Item 9.01.  </w:t>
      </w:r>
      <w:r>
        <w:rPr>
          <w:rFonts w:ascii="Times New Roman;serif" w:hAnsi="Times New Roman;serif"/>
          <w:b/>
          <w:i/>
          <w:color w:val="000000"/>
          <w:sz w:val="20"/>
        </w:rPr>
        <w:t>Financial Statements and Exhibits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11"/>
        <w:gridCol w:w="2611"/>
        <w:gridCol w:w="37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tree-63026xer.htm">
              <w:r>
                <w:rPr>
                  <w:rStyle w:val="InternetLink"/>
                  <w:rFonts w:ascii="Times New Roman;serif" w:hAnsi="Times New Roman;serif"/>
                  <w:b w:val="false"/>
                  <w:color w:val="000080"/>
                  <w:sz w:val="20"/>
                  <w:u w:val="single"/>
                </w:rPr>
                <w:t xml:space="preserve">Press Release, dated </w:t>
              </w:r>
            </w:hyperlink>
            <w:hyperlink w:anchor="tree-63026xer.htm">
              <w:r>
                <w:rPr>
                  <w:rStyle w:val="InternetLink"/>
                  <w:rFonts w:ascii="Times New Roman;serif" w:hAnsi="Times New Roman;serif"/>
                  <w:b w:val="false"/>
                  <w:color w:val="000080"/>
                  <w:sz w:val="20"/>
                  <w:u w:val="single"/>
                </w:rPr>
                <w:t>July 29</w:t>
              </w:r>
            </w:hyperlink>
            <w:hyperlink w:anchor="tree-63026xer.htm">
              <w:r>
                <w:rPr>
                  <w:rStyle w:val="InternetLink"/>
                  <w:rFonts w:ascii="Times New Roman;serif" w:hAnsi="Times New Roman;serif"/>
                  <w:b w:val="false"/>
                  <w:color w:val="000080"/>
                  <w:sz w:val="20"/>
                  <w:u w:val="single"/>
                </w:rPr>
                <w:t>, 202</w:t>
              </w:r>
            </w:hyperlink>
            <w:hyperlink w:anchor="tree-63026xer.htm">
              <w:r>
                <w:rPr>
                  <w:rStyle w:val="InternetLink"/>
                  <w:rFonts w:ascii="Times New Roman;serif" w:hAnsi="Times New Roman;serif"/>
                  <w:b w:val="false"/>
                  <w:color w:val="000080"/>
                  <w:sz w:val="20"/>
                  <w:u w:val="single"/>
                </w:rPr>
                <w:t>6</w:t>
              </w:r>
            </w:hyperlink>
            <w:hyperlink w:anchor="tree-63026xer.htm">
              <w:r>
                <w:rPr>
                  <w:rStyle w:val="InternetLink"/>
                  <w:rFonts w:ascii="Times New Roman;serif" w:hAnsi="Times New Roman;serif"/>
                  <w:b w:val="false"/>
                  <w:color w:val="000080"/>
                  <w:sz w:val="20"/>
                  <w:u w:val="single"/>
                </w:rPr>
                <w:t xml:space="preserve">, with respect to the Registrant’s financial results for the quarter ended </w:t>
              </w:r>
            </w:hyperlink>
            <w:hyperlink w:anchor="tree-63026xer.htm">
              <w:r>
                <w:rPr>
                  <w:rStyle w:val="InternetLink"/>
                  <w:rFonts w:ascii="Times New Roman;serif" w:hAnsi="Times New Roman;serif"/>
                  <w:b w:val="false"/>
                  <w:color w:val="000080"/>
                  <w:sz w:val="20"/>
                  <w:u w:val="single"/>
                </w:rPr>
                <w:t>June</w:t>
              </w:r>
            </w:hyperlink>
            <w:hyperlink w:anchor="tree-63026xer.htm">
              <w:r>
                <w:rPr>
                  <w:rStyle w:val="InternetLink"/>
                  <w:rFonts w:ascii="Times New Roman;serif" w:hAnsi="Times New Roman;serif"/>
                  <w:b w:val="false"/>
                  <w:color w:val="000080"/>
                  <w:sz w:val="20"/>
                  <w:u w:val="single"/>
                </w:rPr>
                <w:t xml:space="preserve"> 30, 202</w:t>
              </w:r>
            </w:hyperlink>
            <w:hyperlink w:anchor="tree-63026xer.htm">
              <w:r>
                <w:rPr>
                  <w:rStyle w:val="InternetLink"/>
                  <w:rFonts w:ascii="Times New Roman;serif" w:hAnsi="Times New Roman;serif"/>
                  <w:b w:val="false"/>
                  <w:color w:val="000080"/>
                  <w:sz w:val="20"/>
                  <w:u w:val="single"/>
                </w:rPr>
                <w:t>6</w:t>
              </w:r>
            </w:hyperlink>
            <w:hyperlink w:anchor="tree-63026xer.htm">
              <w:r>
                <w:rPr>
                  <w:rStyle w:val="InternetLink"/>
                  <w:rFonts w:ascii="Times New Roman;serif" w:hAnsi="Times New Roman;serif"/>
                  <w:b w:val="false"/>
                  <w:color w:val="000080"/>
                  <w:sz w:val="20"/>
                  <w:u w:val="single"/>
                </w:rPr>
                <w:t>.</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4204" w:type="dxa"/>
        <w:jc w:val="left"/>
        <w:tblInd w:w="0" w:type="dxa"/>
        <w:tblLayout w:type="fixed"/>
        <w:tblCellMar>
          <w:top w:w="28" w:type="dxa"/>
          <w:left w:w="28" w:type="dxa"/>
          <w:bottom w:w="28" w:type="dxa"/>
          <w:right w:w="28" w:type="dxa"/>
        </w:tblCellMar>
      </w:tblPr>
      <w:tblGrid>
        <w:gridCol w:w="443"/>
        <w:gridCol w:w="390"/>
        <w:gridCol w:w="396"/>
        <w:gridCol w:w="322"/>
        <w:gridCol w:w="322"/>
        <w:gridCol w:w="322"/>
        <w:gridCol w:w="585"/>
        <w:gridCol w:w="585"/>
        <w:gridCol w:w="83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29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LENDINGTREE, INC.</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Bengel</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Bengel</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center"/>
        <w:rPr/>
      </w:pPr>
      <w:r>
        <w:rPr/>
        <w:drawing>
          <wp:inline distT="0" distB="0" distL="0" distR="0">
            <wp:extent cx="26765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6765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REPORTS SECOND QUARTER 2026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Revenue Grew 25% YoY Driven By Strong Insurance Segment Performance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Consolidated revenue of $313.4 million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GAAP net income of $9.6 million or $0.68 per diluted share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 xml:space="preserve">Variable marketing margin of $87.3 million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Adjusted EBITDA of $35.2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CHARLOTTE, NC - July 29, 2026 - LendingTree, Inc. (NASDAQ: TREE), operator of LendingTree.com, the nation's leading online financial services marketplace, today announced results for the quarter ended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posted a letter to shareholders on the company's website at investors.lendingtree.com.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posted our eighth straight quarter of double-digit year-over-year adjusted EBITDA growth in Q2, powered by another solid quarter from our Insurance segment," said Scott Peyree, CEO. "We also accomplished a great deal on the product and AI front during the period. We launched several new consumer-facing AI capabilities such as our ChatGPT app, expanded our marketplace into six new verticals, and we are continuing to see strong results from our homepage redesign. We remain laser focused as a team on executing our strategy to become the Number One Destination to Shop For Financial Products."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Jason Bengel, CFO, commented, "Solid Insurance segment results were offset by weaker than expected Consumer performance in Q2. Last quarter we called out an expected sequential decline in Consumer, driven by suppressed borrower demand in our small business segment. This demand trend continued to deteriorate throughout the quarter. However, appetite from small business owners for new loans on our network has since stabilized, and we expect sequential revenue growth through the remainder of the year. SMB has been a great success story for our company, having grown segment revenue nearly 40% year-over-year on average dating back to the beginning of 2024. Lenders remain very active on our network, and we expect an increase in borrower demand will allow us to climb back to, and eventually surpass, the record SMB performance in Q1 of this year based on strong structural tailwinds in the segment."</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Second Quarter 2026 Business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Insurance segment revenue of $209.3 million increased 42% over second quarter 2025 and translated into segment profit of $50.0 million, up 25% over the same period.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Consumer segment revenue of $60.3 million decreased 4% from the prior year period, while segment profit declined 14%.</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 xml:space="preserve">Home segment revenue of $43.9 million increased 9% over second quarter 2025 and produced segment profit of $11.3 million, a decline of 14% over the same period.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Within Home, revenue from Home Equity of $34.9 million increased 15% over prior year.</w:t>
      </w:r>
    </w:p>
    <w:p>
      <w:pPr>
        <w:pStyle w:val="TextBody"/>
        <w:bidi w:val="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2</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18"/>
        <w:gridCol w:w="691"/>
        <w:gridCol w:w="697"/>
        <w:gridCol w:w="211"/>
        <w:gridCol w:w="653"/>
        <w:gridCol w:w="271"/>
        <w:gridCol w:w="109"/>
        <w:gridCol w:w="109"/>
        <w:gridCol w:w="109"/>
        <w:gridCol w:w="211"/>
        <w:gridCol w:w="653"/>
        <w:gridCol w:w="271"/>
        <w:gridCol w:w="109"/>
        <w:gridCol w:w="109"/>
        <w:gridCol w:w="109"/>
        <w:gridCol w:w="233"/>
        <w:gridCol w:w="233"/>
        <w:gridCol w:w="541"/>
        <w:gridCol w:w="109"/>
        <w:gridCol w:w="109"/>
        <w:gridCol w:w="109"/>
        <w:gridCol w:w="109"/>
        <w:gridCol w:w="109"/>
        <w:gridCol w:w="109"/>
        <w:gridCol w:w="306"/>
        <w:gridCol w:w="965"/>
        <w:gridCol w:w="393"/>
        <w:gridCol w:w="109"/>
        <w:gridCol w:w="109"/>
        <w:gridCol w:w="109"/>
        <w:gridCol w:w="203"/>
        <w:gridCol w:w="203"/>
        <w:gridCol w:w="541"/>
        <w:gridCol w:w="109"/>
        <w:gridCol w:w="109"/>
        <w:gridCol w:w="158"/>
      </w:tblGrid>
      <w:tr>
        <w:trPr/>
        <w:tc>
          <w:tcPr>
            <w:tcW w:w="91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LendingTree Summary Financial Metrics</w:t>
            </w:r>
          </w:p>
        </w:tc>
      </w:tr>
      <w:tr>
        <w:trPr/>
        <w:tc>
          <w:tcPr>
            <w:tcW w:w="10205" w:type="dxa"/>
            <w:gridSpan w:val="36"/>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c>
      </w:tr>
      <w:tr>
        <w:trPr/>
        <w:tc>
          <w:tcPr>
            <w:tcW w:w="2306"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15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 of revenue</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per share</w:t>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marketing expense </w:t>
            </w:r>
            <w:r>
              <w:rPr>
                <w:rFonts w:ascii="Times New Roman;serif" w:hAnsi="Times New Roman;serif"/>
                <w:b w:val="false"/>
                <w:color w:val="000000"/>
                <w:sz w:val="13"/>
              </w:rPr>
              <w:t>(1) (2)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Variable marketing margin </w:t>
            </w:r>
            <w:r>
              <w:rPr>
                <w:rFonts w:ascii="Times New Roman;serif" w:hAnsi="Times New Roman;serif"/>
                <w:b/>
                <w:color w:val="000000"/>
                <w:sz w:val="13"/>
              </w:rPr>
              <w:t>(2)</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Variable marketing margin % of revenue </w:t>
            </w:r>
            <w:r>
              <w:rPr>
                <w:rFonts w:ascii="Times New Roman;serif" w:hAnsi="Times New Roman;serif"/>
                <w:b w:val="false"/>
                <w:color w:val="000000"/>
                <w:sz w:val="13"/>
              </w:rPr>
              <w:t>(2)</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of variable marketing margin (2)</w:t>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Represents the portion of selling and marketing expense attributable to variable costs paid for advertising, direct marketing and related expenses. Excludes overhead, fixed costs and personnel-related expenses.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Variable marketing expense, variable marketing margin, variable marketing margin % of revenue, adjusted EBITDA, and adjusted EBITDA % of variable marketing margin are non-GAAP measures. Please see "LendingTree's Reconciliation of Non-GAAP Measures to GAAP" and "LendingTree's Principles of Financial Reporting" below for more information.</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3</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54"/>
        <w:gridCol w:w="679"/>
        <w:gridCol w:w="677"/>
        <w:gridCol w:w="211"/>
        <w:gridCol w:w="631"/>
        <w:gridCol w:w="271"/>
        <w:gridCol w:w="109"/>
        <w:gridCol w:w="109"/>
        <w:gridCol w:w="109"/>
        <w:gridCol w:w="211"/>
        <w:gridCol w:w="631"/>
        <w:gridCol w:w="271"/>
        <w:gridCol w:w="109"/>
        <w:gridCol w:w="109"/>
        <w:gridCol w:w="109"/>
        <w:gridCol w:w="214"/>
        <w:gridCol w:w="206"/>
        <w:gridCol w:w="541"/>
        <w:gridCol w:w="109"/>
        <w:gridCol w:w="109"/>
        <w:gridCol w:w="109"/>
        <w:gridCol w:w="109"/>
        <w:gridCol w:w="109"/>
        <w:gridCol w:w="109"/>
        <w:gridCol w:w="348"/>
        <w:gridCol w:w="1041"/>
        <w:gridCol w:w="447"/>
        <w:gridCol w:w="109"/>
        <w:gridCol w:w="109"/>
        <w:gridCol w:w="109"/>
        <w:gridCol w:w="214"/>
        <w:gridCol w:w="206"/>
        <w:gridCol w:w="541"/>
        <w:gridCol w:w="109"/>
        <w:gridCol w:w="109"/>
        <w:gridCol w:w="158"/>
      </w:tblGrid>
      <w:tr>
        <w:trPr/>
        <w:tc>
          <w:tcPr>
            <w:tcW w:w="85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LendingTree Segment Results</w:t>
            </w:r>
          </w:p>
        </w:tc>
      </w:tr>
      <w:tr>
        <w:trPr/>
        <w:tc>
          <w:tcPr>
            <w:tcW w:w="10205" w:type="dxa"/>
            <w:gridSpan w:val="36"/>
            <w:tcBorders>
              <w:left w:val="single" w:sz="16" w:space="0" w:color="000000"/>
              <w:right w:val="single" w:sz="16"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2210"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Q/Q</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Home</w:t>
            </w:r>
            <w:r>
              <w:rPr>
                <w:color w:val="000000"/>
              </w:rPr>
              <w:t xml:space="preserve"> </w:t>
            </w:r>
            <w:r>
              <w:rPr>
                <w:rFonts w:ascii="Times New Roman;serif" w:hAnsi="Times New Roman;serif"/>
                <w:b/>
                <w:color w:val="000000"/>
                <w:sz w:val="13"/>
              </w:rPr>
              <w:t>(1)</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profit % of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Consumer</w:t>
            </w:r>
            <w:r>
              <w:rPr>
                <w:color w:val="000000"/>
              </w:rPr>
              <w:t xml:space="preserve"> </w:t>
            </w:r>
            <w:r>
              <w:rPr>
                <w:rFonts w:ascii="Times New Roman;serif" w:hAnsi="Times New Roman;serif"/>
                <w:b/>
                <w:color w:val="000000"/>
                <w:sz w:val="13"/>
              </w:rPr>
              <w:t>(2)</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profit % of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50 </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Insurance</w:t>
            </w:r>
            <w:r>
              <w:rPr>
                <w:color w:val="000000"/>
              </w:rPr>
              <w:t xml:space="preserve"> </w:t>
            </w:r>
            <w:r>
              <w:rPr>
                <w:rFonts w:ascii="Times New Roman;serif" w:hAnsi="Times New Roman;serif"/>
                <w:b/>
                <w:color w:val="000000"/>
                <w:sz w:val="13"/>
              </w:rPr>
              <w:t>(3)</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profit % of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Other</w:t>
            </w:r>
            <w:r>
              <w:rPr>
                <w:color w:val="000000"/>
              </w:rPr>
              <w:t xml:space="preserve"> </w:t>
            </w:r>
            <w:r>
              <w:rPr>
                <w:rFonts w:ascii="Times New Roman;serif" w:hAnsi="Times New Roman;serif"/>
                <w:b/>
                <w:color w:val="000000"/>
                <w:sz w:val="13"/>
              </w:rPr>
              <w:t>(4)</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327.3</w:t>
            </w:r>
            <w:r>
              <w:rPr>
                <w:color w:val="000000"/>
              </w:rPr>
              <w:t>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w:t>
            </w:r>
            <w:r>
              <w:rPr>
                <w:color w:val="000000"/>
              </w:rPr>
              <w:t>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Brand marketing expense </w:t>
            </w:r>
            <w:r>
              <w:rPr>
                <w:rFonts w:ascii="Times New Roman;serif" w:hAnsi="Times New Roman;serif"/>
                <w:b w:val="false"/>
                <w:color w:val="000000"/>
                <w:sz w:val="13"/>
              </w:rPr>
              <w:t>(5)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83.6</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tcBorders>
            <w:tcMar>
              <w:top w:w="0" w:type="dxa"/>
              <w:left w:w="24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marketing margin % of revenue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30 </w:t>
            </w:r>
          </w:p>
        </w:tc>
        <w:tc>
          <w:tcPr>
            <w:tcW w:w="4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10"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3085"/>
        <w:gridCol w:w="2795"/>
        <w:gridCol w:w="3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Home segment includes the following products: purchase mortgage, refinance mortgage, and home equity loans.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Consumer segment includes the following products: credit cards, personal loans, small business loans, auto loans, deposit accounts and debt settlement.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Insurance segment consists of insurance quote products and sales of insurance policies. We closed the insurance agency business and ceased the sale of insurance policies in the second quarter of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Other category primarily includes marketing revenue and related expenses not allocated to a specific segment.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Brand marketing expense represents the portion of selling and marketing expense attributable to variable costs paid for advertising, direct marketing and related expenses that are not assignable to the segments' products. This measure excludes overhead, fixed costs and personnel-related expenses. </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Financial 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Today we update our full-year 2026 outlook and provide our outlook for Q3:</w:t>
      </w:r>
    </w:p>
    <w:p>
      <w:pPr>
        <w:pStyle w:val="TextBody"/>
        <w:bidi w:val="0"/>
        <w:spacing w:before="0" w:after="0"/>
        <w:jc w:val="both"/>
        <w:rPr/>
      </w:pPr>
      <w:r>
        <w:rPr/>
      </w:r>
    </w:p>
    <w:p>
      <w:pPr>
        <w:pStyle w:val="TextBody"/>
        <w:bidi w:val="0"/>
        <w:spacing w:lineRule="auto" w:line="268" w:before="120" w:after="240"/>
        <w:jc w:val="both"/>
        <w:rPr>
          <w:rFonts w:ascii="Times New Roman;serif" w:hAnsi="Times New Roman;serif"/>
          <w:b/>
          <w:color w:val="000000"/>
          <w:sz w:val="22"/>
        </w:rPr>
      </w:pPr>
      <w:r>
        <w:rPr>
          <w:rFonts w:ascii="Times New Roman;serif" w:hAnsi="Times New Roman;serif"/>
          <w:b/>
          <w:color w:val="000000"/>
          <w:sz w:val="22"/>
        </w:rPr>
        <w:t>Full-year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Revenue of $1.30 to $1.32 billion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Variable Marketing Margin of $364 - $374 million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Adjusted EBITDA of $145 - $152 million</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Third-quarter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Revenue: $325 - $335 million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Variable Marketing Margin: $88 - $93 million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2"/>
        </w:rPr>
        <w:t>Adjusted EBITDA: $34 - $36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*LendingTree is not able to provide a reconciliation of projected variable marketing margin or adjusted EBITDA to the most directly comparable expected GAAP results due to the unknown effect, timing and potential significance of the effects of legal matters and tax considerations. Expenses associated with legal matters and tax considerations have in the past, and may in the future, significantly affect GAAP results in a particular period.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Quarterly Conference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conference call to discuss LendingTree's second quarter 2026 financial results will be webcast live today, July 29, 2026 at 4:30 PM Eastern Time (ET). The live webcast is open to the public and will be available on LendingTree's investor relations website at investors.lendingtree.com. Following completion of the call, a recorded replay of the webcast will be available on the website.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5</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8"/>
        <w:gridCol w:w="1359"/>
        <w:gridCol w:w="1376"/>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 share amounts)</w:t>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489,844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i/>
                <w:color w:val="000000"/>
                <w:sz w:val="20"/>
              </w:rPr>
              <w:t>(exclusive of depreciation and amortization shown separately below)</w:t>
            </w:r>
            <w:r>
              <w:rPr>
                <w:color w:val="000000"/>
              </w:rPr>
              <w:t xml:space="preserve"> </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and marketing expense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w:t>
            </w:r>
            <w:r>
              <w:rPr>
                <w:color w:val="000000"/>
              </w:rPr>
              <w:t xml:space="preserve"> </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Product development</w:t>
            </w:r>
            <w:r>
              <w:rPr>
                <w:color w:val="000000"/>
              </w:rPr>
              <w:t xml:space="preserve">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severance</w:t>
            </w:r>
            <w:r>
              <w:rPr>
                <w:color w:val="000000"/>
              </w:rPr>
              <w:t xml:space="preserve"> </w:t>
            </w:r>
            <w:r>
              <w:rPr>
                <w:rFonts w:ascii="Times New Roman;serif" w:hAnsi="Times New Roman;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contingencies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291,624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587,777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476,029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53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and comprehensive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Amounts include non-cash compensation, as follows: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6</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33"/>
        <w:gridCol w:w="2113"/>
        <w:gridCol w:w="2130"/>
        <w:gridCol w:w="245"/>
        <w:gridCol w:w="976"/>
        <w:gridCol w:w="126"/>
        <w:gridCol w:w="126"/>
        <w:gridCol w:w="126"/>
        <w:gridCol w:w="126"/>
        <w:gridCol w:w="245"/>
        <w:gridCol w:w="976"/>
        <w:gridCol w:w="183"/>
      </w:tblGrid>
      <w:tr>
        <w:trPr/>
        <w:tc>
          <w:tcPr>
            <w:tcW w:w="283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par value and share amounts)</w:t>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299,804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229,708</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911,631</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855,692</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trade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162,369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137,464</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590,859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568,895</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 shares authorized; none issued or outstanding</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 shares authorized; 17,389,706 and 17,124,837 shares issued, respectively, and 14,034,240 and 13,769,371 shares outstanding, respectively</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1,280,903 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(728,099)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3,355,466 and 3,355,466 shares, respectively</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320,772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286,797</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911,631</w:t>
            </w:r>
            <w:r>
              <w:rPr>
                <w:color w:val="000000"/>
              </w:rPr>
              <w:t> </w:t>
            </w:r>
          </w:p>
        </w:tc>
        <w:tc>
          <w:tcPr>
            <w:tcW w:w="1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855,692</w:t>
            </w:r>
            <w:r>
              <w:rPr>
                <w:color w:val="000000"/>
              </w:rPr>
              <w:t> </w:t>
            </w:r>
          </w:p>
        </w:tc>
        <w:tc>
          <w:tcPr>
            <w:tcW w:w="1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7</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 INC. AND SUBSIDIARIES</w:t>
      </w:r>
    </w:p>
    <w:p>
      <w:pPr>
        <w:pStyle w:val="TextBody"/>
        <w:bidi w:val="0"/>
        <w:spacing w:lineRule="auto" w:line="288" w:before="0" w:after="0"/>
        <w:jc w:val="center"/>
        <w:rPr/>
      </w:pPr>
      <w:r>
        <w:rPr>
          <w:color w:val="000000"/>
        </w:rPr>
        <w:t> </w:t>
      </w: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2"/>
        <w:gridCol w:w="2362"/>
        <w:gridCol w:w="2376"/>
        <w:gridCol w:w="211"/>
        <w:gridCol w:w="841"/>
        <w:gridCol w:w="109"/>
        <w:gridCol w:w="109"/>
        <w:gridCol w:w="109"/>
        <w:gridCol w:w="109"/>
        <w:gridCol w:w="211"/>
        <w:gridCol w:w="841"/>
        <w:gridCol w:w="155"/>
      </w:tblGrid>
      <w:tr>
        <w:trPr/>
        <w:tc>
          <w:tcPr>
            <w:tcW w:w="2772"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40,717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27,743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(6,158)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term loan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term loan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related to net-share settlement of stock-based compensation, net of proceeds from exercise of 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Repurchase of 0.50% Convertible Senior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debt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9"/>
              </w:rPr>
            </w:pPr>
            <w:r>
              <w:rPr>
                <w:rFonts w:ascii="Times New Roman;serif" w:hAnsi="Times New Roman;serif"/>
                <w:b/>
                <w:color w:val="000000"/>
                <w:sz w:val="19"/>
              </w:rPr>
              <w:t>(5,141)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20,952</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(decrease) increase in cash, cash equivalents, restricted cash and restricted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29,693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42,537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restricted cash and restricted cash equivalents at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restricted cash and restricted cash equivalents at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110,766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w:t>
            </w:r>
          </w:p>
        </w:tc>
        <w:tc>
          <w:tcPr>
            <w:tcW w:w="8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9"/>
              </w:rPr>
              <w:t>149,131</w:t>
            </w:r>
            <w:r>
              <w:rPr>
                <w:color w:val="000000"/>
              </w:rPr>
              <w:t>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751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8</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LENDINGTREE'S RECONCILIATION OF NON-GAAP MEASURES TO GAAP</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Variable Marketing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selling and marketing expense, the most directly comparable GAAP measure, to variable marketing expense. See "LendingTree's Principles of Financial Reporting" for further discussion of the Company's use of this non-GAAP measure.</w:t>
      </w:r>
    </w:p>
    <w:p>
      <w:pPr>
        <w:pStyle w:val="TextBody"/>
        <w:bidi w:val="0"/>
        <w:spacing w:before="0" w:after="0"/>
        <w:jc w:val="left"/>
        <w:rPr/>
      </w:pPr>
      <w:r>
        <w:rPr/>
      </w:r>
    </w:p>
    <w:tbl>
      <w:tblPr>
        <w:tblW w:w="7758" w:type="dxa"/>
        <w:jc w:val="center"/>
        <w:tblInd w:w="0" w:type="dxa"/>
        <w:tblLayout w:type="fixed"/>
        <w:tblCellMar>
          <w:top w:w="28" w:type="dxa"/>
          <w:left w:w="28" w:type="dxa"/>
          <w:bottom w:w="28" w:type="dxa"/>
          <w:right w:w="28" w:type="dxa"/>
        </w:tblCellMar>
      </w:tblPr>
      <w:tblGrid>
        <w:gridCol w:w="1417"/>
        <w:gridCol w:w="1245"/>
        <w:gridCol w:w="1253"/>
        <w:gridCol w:w="354"/>
        <w:gridCol w:w="390"/>
        <w:gridCol w:w="391"/>
        <w:gridCol w:w="420"/>
        <w:gridCol w:w="387"/>
        <w:gridCol w:w="394"/>
        <w:gridCol w:w="354"/>
        <w:gridCol w:w="390"/>
        <w:gridCol w:w="391"/>
        <w:gridCol w:w="109"/>
        <w:gridCol w:w="109"/>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and marketing expense</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236,453</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238,568</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176,753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Non-variable selling and marketing expense </w:t>
            </w:r>
            <w:r>
              <w:rPr>
                <w:rFonts w:ascii="Times New Roman;serif" w:hAnsi="Times New Roman;serif"/>
                <w:b w:val="false"/>
                <w:color w:val="000000"/>
                <w:sz w:val="13"/>
              </w:rPr>
              <w:t>(1)</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expense</w:t>
            </w:r>
          </w:p>
        </w:tc>
        <w:tc>
          <w:tcPr>
            <w:tcW w:w="3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226,083</w:t>
            </w:r>
          </w:p>
        </w:tc>
        <w:tc>
          <w:tcPr>
            <w:tcW w:w="42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227,720</w:t>
            </w:r>
          </w:p>
        </w:tc>
        <w:tc>
          <w:tcPr>
            <w:tcW w:w="3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166,468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68"/>
        <w:gridCol w:w="148"/>
        <w:gridCol w:w="109"/>
        <w:gridCol w:w="2862"/>
        <w:gridCol w:w="2862"/>
        <w:gridCol w:w="405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r>
      <w:tr>
        <w:trPr/>
        <w:tc>
          <w:tcPr>
            <w:tcW w:w="3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302"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10"/>
        <w:gridCol w:w="210"/>
        <w:gridCol w:w="299"/>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LENDINGTREE'S RECONCILIATION OF NON-GAAP MEASURES TO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Variable Marketing Margin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net income, the most directly comparable GAAP measure, to variable marketing margin and net income % of revenue to variable marketing margin % of revenue. See "LendingTree's Principles of Financial Reporting" for further discussion of the Company's use of these non-GAAP measures.</w:t>
      </w:r>
    </w:p>
    <w:p>
      <w:pPr>
        <w:pStyle w:val="TextBody"/>
        <w:bidi w:val="0"/>
        <w:spacing w:before="0" w:after="0"/>
        <w:jc w:val="left"/>
        <w:rPr/>
      </w:pPr>
      <w:r>
        <w:rPr/>
      </w:r>
    </w:p>
    <w:tbl>
      <w:tblPr>
        <w:tblW w:w="8242" w:type="dxa"/>
        <w:jc w:val="center"/>
        <w:tblInd w:w="0" w:type="dxa"/>
        <w:tblLayout w:type="fixed"/>
        <w:tblCellMar>
          <w:top w:w="28" w:type="dxa"/>
          <w:left w:w="28" w:type="dxa"/>
          <w:bottom w:w="28" w:type="dxa"/>
          <w:right w:w="28" w:type="dxa"/>
        </w:tblCellMar>
      </w:tblPr>
      <w:tblGrid>
        <w:gridCol w:w="1667"/>
        <w:gridCol w:w="1463"/>
        <w:gridCol w:w="1475"/>
        <w:gridCol w:w="388"/>
        <w:gridCol w:w="337"/>
        <w:gridCol w:w="339"/>
        <w:gridCol w:w="461"/>
        <w:gridCol w:w="335"/>
        <w:gridCol w:w="341"/>
        <w:gridCol w:w="388"/>
        <w:gridCol w:w="337"/>
        <w:gridCol w:w="339"/>
        <w:gridCol w:w="109"/>
        <w:gridCol w:w="109"/>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9,574</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17,266</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 of revenue</w:t>
            </w:r>
          </w:p>
        </w:tc>
        <w:tc>
          <w:tcPr>
            <w:tcW w:w="10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11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variable marketing margin:</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Non-variable selling and marketing expense </w:t>
            </w:r>
            <w:r>
              <w:rPr>
                <w:rFonts w:ascii="Times New Roman;serif" w:hAnsi="Times New Roman;serif"/>
                <w:b w:val="false"/>
                <w:color w:val="000000"/>
                <w:sz w:val="13"/>
              </w:rPr>
              <w:t>(1)</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10,848</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27,990</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settlements and contingencies </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marketing margin</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87,339</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99,547</w:t>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Variable marketing margin % of revenue</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
        <w:gridCol w:w="144"/>
        <w:gridCol w:w="109"/>
        <w:gridCol w:w="2866"/>
        <w:gridCol w:w="2866"/>
        <w:gridCol w:w="4057"/>
      </w:tblGrid>
      <w:tr>
        <w:trPr/>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416" w:type="dxa"/>
            <w:gridSpan w:val="3"/>
            <w:tcBorders/>
            <w:vAlign w:val="center"/>
          </w:tcPr>
          <w:p>
            <w:pPr>
              <w:pStyle w:val="TableContents"/>
              <w:bidi w:val="0"/>
              <w:spacing w:before="0" w:after="283"/>
              <w:jc w:val="left"/>
              <w:rPr>
                <w:sz w:val="4"/>
                <w:szCs w:val="4"/>
              </w:rPr>
            </w:pPr>
            <w:r>
              <w:rPr>
                <w:sz w:val="4"/>
                <w:szCs w:val="4"/>
              </w:rPr>
            </w:r>
          </w:p>
        </w:tc>
        <w:tc>
          <w:tcPr>
            <w:tcW w:w="9789" w:type="dxa"/>
            <w:gridSpan w:val="3"/>
            <w:tcBorders/>
            <w:vAlign w:val="center"/>
          </w:tcPr>
          <w:p>
            <w:pPr>
              <w:pStyle w:val="TableContents"/>
              <w:bidi w:val="0"/>
              <w:spacing w:before="0" w:after="283"/>
              <w:jc w:val="left"/>
              <w:rPr>
                <w:sz w:val="4"/>
                <w:szCs w:val="4"/>
              </w:rPr>
            </w:pPr>
            <w:r>
              <w:rPr>
                <w:sz w:val="4"/>
                <w:szCs w:val="4"/>
              </w:rPr>
            </w:r>
          </w:p>
        </w:tc>
      </w:tr>
      <w:tr>
        <w:trPr/>
        <w:tc>
          <w:tcPr>
            <w:tcW w:w="3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the portion of selling and marketing expense not attributable to variable costs paid for advertising, direct marketing and related expenses. Includes overhead, fixed costs and personnel-related expenses.</w:t>
            </w:r>
          </w:p>
        </w:tc>
      </w:tr>
    </w:tbl>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407"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41"/>
        <w:gridCol w:w="241"/>
        <w:gridCol w:w="342"/>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10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LENDINGTREE'S RECONCILIATION OF NON-GAAP MEASURES TO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Adjusted EBITDA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reconciliation of net income, the most directly comparable GAAP measure, to adjusted EBITDA and net income % of revenue to adjusted EBITDA % of revenue. See "LendingTree's Principles of Financial Reporting" for further discussion of the Company's use of these non-GAAP measures.</w:t>
      </w:r>
    </w:p>
    <w:p>
      <w:pPr>
        <w:pStyle w:val="TextBody"/>
        <w:bidi w:val="0"/>
        <w:spacing w:before="0" w:after="0"/>
        <w:jc w:val="center"/>
        <w:rPr/>
      </w:pPr>
      <w:r>
        <w:rPr/>
      </w:r>
    </w:p>
    <w:tbl>
      <w:tblPr>
        <w:tblW w:w="7746" w:type="dxa"/>
        <w:jc w:val="center"/>
        <w:tblInd w:w="0" w:type="dxa"/>
        <w:tblLayout w:type="fixed"/>
        <w:tblCellMar>
          <w:top w:w="28" w:type="dxa"/>
          <w:left w:w="28" w:type="dxa"/>
          <w:bottom w:w="28" w:type="dxa"/>
          <w:right w:w="28" w:type="dxa"/>
        </w:tblCellMar>
      </w:tblPr>
      <w:tblGrid>
        <w:gridCol w:w="1487"/>
        <w:gridCol w:w="1306"/>
        <w:gridCol w:w="1316"/>
        <w:gridCol w:w="388"/>
        <w:gridCol w:w="337"/>
        <w:gridCol w:w="339"/>
        <w:gridCol w:w="461"/>
        <w:gridCol w:w="335"/>
        <w:gridCol w:w="341"/>
        <w:gridCol w:w="388"/>
        <w:gridCol w:w="337"/>
        <w:gridCol w:w="339"/>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9,574</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17,266</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 of revenue</w:t>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113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w:t>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adjusted EBITDA:</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4,277</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severance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impairments and disposal of assets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investments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LendingTree Foundation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Litigation settlements and contingencies </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35,162</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42,009</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of revenue</w:t>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w:t>
            </w:r>
          </w:p>
        </w:tc>
        <w:tc>
          <w:tcPr>
            <w:tcW w:w="113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10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407"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41"/>
        <w:gridCol w:w="241"/>
        <w:gridCol w:w="342"/>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LENDINGTREE’S PRINCIPLES OF FINANCIAL REPORTING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LendingTree reports the following non-GAAP measures as supplemental to GAAP: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Variable marketing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Variable marketing margin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Variable marketing margin %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Earnings Before Interest, Taxes, Depreciation and Amortization, as adjusted for certain items discussed below ("Adjusted EBITDA")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 % of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 % of variable marketing margin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Variable marketing expense, variable marketing margin and variable marketing margin % of revenue are related measures of the effectiveness of the Company's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the Company’s operating model, measuring revenue after subtracting variable marketing expense. The Company’s operating model is highly sensitive to the amount and efficiency of variable marketing expenditures, and the Company’s proprietary systems are able to make rapidly changing decisions concerning the deployment of variable marketing expenditures (primarily but not exclusively online and mobile advertising placement) based on proprietary and sophisticated analytics.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adjusted EBITDA % of revenue, and adjusted EBITDA % of variable marketing margin are primary metrics by which LendingTree evaluates the operating performance of its businesses, on which its marketing expenditures and internal budgets are based and, in the case of adjusted EBITDA, by which management and many employees are compensated in most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These non-GAAP measures should be considered in addition to results prepared in accordance with GAAP, but should not be considered a substitute for or superior to GAAP results. LendingTree provides and encourages investors to examine the reconciling adjustments between the GAAP and non-GAAP measures set forth above.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Definition of LendingTree's Non-GAAP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Variable marketing margin is defined as revenue less variable marketing expense. 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the Company's consolidated statements of operations and consolidated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EBITDA is defined as net income excluding interest, income taxes, amortization of intangibles and depreciation.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is defined as EBITDA excluding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LendingTree endeavors to compensate for the limitations of these non-GAAP measures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407"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41"/>
        <w:gridCol w:w="241"/>
        <w:gridCol w:w="342"/>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12</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One-Time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and adjusted net income are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Non-Cash Expenses That Are Excluded From LendingTree's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Non-cash compensation expense consists principally of expense associated with the grants of restricted stock, restricted stock units and stock options. These expenses are not paid in cash and LendingTree includes the related shares in its calculations of fully diluted shares outstanding. Upon settlement of restricted stock units, exercise of certain stock options or vesting of restricted stock awards, the awards may be settled on a net basis, with LendingTree remitting the required tax withholding amounts from its current funds. Cash expenditures for employer payroll taxes on non-cash compensation are included within adjusted EBITDA.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Amortization of intangibles are non-cash expenses relating primarily to acquisitions. At the time of an acquisition, the intangible assets of the acquired company, such as purchase agreements, technology and customer relationships, are valued and amortized over their estimated lives.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Safe Harbor Statement Under the Private Securities Litigation Reform Act of 1995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matters contained in the discussion above may be considered to be “forward-looking statements” within the meaning of the Securities Act of 1933 and the Securities Exchange Act of 1934, as amended by the Private Securities Litigation Reform Act of 1995. Those statements include statements regarding the intent, belief or current expectations or anticipations of LendingTree and members of our management team. Factors currently known to management that could cause actual results to differ materially from those in forward-looking statements include the following: adverse conditions in the primary and secondary mortgage markets and in the economy, particularly interest rates and inflation; default rates on loans, particularly unsecured loans; demand by investors for unsecured personal loans; the effect of such demand on interest rates for personal loans and consumer demand for personal loans; seasonality of results; potential liabilities to secondary market purchasers; changes in the Company's relationships with network partners, including dependence on certain key network partners; breaches of network security or the misappropriation or misuse of personal consumer information; failure to provide competitive service; our ability to compete effectively and adapt to competitive pressures in each of our businesses, including from disintermediation as well as technological change, digital disruption and other types of innovation such as artificial intelligence; failure to maintain brand recognition; ability to attract and retain consumers in a cost-effective manner; the effects of potential acquisitions of other businesses, including the ability to integrate them successfully with LendingTree’s existing operations; accounting rules related to excess tax benefits or expenses on stock-based compensation that could materially affect earnings in future periods; ability to develop new products and services and enhance existing ones; effects of changing laws, rules or regulations on our business model; allegations of failure to comply with existing or changing laws, rules or regulations, or to obtain and maintain required licenses; failure of network partners or other affiliated parties to comply with regulatory requirements; failure to maintain the integrity of systems and infrastructure; liabilities as a result of privacy regulations; failure to adequately protect intellectual property rights or allegations of infringement of intellectual property rights; and changes in management. These and additional factors to be considered are set forth under “Risk Factors” in our Annual Report on Form 10-K for the period ended December 31, 2025, in our Quarterly Report on Form 10-Q for the period ended March 31, 2026, and in our other filings with the Securities and Exchange Commission. LendingTree undertakes no obligation to update or revise forward-looking statements to reflect changed assumptions, the occurrence of unanticipated events or changes to future operating results or expectations.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LendingTree,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LendingTree, Inc. is the parent of LendingTree, LLC and several companies owned by LendingTree, LLC (collectively, "LendingTree" or the "Company").</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407" w:type="dxa"/>
        <w:jc w:val="center"/>
        <w:tblInd w:w="0" w:type="dxa"/>
        <w:tblLayout w:type="fixed"/>
        <w:tblCellMar>
          <w:top w:w="28" w:type="dxa"/>
          <w:left w:w="28" w:type="dxa"/>
          <w:bottom w:w="28" w:type="dxa"/>
          <w:right w:w="28" w:type="dxa"/>
        </w:tblCellMar>
      </w:tblPr>
      <w:tblGrid>
        <w:gridCol w:w="455"/>
        <w:gridCol w:w="400"/>
        <w:gridCol w:w="401"/>
        <w:gridCol w:w="109"/>
        <w:gridCol w:w="109"/>
        <w:gridCol w:w="109"/>
        <w:gridCol w:w="241"/>
        <w:gridCol w:w="241"/>
        <w:gridCol w:w="342"/>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256"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733425" cy="20955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733425" cy="209550"/>
                          </a:xfrm>
                          <a:prstGeom prst="rect">
                            <a:avLst/>
                          </a:prstGeom>
                        </pic:spPr>
                      </pic:pic>
                    </a:graphicData>
                  </a:graphic>
                </wp:inline>
              </w:drawing>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Page 13</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LendingTree is one of the nation's largest, most experienced online financial platforms, created to give consumers the power to win financially. LendingTree provides customers with access to the best offers on loans, credit cards, insurance and more through its network of approximately 770 financial partners. Since its founding, LendingTree has helped millions of customers obtain financing, save money, and improve their financial and credit health in their personal journeys. With a portfolio of innovative products and tools and personalized financial recommendations, LendingTree helps customers achieve everyday financial wins.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LendingTree, Inc. is headquartered in Charlotte, NC. For more information, please visit </w:t>
      </w:r>
      <w:r>
        <w:rPr>
          <w:rFonts w:ascii="Times New Roman;serif" w:hAnsi="Times New Roman;serif"/>
          <w:b w:val="false"/>
          <w:color w:val="0563C1"/>
          <w:sz w:val="22"/>
        </w:rPr>
        <w:t>www.lendingtree.com</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investors@lendingtree.com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press@lendingtree.com    </w:t>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4133</Words>
  <Characters>23254</Characters>
  <CharactersWithSpaces>26805</CharactersWithSpaces>
  <Paragraphs>1008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