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10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8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than the Registrant was required to submit and post such files). Yes o No o</w:t>
      </w:r>
    </w:p>
    <w:p>
      <w:pPr>
        <w:spacing w:after="0" w:line="194" w:lineRule="exact"/>
        <w:rPr>
          <w:sz w:val="24"/>
          <w:szCs w:val="24"/>
          <w:color w:val="auto"/>
        </w:rPr>
      </w:pPr>
    </w:p>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80"/>
          </w:cols>
          <w:pgMar w:left="240" w:top="685" w:right="27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80" w:space="720"/>
            <w:col w:w="1640" w:space="720"/>
            <w:col w:w="2240" w:space="720"/>
            <w:col w:w="2660"/>
          </w:cols>
          <w:pgMar w:left="240" w:top="685" w:right="279" w:bottom="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80"/>
          </w:cols>
          <w:pgMar w:left="240" w:top="685" w:right="27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3, 2010 there were 10,731,482 shares of the Registrant's common stock, par value $.01 per share, outstanding.</w:t>
      </w:r>
    </w:p>
    <w:p>
      <w:pPr>
        <w:sectPr>
          <w:pgSz w:w="11900" w:h="16838" w:orient="portrait"/>
          <w:cols w:equalWidth="0" w:num="1">
            <w:col w:w="11380"/>
          </w:cols>
          <w:pgMar w:left="240" w:top="685" w:right="27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40" w:type="dxa"/>
            <w:vAlign w:val="bottom"/>
            <w:gridSpan w:val="7"/>
            <w:vMerge w:val="restart"/>
          </w:tcPr>
          <w:p>
            <w:pPr>
              <w:ind w:left="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20" w:type="dxa"/>
            <w:vAlign w:val="bottom"/>
            <w:gridSpan w:val="3"/>
            <w:vMerge w:val="restart"/>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40" w:type="dxa"/>
            <w:vAlign w:val="bottom"/>
            <w:gridSpan w:val="7"/>
            <w:vMerge w:val="continue"/>
          </w:tcPr>
          <w:p>
            <w:pPr>
              <w:spacing w:after="0"/>
              <w:rPr>
                <w:sz w:val="14"/>
                <w:szCs w:val="14"/>
                <w:color w:val="auto"/>
              </w:rPr>
            </w:pPr>
          </w:p>
        </w:tc>
        <w:tc>
          <w:tcPr>
            <w:tcW w:w="540" w:type="dxa"/>
            <w:vAlign w:val="bottom"/>
            <w:gridSpan w:val="3"/>
            <w:vMerge w:val="restart"/>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spacing w:after="0" w:line="196" w:lineRule="exact"/>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Financial Statements</w:t>
              </w:r>
            </w:hyperlink>
          </w:p>
        </w:tc>
        <w:tc>
          <w:tcPr>
            <w:tcW w:w="3080" w:type="dxa"/>
            <w:vAlign w:val="bottom"/>
            <w:tcBorders>
              <w:top w:val="single" w:sz="8" w:color="0000EE"/>
            </w:tcBorders>
            <w:gridSpan w:val="4"/>
          </w:tcPr>
          <w:p>
            <w:pPr>
              <w:spacing w:after="0"/>
              <w:rPr>
                <w:sz w:val="17"/>
                <w:szCs w:val="17"/>
                <w:color w:val="auto"/>
              </w:rPr>
            </w:pPr>
          </w:p>
        </w:tc>
        <w:tc>
          <w:tcPr>
            <w:tcW w:w="2480" w:type="dxa"/>
            <w:vAlign w:val="bottom"/>
            <w:gridSpan w:val="2"/>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bottom w:val="single" w:sz="8" w:color="0000EE"/>
            </w:tcBorders>
            <w:gridSpan w:val="11"/>
          </w:tcPr>
          <w:p>
            <w:pPr>
              <w:spacing w:after="0" w:line="196" w:lineRule="exact"/>
              <w:rPr>
                <w:rFonts w:ascii="Arial" w:cs="Arial" w:eastAsia="Arial" w:hAnsi="Arial"/>
                <w:sz w:val="18"/>
                <w:szCs w:val="18"/>
                <w:b w:val="1"/>
                <w:bCs w:val="1"/>
                <w:i w:val="1"/>
                <w:iCs w:val="1"/>
                <w:color w:val="0000EE"/>
                <w:w w:val="85"/>
              </w:rPr>
            </w:pPr>
            <w:hyperlink w:anchor="page37">
              <w:r>
                <w:rPr>
                  <w:rFonts w:ascii="Arial" w:cs="Arial" w:eastAsia="Arial" w:hAnsi="Arial"/>
                  <w:sz w:val="18"/>
                  <w:szCs w:val="18"/>
                  <w:b w:val="1"/>
                  <w:bCs w:val="1"/>
                  <w:i w:val="1"/>
                  <w:iCs w:val="1"/>
                  <w:color w:val="0000EE"/>
                  <w:w w:val="85"/>
                </w:rPr>
                <w:t>Management's Discussion and Analysis of Financial Condition and Results of Operations</w:t>
              </w:r>
            </w:hyperlink>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37">
              <w:r>
                <w:rPr>
                  <w:rFonts w:ascii="Arial" w:cs="Arial" w:eastAsia="Arial" w:hAnsi="Arial"/>
                  <w:sz w:val="18"/>
                  <w:szCs w:val="18"/>
                  <w:b w:val="1"/>
                  <w:bCs w:val="1"/>
                  <w:color w:val="0000EE"/>
                  <w:w w:val="79"/>
                </w:rPr>
                <w:t>34</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53">
              <w:r>
                <w:rPr>
                  <w:rFonts w:ascii="Arial" w:cs="Arial" w:eastAsia="Arial" w:hAnsi="Arial"/>
                  <w:sz w:val="18"/>
                  <w:szCs w:val="18"/>
                  <w:b w:val="1"/>
                  <w:bCs w:val="1"/>
                  <w:color w:val="0000EE"/>
                  <w:w w:val="91"/>
                </w:rPr>
                <w:t>Item 3.</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12"/>
          </w:tcPr>
          <w:p>
            <w:pPr>
              <w:spacing w:after="0" w:line="196" w:lineRule="exact"/>
              <w:rPr>
                <w:rFonts w:ascii="Arial" w:cs="Arial" w:eastAsia="Arial" w:hAnsi="Arial"/>
                <w:sz w:val="18"/>
                <w:szCs w:val="18"/>
                <w:b w:val="1"/>
                <w:bCs w:val="1"/>
                <w:i w:val="1"/>
                <w:iCs w:val="1"/>
                <w:color w:val="0000EE"/>
              </w:rPr>
            </w:pPr>
            <w:hyperlink w:anchor="page53">
              <w:r>
                <w:rPr>
                  <w:rFonts w:ascii="Arial" w:cs="Arial" w:eastAsia="Arial" w:hAnsi="Arial"/>
                  <w:sz w:val="18"/>
                  <w:szCs w:val="18"/>
                  <w:b w:val="1"/>
                  <w:bCs w:val="1"/>
                  <w:i w:val="1"/>
                  <w:iCs w:val="1"/>
                  <w:color w:val="0000EE"/>
                </w:rPr>
                <w:t>Quantitative and Qualitative Disclosures About Market Risk</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50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4T.</w:t>
              </w:r>
            </w:hyperlink>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12"/>
          </w:tcPr>
          <w:p>
            <w:pPr>
              <w:spacing w:after="0" w:line="196" w:lineRule="exact"/>
              <w:rPr>
                <w:rFonts w:ascii="Arial" w:cs="Arial" w:eastAsia="Arial" w:hAnsi="Arial"/>
                <w:sz w:val="18"/>
                <w:szCs w:val="18"/>
                <w:b w:val="1"/>
                <w:bCs w:val="1"/>
                <w:i w:val="1"/>
                <w:iCs w:val="1"/>
                <w:color w:val="0000EE"/>
              </w:rPr>
            </w:pPr>
            <w:hyperlink w:anchor="page54">
              <w:r>
                <w:rPr>
                  <w:rFonts w:ascii="Arial" w:cs="Arial" w:eastAsia="Arial" w:hAnsi="Arial"/>
                  <w:sz w:val="18"/>
                  <w:szCs w:val="18"/>
                  <w:b w:val="1"/>
                  <w:bCs w:val="1"/>
                  <w:i w:val="1"/>
                  <w:iCs w:val="1"/>
                  <w:color w:val="0000EE"/>
                </w:rPr>
                <w:t>Controls and Procedures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51</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vMerge w:val="restart"/>
          </w:tcPr>
          <w:p>
            <w:pPr>
              <w:spacing w:after="0"/>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1.</w:t>
              </w:r>
            </w:hyperlink>
          </w:p>
        </w:tc>
        <w:tc>
          <w:tcPr>
            <w:tcW w:w="100" w:type="dxa"/>
            <w:vAlign w:val="bottom"/>
            <w:tcBorders>
              <w:top w:val="single" w:sz="8" w:color="0000EE"/>
              <w:bottom w:val="single" w:sz="8" w:color="0000EE"/>
            </w:tcBorders>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II—OTHER INFORMATION</w:t>
              </w:r>
            </w:hyperlink>
          </w:p>
        </w:tc>
        <w:tc>
          <w:tcPr>
            <w:tcW w:w="2540" w:type="dxa"/>
            <w:vAlign w:val="bottom"/>
            <w:gridSpan w:val="3"/>
          </w:tcPr>
          <w:p>
            <w:pPr>
              <w:spacing w:after="0"/>
              <w:rPr>
                <w:sz w:val="24"/>
                <w:szCs w:val="24"/>
                <w:color w:val="auto"/>
              </w:rPr>
            </w:pPr>
          </w:p>
        </w:tc>
        <w:tc>
          <w:tcPr>
            <w:tcW w:w="360" w:type="dxa"/>
            <w:vAlign w:val="bottom"/>
            <w:vMerge w:val="restart"/>
          </w:tcPr>
          <w:p>
            <w:pPr>
              <w:spacing w:after="0"/>
              <w:rPr>
                <w:sz w:val="24"/>
                <w:szCs w:val="24"/>
                <w:color w:val="auto"/>
              </w:rPr>
            </w:pPr>
          </w:p>
        </w:tc>
        <w:tc>
          <w:tcPr>
            <w:tcW w:w="180" w:type="dxa"/>
            <w:vAlign w:val="bottom"/>
            <w:tcBorders>
              <w:top w:val="single" w:sz="8" w:color="0000EE"/>
              <w:bottom w:val="single" w:sz="8" w:color="0000EE"/>
            </w:tcBorders>
            <w:gridSpan w:val="2"/>
            <w:vMerge w:val="restart"/>
          </w:tcPr>
          <w:p>
            <w:pPr>
              <w:jc w:val="right"/>
              <w:spacing w:after="0"/>
              <w:rPr>
                <w:rFonts w:ascii="Arial" w:cs="Arial" w:eastAsia="Arial" w:hAnsi="Arial"/>
                <w:sz w:val="18"/>
                <w:szCs w:val="18"/>
                <w:b w:val="1"/>
                <w:bCs w:val="1"/>
                <w:color w:val="0000EE"/>
                <w:w w:val="79"/>
              </w:rPr>
            </w:pPr>
            <w:hyperlink w:anchor="page54">
              <w:r>
                <w:rPr>
                  <w:rFonts w:ascii="Arial" w:cs="Arial" w:eastAsia="Arial" w:hAnsi="Arial"/>
                  <w:sz w:val="18"/>
                  <w:szCs w:val="18"/>
                  <w:b w:val="1"/>
                  <w:bCs w:val="1"/>
                  <w:color w:val="0000EE"/>
                  <w:w w:val="79"/>
                </w:rPr>
                <w:t>51</w:t>
              </w:r>
            </w:hyperlink>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12"/>
          </w:tcPr>
          <w:p>
            <w:pPr>
              <w:spacing w:after="0" w:line="196" w:lineRule="exact"/>
              <w:rPr>
                <w:rFonts w:ascii="Arial" w:cs="Arial" w:eastAsia="Arial" w:hAnsi="Arial"/>
                <w:sz w:val="18"/>
                <w:szCs w:val="18"/>
                <w:b w:val="1"/>
                <w:bCs w:val="1"/>
                <w:i w:val="1"/>
                <w:iCs w:val="1"/>
                <w:color w:val="0000EE"/>
              </w:rPr>
            </w:pPr>
            <w:hyperlink w:anchor="page54">
              <w:r>
                <w:rPr>
                  <w:rFonts w:ascii="Arial" w:cs="Arial" w:eastAsia="Arial" w:hAnsi="Arial"/>
                  <w:sz w:val="18"/>
                  <w:szCs w:val="18"/>
                  <w:b w:val="1"/>
                  <w:bCs w:val="1"/>
                  <w:i w:val="1"/>
                  <w:iCs w:val="1"/>
                  <w:color w:val="0000EE"/>
                </w:rPr>
                <w:t>Legal Proceedings</w:t>
              </w:r>
            </w:hyperlink>
          </w:p>
        </w:tc>
        <w:tc>
          <w:tcPr>
            <w:tcW w:w="36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1A.</w:t>
              </w:r>
            </w:hyperlink>
          </w:p>
        </w:tc>
        <w:tc>
          <w:tcPr>
            <w:tcW w:w="7840" w:type="dxa"/>
            <w:vAlign w:val="bottom"/>
            <w:gridSpan w:val="13"/>
          </w:tcPr>
          <w:p>
            <w:pPr>
              <w:ind w:left="100"/>
              <w:spacing w:after="0" w:line="196" w:lineRule="exact"/>
              <w:rPr>
                <w:rFonts w:ascii="Arial" w:cs="Arial" w:eastAsia="Arial" w:hAnsi="Arial"/>
                <w:sz w:val="18"/>
                <w:szCs w:val="18"/>
                <w:b w:val="1"/>
                <w:bCs w:val="1"/>
                <w:i w:val="1"/>
                <w:iCs w:val="1"/>
                <w:color w:val="0000EE"/>
              </w:rPr>
            </w:pPr>
            <w:hyperlink w:anchor="page54">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12"/>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Unregistered Sales of Equity Securities and Use of Proceeds</w:t>
              </w:r>
            </w:hyperlink>
          </w:p>
        </w:tc>
        <w:tc>
          <w:tcPr>
            <w:tcW w:w="540" w:type="dxa"/>
            <w:vAlign w:val="bottom"/>
            <w:gridSpan w:val="3"/>
          </w:tcPr>
          <w:p>
            <w:pPr>
              <w:jc w:val="right"/>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53</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57">
              <w:r>
                <w:rPr>
                  <w:rFonts w:ascii="Arial" w:cs="Arial" w:eastAsia="Arial" w:hAnsi="Arial"/>
                  <w:sz w:val="18"/>
                  <w:szCs w:val="18"/>
                  <w:b w:val="1"/>
                  <w:bCs w:val="1"/>
                  <w:color w:val="0000EE"/>
                  <w:w w:val="91"/>
                </w:rPr>
                <w:t>Item 6.</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0000EE"/>
            </w:tcBorders>
            <w:gridSpan w:val="8"/>
          </w:tcPr>
          <w:p>
            <w:pPr>
              <w:spacing w:after="0" w:line="196" w:lineRule="exact"/>
              <w:rPr>
                <w:rFonts w:ascii="Arial" w:cs="Arial" w:eastAsia="Arial" w:hAnsi="Arial"/>
                <w:sz w:val="18"/>
                <w:szCs w:val="18"/>
                <w:b w:val="1"/>
                <w:bCs w:val="1"/>
                <w:i w:val="1"/>
                <w:iCs w:val="1"/>
                <w:color w:val="0000EE"/>
              </w:rPr>
            </w:pPr>
            <w:hyperlink w:anchor="page57">
              <w:r>
                <w:rPr>
                  <w:rFonts w:ascii="Arial" w:cs="Arial" w:eastAsia="Arial" w:hAnsi="Arial"/>
                  <w:sz w:val="18"/>
                  <w:szCs w:val="18"/>
                  <w:b w:val="1"/>
                  <w:bCs w:val="1"/>
                  <w:i w:val="1"/>
                  <w:iCs w:val="1"/>
                  <w:color w:val="0000EE"/>
                </w:rPr>
                <w:t>Exhibits</w:t>
              </w:r>
            </w:hyperlink>
          </w:p>
        </w:tc>
        <w:tc>
          <w:tcPr>
            <w:tcW w:w="338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7">
              <w:r>
                <w:rPr>
                  <w:rFonts w:ascii="Arial" w:cs="Arial" w:eastAsia="Arial" w:hAnsi="Arial"/>
                  <w:sz w:val="18"/>
                  <w:szCs w:val="18"/>
                  <w:b w:val="1"/>
                  <w:bCs w:val="1"/>
                  <w:color w:val="0000EE"/>
                  <w:w w:val="79"/>
                </w:rPr>
                <w:t>54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4"/>
                <w:szCs w:val="14"/>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840" w:type="dxa"/>
            <w:vAlign w:val="bottom"/>
            <w:gridSpan w:val="10"/>
          </w:tcPr>
          <w:p>
            <w:pPr>
              <w:jc w:val="center"/>
              <w:ind w:right="64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26,649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36,257</w:t>
            </w:r>
          </w:p>
        </w:tc>
        <w:tc>
          <w:tcPr>
            <w:tcW w:w="16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52,387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93,808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120"/>
              <w:spacing w:after="0"/>
              <w:rPr>
                <w:sz w:val="20"/>
                <w:szCs w:val="20"/>
                <w:color w:val="auto"/>
              </w:rPr>
            </w:pPr>
            <w:r>
              <w:rPr>
                <w:rFonts w:ascii="Arial" w:cs="Arial" w:eastAsia="Arial" w:hAnsi="Arial"/>
                <w:sz w:val="18"/>
                <w:szCs w:val="18"/>
                <w:color w:val="auto"/>
                <w:w w:val="94"/>
              </w:rPr>
              <w:t>Total cost of revenue (exclusive of depreciation shown separately below)</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21,326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25,228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Operating (loss) income</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(5,811)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(6,137)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11,240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10,706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4"/>
              </w:rPr>
              <w:t>11,039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10,194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11,240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11,034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11,039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share available to common shareholders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(0.63)</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June 30,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6"/>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(In thousands, except par value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62,877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 net of allowance of $528 and $518,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($110,427 and $92,236 measured at fair value,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91,067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5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2"/>
              </w:rPr>
              <w:t>Preferred stock $.01 par value; authorized 5,000,000 shares; none issued or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stock $.01 par value; authorized 50,000,000 shares; issued 11,321,775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10,904,330 shares, respectively, and outstanding 10,834,417 and 10,904,330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903,495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(787,962)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Treasury stock 487,358 and -0- shares,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vMerge w:val="restart"/>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8"/>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of Shares</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120,910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901,818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(781,017)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 six months ended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30, 2010</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6"/>
              </w:rPr>
              <w:t>vesting of restricted stock units,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of withholding taxes</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(3,431)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112,215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903,495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(787,962)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center"/>
              <w:ind w:right="553"/>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(6,945)</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restructuring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origination and sale of loans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(47,441)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Loss on impaired loans not sold</w:t>
            </w:r>
          </w:p>
        </w:tc>
        <w:tc>
          <w:tcPr>
            <w:tcW w:w="140" w:type="dxa"/>
            <w:vAlign w:val="bottom"/>
          </w:tcPr>
          <w:p>
            <w:pPr>
              <w:spacing w:after="0"/>
              <w:rPr>
                <w:sz w:val="18"/>
                <w:szCs w:val="18"/>
                <w:color w:val="auto"/>
              </w:rPr>
            </w:pPr>
          </w:p>
        </w:tc>
        <w:tc>
          <w:tcPr>
            <w:tcW w:w="98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real estate acquired in satisfaction of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Bad debt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1"/>
              </w:rPr>
              <w:t>(1,218,901)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1,252,103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1,658,128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Payments to investors for loan repurchases and early payoff obligations</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(4,685)</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(17,276)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(30,273)</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98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(3,534)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1,402,823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(937,421)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net of withholding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(3,431)</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restricted cash</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(23,216)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5"/>
          <w:szCs w:val="15"/>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Exchanges segment consists of online lead generation networks and call centers (principally LendingTree.com, Tree.com, DegreeTree.com, LendingTreeAutos and GetSmart.com) that connect consumers and service providers principally in the lending, higher education and automobile marketplaces.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5"/>
          <w:szCs w:val="15"/>
          <w:i w:val="1"/>
          <w:iCs w:val="1"/>
          <w:color w:val="auto"/>
        </w:rPr>
        <w:t>www.RealEstate.com</w:t>
      </w:r>
      <w:r>
        <w:rPr>
          <w:rFonts w:ascii="Arial" w:cs="Arial" w:eastAsia="Arial" w:hAnsi="Arial"/>
          <w:sz w:val="15"/>
          <w:szCs w:val="15"/>
          <w:color w:val="auto"/>
        </w:rPr>
        <w:t>, that connects consumers with third party real estate brokerages around the country.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Corporate segment consists of unallocated expenses and consolidation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accompanying unaudited interim consolidated financial statements as of June 30, 2010 and 2009 and for the three and six months then ended have been prepared in accordance with accounting principles generally accepted in the United States of America for interim financial information and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2010 are not necessarily indicative of the results to be expected for the year ending December 31, 2010, or any other period. These financial statements and notes should be read in conjunction with the audited financial statements and notes thereto included in the Company's annual report on Form 10-K for the year ended December 31, 2009, as amended by Amendment No. 1 to the Company's annual report on Form 10-K/A.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June 30,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2009</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in escrow for future operating lease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in escrow for corporate purchasing card program</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3"/>
              </w:rPr>
              <w:t>Minimum required balances for warehouse lines of credit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260" w:type="dxa"/>
            <w:vAlign w:val="bottom"/>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60" w:type="dxa"/>
            <w:vAlign w:val="bottom"/>
            <w:gridSpan w:val="2"/>
            <w:vMerge w:val="restart"/>
          </w:tcPr>
          <w:p>
            <w:pPr>
              <w:jc w:val="right"/>
              <w:ind w:right="7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June 12, 2009, the Financial Accounting Standards Board ("FASB") issued the accounting standard for transfers and servicing of financial assets.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 Tree.com adopted this standard on January 1, 2010 and determined there was no material impact to the financial statements.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Early adoption is permitted. See Note 9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June 30,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52,733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4260" w:type="dxa"/>
            <w:vAlign w:val="bottom"/>
            <w:vMerge w:val="restart"/>
          </w:tcPr>
          <w:p>
            <w:pPr>
              <w:ind w:left="120"/>
              <w:spacing w:after="0"/>
              <w:rPr>
                <w:sz w:val="20"/>
                <w:szCs w:val="20"/>
                <w:color w:val="auto"/>
              </w:rPr>
            </w:pPr>
            <w:r>
              <w:rPr>
                <w:rFonts w:ascii="Arial" w:cs="Arial" w:eastAsia="Arial" w:hAnsi="Arial"/>
                <w:sz w:val="18"/>
                <w:szCs w:val="18"/>
                <w:color w:val="auto"/>
              </w:rPr>
              <w:t>Total goodwill and intangible assets, net</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67,892</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2010,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3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40" w:type="dxa"/>
            <w:vAlign w:val="bottom"/>
            <w:gridSpan w:val="3"/>
          </w:tcPr>
          <w:p>
            <w:pPr>
              <w:jc w:val="center"/>
              <w:ind w:right="244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440" w:type="dxa"/>
            <w:vAlign w:val="bottom"/>
            <w:gridSpan w:val="2"/>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(29,617)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(8,807)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1,006</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2280" w:type="dxa"/>
            <w:vAlign w:val="bottom"/>
          </w:tcPr>
          <w:p>
            <w:pPr>
              <w:spacing w:after="0"/>
              <w:rPr>
                <w:sz w:val="19"/>
                <w:szCs w:val="19"/>
                <w:color w:val="auto"/>
              </w:rPr>
            </w:pPr>
          </w:p>
        </w:tc>
      </w:tr>
      <w:tr>
        <w:trPr>
          <w:trHeight w:val="21"/>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124,044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(121,037)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2009,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(8,467)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1,346</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124,044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June 30, 2010 balances, such amortization for the next five years is estimated to be as follows (in thousands):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Six months ending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2011</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Year ending December 31, 2013</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9"/>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826</w:t>
      </w:r>
    </w:p>
    <w:p>
      <w:pPr>
        <w:spacing w:after="0" w:line="42"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color w:val="auto"/>
        </w:rPr>
        <w:t>1,086</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411</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144</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3020"/>
          </w:cols>
          <w:pgMar w:left="240" w:top="131" w:right="279" w:bottom="1440" w:gutter="0" w:footer="0" w:header="0"/>
          <w:type w:val="continuous"/>
        </w:sectPr>
      </w:pPr>
    </w:p>
    <w:p>
      <w:pPr>
        <w:spacing w:after="0" w:line="93"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the second quarter of 2009, Tree.com recorded impairment charges of $3.9 million related to definite-lived intangible assets within Real Estate. In the second quarter of 2009, the new Real Estate operating segment leadership undertook significant changes in management, operational focus and marketing efforts related to the new homes referral service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balance of goodwill by segment at June 30, 2010 and December 31, 2009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LendingTree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Real</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Exchanges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Estate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485,955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602,572</w:t>
            </w:r>
          </w:p>
        </w:tc>
      </w:tr>
      <w:tr>
        <w:trPr>
          <w:trHeight w:val="222"/>
        </w:trPr>
        <w:tc>
          <w:tcPr>
            <w:tcW w:w="282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(46,526)</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(483,088)</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(60,806)</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(590,420)</w:t>
            </w:r>
          </w:p>
        </w:tc>
      </w:tr>
      <w:tr>
        <w:trPr>
          <w:trHeight w:val="21"/>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w:t>
            </w:r>
          </w:p>
        </w:tc>
      </w:tr>
      <w:tr>
        <w:trPr>
          <w:trHeight w:val="27"/>
        </w:trPr>
        <w:tc>
          <w:tcPr>
            <w:tcW w:w="2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was no activity in goodwill during the six months ended June 30, 2010.</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June 30,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35,881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Projects in progress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44,397</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(34,398)</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(32,140)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340"/>
              <w:spacing w:after="0"/>
              <w:rPr>
                <w:sz w:val="20"/>
                <w:szCs w:val="20"/>
                <w:color w:val="auto"/>
              </w:rPr>
            </w:pPr>
            <w:r>
              <w:rPr>
                <w:rFonts w:ascii="Arial" w:cs="Arial" w:eastAsia="Arial" w:hAnsi="Arial"/>
                <w:sz w:val="18"/>
                <w:szCs w:val="18"/>
                <w:color w:val="auto"/>
                <w:w w:val="92"/>
              </w:rPr>
              <w:t>Accrued expenses and other current liabilities consist of the following (in thousands):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June 30, 2010</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3"/>
              </w:rPr>
              <w:t>Accrued loan loss liability related to loans previously 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Loan loss settlement liability related to loans previously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sold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260" w:type="dxa"/>
            <w:vAlign w:val="bottom"/>
            <w:vMerge w:val="restart"/>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38,852</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An additional $7.8 million and $6.4 million of accrued loan loss liability related to loans previously sold are classified in other long term liabilities at June 30, 2010 and December 31,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$91.1 million and $78.5 million at June 30, 2010 and December 31, 2009, respectively.</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June 30, 2010, LendingTree Loans had two committed lines of credit totaling $125.0 million of borrowing capacity. Borrowings under these lines of credit are used to fund, and are secured by,</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consumer residential loans that are held for sale. Loans under these lines of credit are repaid using proceeds from the sales of loans held for sale by LendingTree Loans.</w:t>
      </w:r>
    </w:p>
    <w:p>
      <w:pPr>
        <w:spacing w:after="0" w:line="186" w:lineRule="exact"/>
        <w:rPr>
          <w:sz w:val="20"/>
          <w:szCs w:val="20"/>
          <w:color w:val="auto"/>
        </w:rPr>
      </w:pPr>
    </w:p>
    <w:p>
      <w:pPr>
        <w:jc w:val="both"/>
        <w:ind w:right="220" w:firstLine="348"/>
        <w:spacing w:after="0" w:line="302" w:lineRule="auto"/>
        <w:rPr>
          <w:sz w:val="20"/>
          <w:szCs w:val="20"/>
          <w:color w:val="auto"/>
        </w:rPr>
      </w:pPr>
      <w:r>
        <w:rPr>
          <w:rFonts w:ascii="Arial" w:cs="Arial" w:eastAsia="Arial" w:hAnsi="Arial"/>
          <w:sz w:val="15"/>
          <w:szCs w:val="15"/>
          <w:color w:val="auto"/>
        </w:rPr>
        <w:t>The $50.0 million first line was scheduled to expire on June 29, 2010, but the Company has renewed this line with a new expiration date of June 29, 2011. This line can be cancelled at the option of the lender without default upon sixty days notice. This first line includes an additional uncommitted credit facility of $25.0 million. This first line is also guaranteed by Tree.com, Inc., Lending Tree, LLC and Lending Tree Holdings Corp. The interest rate under the first line is 2.25% plus the greater of (a) the 30-day LIBOR or (b) 2.00%. The interest rate under the $25.0 million uncommitted line is 30-day LIBOR plus 1.50%.</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LendingTree Loans is also required to sell at least 25% of the loans it originates to the lender under this line or pay a "pair-off fee" of 0.25% on the difference between the required and actual volume of loans sold.</w:t>
      </w:r>
    </w:p>
    <w:p>
      <w:pPr>
        <w:spacing w:after="0" w:line="192"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The $75.0 million second line is scheduled to expire on October 29, 2010. This second line is also guaranteed by Tree.com, Inc., LendingTree, LLC and LendingTree Holdings Corp. The interest rate under this line is 30-day LIBOR or 2.0% (whichever is greater) plus 2.50% to 3.0% for loans being sold to the lender and 30-day LIBOR or 2.0% (whichever is greater) plus 2.75% for loans not being sold to the lender.</w:t>
      </w:r>
    </w:p>
    <w:p>
      <w:pPr>
        <w:spacing w:after="0" w:line="16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 also had a $40.0 million line with a lender that exited the warehouse lending business. This line expired on June 30, 2010 and was not renewed. The Company had anticipated that decision and had factored it into its future liquidity needs.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(vi) pre-tax net income requirements and (vii) a maximum warehouse capacity ratio. During the quarter ended June 30, 2010, LendingTree Loans was in compliance with the covenants under the lines. Effective July 22, 2010, both warehouse lines have been amended reducing the tangible net worth covenant to $25.0 million.</w:t>
      </w:r>
    </w:p>
    <w:p>
      <w:pPr>
        <w:spacing w:after="0" w:line="170"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expect to renew the line that is expiring on October 29,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expenses presented below for each of the business segments include an allocation of certain corporate expenses that are identifiable and directly benefit those segments. The unallocated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86" w:lineRule="exact"/>
        <w:rPr>
          <w:sz w:val="20"/>
          <w:szCs w:val="20"/>
          <w:color w:val="auto"/>
        </w:rPr>
      </w:pPr>
    </w:p>
    <w:p>
      <w:pPr>
        <w:ind w:right="50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right="140" w:firstLine="8"/>
        <w:spacing w:after="0" w:line="287"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litigation loss contingencies and settlements,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reconciliation to EBITDA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For the Three Months Ended June 30, 2010: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45,797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13,188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17,059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12,526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33,078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For the Three Months Ended June 30, 2009: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60,973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21,326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39,647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13,892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17,115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(6,035)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(4,606)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income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income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87"/>
              </w:rPr>
              <w:t>For the Six Months Ended June 30, 2010: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93,808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27,249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66,559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37,205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25,228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41,307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72,370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4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(6,945)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88"/>
              </w:rPr>
              <w:t>For the Six Months Ended June 30, 2009:</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6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LendingTree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Real</w:t>
            </w: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118,233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39,513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(11,212)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 and Adjusted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loss contingencies and settlements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income per above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3,902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restart"/>
          </w:tcPr>
          <w:p>
            <w:pPr>
              <w:jc w:val="center"/>
              <w:ind w:right="133"/>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and six months ended June 30, 2010 and 2009 are as follows (in thousands):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4"/>
          </w:tcPr>
          <w:p>
            <w:pPr>
              <w:jc w:val="right"/>
              <w:ind w:right="142"/>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Origination and sale of loans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24,041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34,442</w:t>
            </w:r>
          </w:p>
        </w:tc>
        <w:tc>
          <w:tcPr>
            <w:tcW w:w="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47,441</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840" w:type="dxa"/>
            <w:vAlign w:val="bottom"/>
            <w:gridSpan w:val="3"/>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26,649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36,257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52,387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Match fees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11,659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9,903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25,825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1,632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15,148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840" w:type="dxa"/>
            <w:vAlign w:val="bottom"/>
            <w:gridSpan w:val="3"/>
            <w:vMerge w:val="restart"/>
          </w:tcPr>
          <w:p>
            <w:pPr>
              <w:ind w:left="260"/>
              <w:spacing w:after="0"/>
              <w:rPr>
                <w:sz w:val="20"/>
                <w:szCs w:val="20"/>
                <w:color w:val="auto"/>
              </w:rPr>
            </w:pPr>
            <w:r>
              <w:rPr>
                <w:rFonts w:ascii="Arial" w:cs="Arial" w:eastAsia="Arial" w:hAnsi="Arial"/>
                <w:sz w:val="18"/>
                <w:szCs w:val="18"/>
                <w:color w:val="auto"/>
              </w:rPr>
              <w:t>Total Exchanges</w:t>
            </w: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21,906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0"/>
              </w:rPr>
              <w:t>20,630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47,957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Inter-segment elimination</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(7,471)</w:t>
            </w:r>
          </w:p>
        </w:tc>
        <w:tc>
          <w:tcPr>
            <w:tcW w:w="18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(3,707)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83"/>
              </w:rPr>
              <w:t>(15,148)</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60,973</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93,808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4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gridSpan w:val="8"/>
          </w:tcPr>
          <w:p>
            <w:pPr>
              <w:jc w:val="right"/>
              <w:ind w:right="83"/>
              <w:spacing w:after="0"/>
              <w:rPr>
                <w:sz w:val="20"/>
                <w:szCs w:val="20"/>
                <w:color w:val="auto"/>
              </w:rPr>
            </w:pPr>
            <w:r>
              <w:rPr>
                <w:rFonts w:ascii="Arial" w:cs="Arial" w:eastAsia="Arial" w:hAnsi="Arial"/>
                <w:sz w:val="18"/>
                <w:szCs w:val="18"/>
                <w:color w:val="auto"/>
                <w:w w:val="86"/>
              </w:rPr>
              <w:t>Total assets by segment at June 30, 2010 and December 31, 2009 are as follows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8"/>
              </w:rPr>
              <w:t>182,828</w:t>
            </w: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98"/>
              </w:rPr>
              <w:t>167,976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26,375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92"/>
              <w:spacing w:after="0"/>
              <w:rPr>
                <w:sz w:val="20"/>
                <w:szCs w:val="20"/>
                <w:color w:val="auto"/>
              </w:rPr>
            </w:pPr>
            <w:r>
              <w:rPr>
                <w:rFonts w:ascii="Arial" w:cs="Arial" w:eastAsia="Arial" w:hAnsi="Arial"/>
                <w:sz w:val="18"/>
                <w:szCs w:val="18"/>
                <w:color w:val="auto"/>
              </w:rPr>
              <w:t>28,031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78,243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95,825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84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80" w:type="dxa"/>
            <w:vAlign w:val="bottom"/>
            <w:gridSpan w:val="5"/>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8"/>
              </w:rPr>
              <w:t>287,446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291,832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268" w:lineRule="auto"/>
        <w:tabs>
          <w:tab w:leader="none" w:pos="2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87"/>
              </w:rPr>
              <w:t>Three Months Ended June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10"/>
          </w:tcPr>
          <w:p>
            <w:pPr>
              <w:jc w:val="center"/>
              <w:ind w:left="362"/>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Net (loss) income available to common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742</w:t>
            </w: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10,706</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11,034</w:t>
            </w: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10"/>
          </w:tcPr>
          <w:p>
            <w:pPr>
              <w:jc w:val="center"/>
              <w:ind w:left="362"/>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3380" w:type="dxa"/>
            <w:vAlign w:val="bottom"/>
          </w:tcPr>
          <w:p>
            <w:pPr>
              <w:spacing w:after="0"/>
              <w:rPr>
                <w:sz w:val="20"/>
                <w:szCs w:val="20"/>
                <w:color w:val="auto"/>
              </w:rPr>
            </w:pPr>
            <w:r>
              <w:rPr>
                <w:rFonts w:ascii="Arial" w:cs="Arial" w:eastAsia="Arial" w:hAnsi="Arial"/>
                <w:sz w:val="18"/>
                <w:szCs w:val="18"/>
                <w:color w:val="auto"/>
              </w:rPr>
              <w:t>Net (loss) income available to common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(6,945)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3,902</w:t>
            </w: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10,194</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10,354</w:t>
            </w:r>
          </w:p>
        </w:tc>
      </w:tr>
      <w:tr>
        <w:trPr>
          <w:trHeight w:val="21"/>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six months ended June 30, 2010 and 2009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372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left="201"/>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left="241"/>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2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six months ended June 30, 2010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1,177,319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(59,826)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June 30, 2010</w:t>
            </w:r>
          </w:p>
        </w:tc>
        <w:tc>
          <w:tcPr>
            <w:tcW w:w="2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June 30, 2010</w:t>
            </w:r>
          </w:p>
        </w:tc>
        <w:tc>
          <w:tcPr>
            <w:tcW w:w="2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340,125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40" w:type="dxa"/>
            <w:vAlign w:val="bottom"/>
            <w:vMerge w:val="restart"/>
          </w:tcPr>
          <w:p>
            <w:pPr>
              <w:jc w:val="right"/>
              <w:ind w:right="332"/>
              <w:spacing w:after="0"/>
              <w:rPr>
                <w:sz w:val="20"/>
                <w:szCs w:val="20"/>
                <w:color w:val="auto"/>
              </w:rPr>
            </w:pPr>
            <w:r>
              <w:rPr>
                <w:rFonts w:ascii="Arial" w:cs="Arial" w:eastAsia="Arial" w:hAnsi="Arial"/>
                <w:sz w:val="18"/>
                <w:szCs w:val="18"/>
                <w:color w:val="auto"/>
              </w:rPr>
              <w:t>18</w:t>
            </w: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June 30,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00" w:type="dxa"/>
            <w:vAlign w:val="bottom"/>
            <w:gridSpan w:val="4"/>
          </w:tcPr>
          <w:p>
            <w:pPr>
              <w:ind w:left="1040"/>
              <w:spacing w:after="0"/>
              <w:rPr>
                <w:sz w:val="20"/>
                <w:szCs w:val="20"/>
                <w:color w:val="auto"/>
              </w:rPr>
            </w:pPr>
            <w:r>
              <w:rPr>
                <w:rFonts w:ascii="Arial" w:cs="Arial" w:eastAsia="Arial" w:hAnsi="Arial"/>
                <w:sz w:val="14"/>
                <w:szCs w:val="14"/>
                <w:b w:val="1"/>
                <w:bCs w:val="1"/>
                <w:color w:val="auto"/>
                <w:w w:val="89"/>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0" w:type="dxa"/>
            <w:vAlign w:val="bottom"/>
          </w:tcPr>
          <w:p>
            <w:pPr>
              <w:jc w:val="right"/>
              <w:ind w:right="27"/>
              <w:spacing w:after="0" w:line="149" w:lineRule="exact"/>
              <w:rPr>
                <w:sz w:val="20"/>
                <w:szCs w:val="20"/>
                <w:color w:val="auto"/>
              </w:rPr>
            </w:pPr>
            <w:r>
              <w:rPr>
                <w:rFonts w:ascii="Arial" w:cs="Arial" w:eastAsia="Arial" w:hAnsi="Arial"/>
                <w:sz w:val="14"/>
                <w:szCs w:val="14"/>
                <w:b w:val="1"/>
                <w:bCs w:val="1"/>
                <w:color w:val="auto"/>
                <w:w w:val="93"/>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58"/>
              <w:spacing w:after="0"/>
              <w:rPr>
                <w:sz w:val="20"/>
                <w:szCs w:val="20"/>
                <w:color w:val="auto"/>
              </w:rPr>
            </w:pPr>
            <w:r>
              <w:rPr>
                <w:rFonts w:ascii="Arial" w:cs="Arial" w:eastAsia="Arial" w:hAnsi="Arial"/>
                <w:sz w:val="14"/>
                <w:szCs w:val="14"/>
                <w:b w:val="1"/>
                <w:bCs w:val="1"/>
                <w:color w:val="auto"/>
                <w:w w:val="98"/>
              </w:rPr>
              <w:t>June 30, 2010</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Life in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b w:val="1"/>
                <w:bCs w:val="1"/>
                <w:color w:val="auto"/>
                <w:w w:val="94"/>
              </w:rPr>
              <w:t>June 30, 2010</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060" w:type="dxa"/>
            <w:vAlign w:val="bottom"/>
          </w:tcPr>
          <w:p>
            <w:pPr>
              <w:jc w:val="right"/>
              <w:spacing w:after="0"/>
              <w:rPr>
                <w:sz w:val="20"/>
                <w:szCs w:val="20"/>
                <w:color w:val="auto"/>
              </w:rPr>
            </w:pPr>
            <w:r>
              <w:rPr>
                <w:rFonts w:ascii="Arial" w:cs="Arial" w:eastAsia="Arial" w:hAnsi="Arial"/>
                <w:sz w:val="18"/>
                <w:szCs w:val="18"/>
                <w:color w:val="auto"/>
              </w:rPr>
              <w:t>13,847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13,847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060" w:type="dxa"/>
            <w:vAlign w:val="bottom"/>
          </w:tcPr>
          <w:p>
            <w:pPr>
              <w:jc w:val="right"/>
              <w:spacing w:after="0"/>
              <w:rPr>
                <w:sz w:val="20"/>
                <w:szCs w:val="20"/>
                <w:color w:val="auto"/>
              </w:rPr>
            </w:pPr>
            <w:r>
              <w:rPr>
                <w:rFonts w:ascii="Arial" w:cs="Arial" w:eastAsia="Arial" w:hAnsi="Arial"/>
                <w:sz w:val="18"/>
                <w:szCs w:val="18"/>
                <w:color w:val="auto"/>
              </w:rPr>
              <w:t>61,160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060" w:type="dxa"/>
            <w:vAlign w:val="bottom"/>
          </w:tcPr>
          <w:p>
            <w:pPr>
              <w:jc w:val="right"/>
              <w:spacing w:after="0"/>
              <w:rPr>
                <w:sz w:val="20"/>
                <w:szCs w:val="20"/>
                <w:color w:val="auto"/>
              </w:rPr>
            </w:pPr>
            <w:r>
              <w:rPr>
                <w:rFonts w:ascii="Arial" w:cs="Arial" w:eastAsia="Arial" w:hAnsi="Arial"/>
                <w:sz w:val="18"/>
                <w:szCs w:val="18"/>
                <w:color w:val="auto"/>
              </w:rPr>
              <w:t>46,663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340,125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June 30, 2010 and changes during the six months ended June 30, 2010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3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3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320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434,436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(220,542)</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r>
      <w:tr>
        <w:trPr>
          <w:trHeight w:val="27"/>
        </w:trPr>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current earnings as a component of revenue from the origination and sale of loans.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At June 30, 2010 and December 31, 2009, there were $394.2 million and $258.4 million, respectively, of IRLCs notional value outstanding.</w:t>
      </w:r>
    </w:p>
    <w:p>
      <w:pPr>
        <w:spacing w:after="0" w:line="18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 and current status of the loan. LendingTree Loans recognizes interest income separately from other changes in fair value.</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June 30, 2010 and December 31, 2009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As of June 30, 2010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11"/>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2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4"/>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9"/>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21</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six months ended June 30, 2010 and 2009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left="478"/>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478"/>
              <w:spacing w:after="0"/>
              <w:rPr>
                <w:sz w:val="20"/>
                <w:szCs w:val="20"/>
                <w:color w:val="auto"/>
              </w:rPr>
            </w:pPr>
            <w:r>
              <w:rPr>
                <w:rFonts w:ascii="Arial" w:cs="Arial" w:eastAsia="Arial" w:hAnsi="Arial"/>
                <w:sz w:val="14"/>
                <w:szCs w:val="14"/>
                <w:b w:val="1"/>
                <w:bCs w:val="1"/>
                <w:color w:val="auto"/>
                <w:w w:val="85"/>
              </w:rPr>
              <w:t>Ended June 30,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June 30, 2010</w:t>
            </w:r>
          </w:p>
        </w:tc>
        <w:tc>
          <w:tcPr>
            <w:tcW w:w="7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478"/>
              <w:spacing w:after="0"/>
              <w:rPr>
                <w:sz w:val="20"/>
                <w:szCs w:val="20"/>
                <w:color w:val="auto"/>
              </w:rPr>
            </w:pPr>
            <w:r>
              <w:rPr>
                <w:rFonts w:ascii="Arial" w:cs="Arial" w:eastAsia="Arial" w:hAnsi="Arial"/>
                <w:sz w:val="14"/>
                <w:szCs w:val="14"/>
                <w:b w:val="1"/>
                <w:bCs w:val="1"/>
                <w:color w:val="auto"/>
                <w:w w:val="85"/>
              </w:rPr>
              <w:t>Ended June 30,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(34,184)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June 30, 2010</w:t>
            </w:r>
          </w:p>
        </w:tc>
        <w:tc>
          <w:tcPr>
            <w:tcW w:w="7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2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left="478"/>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478"/>
              <w:spacing w:after="0"/>
              <w:rPr>
                <w:sz w:val="20"/>
                <w:szCs w:val="20"/>
                <w:color w:val="auto"/>
              </w:rPr>
            </w:pPr>
            <w:r>
              <w:rPr>
                <w:rFonts w:ascii="Arial" w:cs="Arial" w:eastAsia="Arial" w:hAnsi="Arial"/>
                <w:sz w:val="14"/>
                <w:szCs w:val="14"/>
                <w:b w:val="1"/>
                <w:bCs w:val="1"/>
                <w:color w:val="auto"/>
                <w:w w:val="85"/>
              </w:rPr>
              <w:t>Ended June 30,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June 30, 2009</w:t>
            </w:r>
          </w:p>
        </w:tc>
        <w:tc>
          <w:tcPr>
            <w:tcW w:w="7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478"/>
              <w:spacing w:after="0"/>
              <w:rPr>
                <w:sz w:val="20"/>
                <w:szCs w:val="20"/>
                <w:color w:val="auto"/>
              </w:rPr>
            </w:pPr>
            <w:r>
              <w:rPr>
                <w:rFonts w:ascii="Arial" w:cs="Arial" w:eastAsia="Arial" w:hAnsi="Arial"/>
                <w:sz w:val="14"/>
                <w:szCs w:val="14"/>
                <w:b w:val="1"/>
                <w:bCs w:val="1"/>
                <w:color w:val="auto"/>
                <w:w w:val="85"/>
              </w:rPr>
              <w:t>Ended June 30,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52"/>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Loans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Contracts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(27,480)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June 30, 2009</w:t>
            </w:r>
          </w:p>
        </w:tc>
        <w:tc>
          <w:tcPr>
            <w:tcW w:w="7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2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following presents the gains (losses) included in earnings for the three and six months ended June 30, 2010 and 2009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left="486"/>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Six Months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486"/>
              <w:spacing w:after="0"/>
              <w:rPr>
                <w:sz w:val="20"/>
                <w:szCs w:val="20"/>
                <w:color w:val="auto"/>
              </w:rPr>
            </w:pPr>
            <w:r>
              <w:rPr>
                <w:rFonts w:ascii="Arial" w:cs="Arial" w:eastAsia="Arial" w:hAnsi="Arial"/>
                <w:sz w:val="14"/>
                <w:szCs w:val="14"/>
                <w:b w:val="1"/>
                <w:bCs w:val="1"/>
                <w:color w:val="auto"/>
                <w:w w:val="85"/>
              </w:rPr>
              <w:t>Ended June 30,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44"/>
              <w:spacing w:after="0"/>
              <w:rPr>
                <w:sz w:val="20"/>
                <w:szCs w:val="20"/>
                <w:color w:val="auto"/>
              </w:rPr>
            </w:pPr>
            <w:r>
              <w:rPr>
                <w:rFonts w:ascii="Arial" w:cs="Arial" w:eastAsia="Arial" w:hAnsi="Arial"/>
                <w:sz w:val="14"/>
                <w:szCs w:val="14"/>
                <w:b w:val="1"/>
                <w:bCs w:val="1"/>
                <w:color w:val="auto"/>
                <w:w w:val="87"/>
              </w:rPr>
              <w:t>Ended June 30, 2010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which are included in revenue from</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 June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2010, which are included in revenue from</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center"/>
              <w:ind w:left="486"/>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Six Months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486"/>
              <w:spacing w:after="0"/>
              <w:rPr>
                <w:sz w:val="20"/>
                <w:szCs w:val="20"/>
                <w:color w:val="auto"/>
              </w:rPr>
            </w:pPr>
            <w:r>
              <w:rPr>
                <w:rFonts w:ascii="Arial" w:cs="Arial" w:eastAsia="Arial" w:hAnsi="Arial"/>
                <w:sz w:val="14"/>
                <w:szCs w:val="14"/>
                <w:b w:val="1"/>
                <w:bCs w:val="1"/>
                <w:color w:val="auto"/>
                <w:w w:val="85"/>
              </w:rPr>
              <w:t>Ended June 30, 2009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44"/>
              <w:spacing w:after="0"/>
              <w:rPr>
                <w:sz w:val="20"/>
                <w:szCs w:val="20"/>
                <w:color w:val="auto"/>
              </w:rPr>
            </w:pPr>
            <w:r>
              <w:rPr>
                <w:rFonts w:ascii="Arial" w:cs="Arial" w:eastAsia="Arial" w:hAnsi="Arial"/>
                <w:sz w:val="14"/>
                <w:szCs w:val="14"/>
                <w:b w:val="1"/>
                <w:bCs w:val="1"/>
                <w:color w:val="auto"/>
                <w:w w:val="87"/>
              </w:rPr>
              <w:t>Ended June 30, 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Forward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Delivery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Contracts</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net gains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 June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2009 which are included in revenue from</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LendingTree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June 30, 2010 and December 31, 2009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June 30, 2010</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December 31, 2009</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2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Interest Rate Lock Commitments</w:t>
            </w:r>
          </w:p>
        </w:tc>
        <w:tc>
          <w:tcPr>
            <w:tcW w:w="25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3"/>
              </w:rPr>
              <w:t>Prepaid and other current assets</w:t>
            </w:r>
          </w:p>
        </w:tc>
        <w:tc>
          <w:tcPr>
            <w:tcW w:w="38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10,848</w:t>
            </w:r>
          </w:p>
        </w:tc>
        <w:tc>
          <w:tcPr>
            <w:tcW w:w="160" w:type="dxa"/>
            <w:vAlign w:val="bottom"/>
            <w:shd w:val="clear" w:color="auto" w:fill="CCEEFF"/>
          </w:tcPr>
          <w:p>
            <w:pPr>
              <w:spacing w:after="0"/>
              <w:rPr>
                <w:sz w:val="12"/>
                <w:szCs w:val="12"/>
                <w:color w:val="auto"/>
              </w:rPr>
            </w:pPr>
          </w:p>
        </w:tc>
        <w:tc>
          <w:tcPr>
            <w:tcW w:w="25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4"/>
              </w:rPr>
              <w:t>Prepaid and other current assets</w:t>
            </w:r>
          </w:p>
        </w:tc>
        <w:tc>
          <w:tcPr>
            <w:tcW w:w="42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3,919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color w:val="auto"/>
              </w:rPr>
              <w:t>Forward Delivery Contracts</w:t>
            </w:r>
          </w:p>
        </w:tc>
        <w:tc>
          <w:tcPr>
            <w:tcW w:w="2540" w:type="dxa"/>
            <w:vAlign w:val="bottom"/>
          </w:tcPr>
          <w:p>
            <w:pPr>
              <w:jc w:val="center"/>
              <w:spacing w:after="0" w:line="149" w:lineRule="exact"/>
              <w:rPr>
                <w:sz w:val="20"/>
                <w:szCs w:val="20"/>
                <w:color w:val="auto"/>
              </w:rPr>
            </w:pPr>
            <w:r>
              <w:rPr>
                <w:rFonts w:ascii="Arial" w:cs="Arial" w:eastAsia="Arial" w:hAnsi="Arial"/>
                <w:sz w:val="14"/>
                <w:szCs w:val="14"/>
                <w:color w:val="auto"/>
                <w:w w:val="83"/>
              </w:rPr>
              <w:t>Prepaid and other current assets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color w:val="auto"/>
                <w:w w:val="84"/>
              </w:rPr>
              <w:t>Prepaid and other current assets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3,341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Interest Rate Lock Commitments</w:t>
            </w:r>
          </w:p>
        </w:tc>
        <w:tc>
          <w:tcPr>
            <w:tcW w:w="2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Accrued expenses and other current liabilities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Accrued expenses and other current liabilities</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w:t>
            </w: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Forward Delivery Contracts</w:t>
            </w:r>
          </w:p>
        </w:tc>
        <w:tc>
          <w:tcPr>
            <w:tcW w:w="2540" w:type="dxa"/>
            <w:vAlign w:val="bottom"/>
          </w:tcPr>
          <w:p>
            <w:pPr>
              <w:jc w:val="center"/>
              <w:spacing w:after="0"/>
              <w:rPr>
                <w:sz w:val="20"/>
                <w:szCs w:val="20"/>
                <w:color w:val="auto"/>
              </w:rPr>
            </w:pPr>
            <w:r>
              <w:rPr>
                <w:rFonts w:ascii="Arial" w:cs="Arial" w:eastAsia="Arial" w:hAnsi="Arial"/>
                <w:sz w:val="14"/>
                <w:szCs w:val="14"/>
                <w:color w:val="auto"/>
                <w:w w:val="87"/>
              </w:rPr>
              <w:t>Accrued expenses and other current liabilities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3"/>
          </w:tcPr>
          <w:p>
            <w:pPr>
              <w:ind w:left="180"/>
              <w:spacing w:after="0"/>
              <w:rPr>
                <w:sz w:val="20"/>
                <w:szCs w:val="20"/>
                <w:color w:val="auto"/>
              </w:rPr>
            </w:pPr>
            <w:r>
              <w:rPr>
                <w:rFonts w:ascii="Arial" w:cs="Arial" w:eastAsia="Arial" w:hAnsi="Arial"/>
                <w:sz w:val="14"/>
                <w:szCs w:val="14"/>
                <w:color w:val="auto"/>
                <w:w w:val="90"/>
              </w:rPr>
              <w:t>(4,141)  Accrued expenses and other current liabilities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r>
      <w:tr>
        <w:trPr>
          <w:trHeight w:val="144"/>
        </w:trPr>
        <w:tc>
          <w:tcPr>
            <w:tcW w:w="20" w:type="dxa"/>
            <w:vAlign w:val="bottom"/>
          </w:tcPr>
          <w:p>
            <w:pPr>
              <w:spacing w:after="0"/>
              <w:rPr>
                <w:sz w:val="12"/>
                <w:szCs w:val="12"/>
                <w:color w:val="auto"/>
              </w:rPr>
            </w:pPr>
          </w:p>
        </w:tc>
        <w:tc>
          <w:tcPr>
            <w:tcW w:w="2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Derivatives</w:t>
            </w: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2"/>
              <w:spacing w:after="0" w:line="144"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7,010</w:t>
            </w:r>
          </w:p>
        </w:tc>
        <w:tc>
          <w:tcPr>
            <w:tcW w:w="1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2"/>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6,904</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three months ended June 30, 2010 and 2009 was as follows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Location of Gain/(Loss) Recognized</w:t>
            </w:r>
          </w:p>
        </w:tc>
        <w:tc>
          <w:tcPr>
            <w:tcW w:w="100" w:type="dxa"/>
            <w:vAlign w:val="bottom"/>
          </w:tcPr>
          <w:p>
            <w:pPr>
              <w:spacing w:after="0"/>
              <w:rPr>
                <w:sz w:val="14"/>
                <w:szCs w:val="14"/>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LendingTree Loans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3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LendingTree Loans revenue</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Tree.com did not elect the fair value option on loans held for sale originated prior to January 1, 2008 and on loans that were repurchased from investors on or subsequent to that date. As of June 30, 2010 and December 31, 2009, 28 and 29 such loans, respectively, all of which were impaired, were included in loans held for sale and were carried at the lower of cost or market ("LOCOM") value assessed on an individual loan basis. The market value (or fair value) of these impaired loans at June 30, 2010 and December 31, 2009, measured on a non-recurring basis using significant unobservable inputs (Level 3), was $1.5 million and</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$1.4 million, respectively. This fair value measurement is management's best estimate of the market value of such loans and considers the lien position and loan status.</w:t>
      </w:r>
    </w:p>
    <w:p>
      <w:pPr>
        <w:spacing w:after="0" w:line="19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June 30, 2010 and December 31, 2009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As of June 30, 2010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214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Total Loans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Held For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7"/>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gridSpan w:val="2"/>
            <w:vMerge w:val="restart"/>
          </w:tcPr>
          <w:p>
            <w:pPr>
              <w:jc w:val="right"/>
              <w:ind w:right="692"/>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7"/>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During the three months ended June 30, 2010 and 2009, the change in fair value of loans held for sale for which the fair value option was elected was a gain of $2.7 million and a loss of $1.6 million, respectively, and is included as a component of LendingTree Loans revenue in the accompanying consolidated statements of operations.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During the six months ended June 30, 2010 and 2009, the change in fair value of loans held for sale for which the fair value option was elected was a gain of $4.7 million and a loss of $2.0 million, respectively, and is included as a component of LendingTree Loans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and six months ended June 30, 2010 and 2009 is presented below ($ amounts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w w:val="89"/>
              </w:rPr>
              <w:t>Three Months Ended June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0"/>
              </w:rPr>
              <w:t>Six Months Ended June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FHA</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1,204</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1580"/>
        <w:spacing w:after="0" w:line="504" w:lineRule="auto"/>
        <w:rPr>
          <w:sz w:val="20"/>
          <w:szCs w:val="20"/>
          <w:color w:val="auto"/>
        </w:rPr>
      </w:pPr>
      <w:r>
        <w:rPr>
          <w:rFonts w:ascii="Arial" w:cs="Arial" w:eastAsia="Arial" w:hAnsi="Arial"/>
          <w:sz w:val="18"/>
          <w:szCs w:val="18"/>
          <w:b w:val="1"/>
          <w:bCs w:val="1"/>
          <w:color w:val="auto"/>
        </w:rPr>
        <w:t>NOTE 10—ORIGINATION AND SALE OF LOANS, LOANS HELD FOR SALE AND LOAN LOSS OBLIGATIONS (Continued) Loans Held for Sale</w:t>
      </w:r>
    </w:p>
    <w:p>
      <w:pPr>
        <w:spacing w:after="0" w:line="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held for sale by type of loan as of June 30, 2010 and December 31, 2009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gridSpan w:val="2"/>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85,506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FHA</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20,141</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Subprime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111,910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93,596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June 30, 2010 and December 31, 2009 (in thousands):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As of June 30, 2010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Loans 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Nonaccrual—</w:t>
            </w:r>
          </w:p>
        </w:tc>
        <w:tc>
          <w:tcPr>
            <w:tcW w:w="6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w:t>
            </w: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23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Loans 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Nonaccrual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 unpaid principal balance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20" w:type="dxa"/>
            <w:vAlign w:val="bottom"/>
            <w:gridSpan w:val="2"/>
            <w:vMerge w:val="restart"/>
          </w:tcPr>
          <w:p>
            <w:pPr>
              <w:jc w:val="right"/>
              <w:ind w:right="53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within the loans on nonaccrual status are repurchased loans with a net book value of $0.9 million and $0.7 million at June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2009, respectively. During the three and six months ended June 30, 2010, LendingTree repurchased one loan with a balance of $0.3 million.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three and six months ended June 30, 2009, LendingTree Loans did not repurchase any loans.</w:t>
      </w:r>
    </w:p>
    <w:p>
      <w:pPr>
        <w:spacing w:after="0" w:line="219"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 and $0.9 million, net of estimated selling expenses, at June 30, 2010 and December 31, 2009, respectively. This amount is included in prepaid and other current assets in the accompanying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94"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categorizes its loan sales into four types based on the extent of the documentation provided by the borrower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substantiate income and/or assets (full or limited documentation) and the lien position of the mortgage in the underling property (first or second position). Each of these loan types has a different loss experience with full documentation, first lien position loans generally having the lowest loss ratios and limited documentation, second lien position loans generally having the highest loss ratios.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June 30,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w w:val="86"/>
              </w:rPr>
              <w:t>As of June 30, 2010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Original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principal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balance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2009</w:t>
            </w:r>
          </w:p>
        </w:tc>
        <w:tc>
          <w:tcPr>
            <w:tcW w:w="3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3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pipeline of 112 loan repurchase requests and indemnifications as of June 30, 2010 was considered in determining the appropriate reserve amount. The status of these 112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$20.2 million, comprised of approximately 61% full documentation first liens, 6% full documentation second liens, 22% limited documentation first liens, and 11% limited documentation second liens.</w:t>
      </w:r>
    </w:p>
    <w:p>
      <w:pPr>
        <w:spacing w:after="0" w:line="1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to be paid in four equal quarterly installments in 2010, relates to all future losses on limited documentation second lien loans on loans sold to this buyer. LendingTree Loans must also pay an additional amount of up to $0.3 million in conjunction with this settlement if it does not sell a certain volume of loans to this buyer in 2010. This amount is being accrued throughout 2010 and is included in the total estimated settlement amount. This settlement amount is included as a charge off to the reserve in 2010 and is not included in the table above.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June 30, 2010 LendingTree Loans estimated the range of remaining possible losses due to representations and warranty issues based on the methodology described above, excluding the $2.4 million settlement remaining to be paid in 2010, as $12 million to $20 million. The Company believes that it has adequately reserved for these losses.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six months ended June 30, 2010 and 2009, is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16,985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10,451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(6,752)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(4,309)</w:t>
            </w: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14,695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256" w:lineRule="auto"/>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six months ended June 30, 2010 includes a charge off for the amount of the $4.5 million loan loss settlement discussed above plus an estimated portion of the $0.3 million additional amount based on loans sold to this buyer in 2010. The remaining settlement payments due of $2.4 million are tracked as a liability separate from the loan loss reserve (see table below).</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loan losses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including the remaining portion of the settlement discussed above, is presented in the accompanying consolidated balance sheet as of June 30, 2010 and December 31, 2009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As of June 30,</w:t>
            </w:r>
          </w:p>
        </w:tc>
        <w:tc>
          <w:tcPr>
            <w:tcW w:w="100" w:type="dxa"/>
            <w:vAlign w:val="bottom"/>
          </w:tcPr>
          <w:p>
            <w:pPr>
              <w:spacing w:after="0"/>
              <w:rPr>
                <w:sz w:val="14"/>
                <w:szCs w:val="14"/>
                <w:color w:val="auto"/>
              </w:rPr>
            </w:pPr>
          </w:p>
        </w:tc>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Current portion related to settlement above, included in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Other current portion, included in accrued expenses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5"/>
              </w:rPr>
              <w:t>Long term portion, included in other long-term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8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80" w:type="dxa"/>
            <w:vAlign w:val="bottom"/>
            <w:gridSpan w:val="2"/>
            <w:vMerge w:val="restart"/>
          </w:tcPr>
          <w:p>
            <w:pPr>
              <w:jc w:val="right"/>
              <w:ind w:right="59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31"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color w:val="auto"/>
        </w:rPr>
        <w:t>For the three months ended June 30, 2010 and 2009, Tree.com recorded a tax provision of $0.2 million and $0.4 million, respectively, which represents effective tax rates of (25.6)% and 34.2%, respectively. For the three months ended June 30, 2010, the tax rate is lower than the federal statutory rate of 35% mainly due to an increase in the valuation allowance on deferred tax assets. For the three months ended June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 the six months ended June 30, 2010 and 2009, Tree.com recorded a tax provision of $0.8 million and $0.3 million, respectively, which represents effective tax rates of (13.2)% and 7.2%, respectively. For the six months ended June 30, 2010, the tax rate is lower than the federal statutory rate of 35% mainly due to an increase in the valuation allowance on deferred tax assets. For the six months ended June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Tree.com's unrecognized tax benefits remained constant in the second quarter. Tree.com believes that it is reasonably possible that its remaining unrecognized tax benefits could decrease by approximately $0.6 million within twelve months of the current reporting date due to the expiration of state statute of limitations. An estimate of other changes in unrecognized tax benefits cannot be made, but are not expected to be significant.</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the six months ended June 30, 2010, Tree.com determined that its valuation allowance yielded an unusual effective tax rate; therefore, Tree.com utilized the actual year to date effective tax rate for purposes of determining year to date tax expense. This approach is consistent with the six months ended June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six months ended June 30, 2010 and 2009, provisions for litigation settlements of $0.1 million, $0.3 million, respectively, were recorded in litigation settlements and contingencies in the accompanying consolidated statements of operations. The balance of the related liability was $-0- and $12.8 million at June 30, 2010 and December 31, 2009, respectively. The $12.8 million liability was paid in 2010.</w:t>
      </w:r>
    </w:p>
    <w:p>
      <w:pPr>
        <w:spacing w:after="0" w:line="194"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restructuring charges in 2010 primarily relate to continuing lease obligations on facilities previously used for call center operations, for which management had a plan to exit at December 31, 2009, but the cease-use date did not occur until January 2010. The restructuring charges in 2009 primarily relate to Tree.com's segment reorganizations and aligning the cost structure with future revenue opportunities. Costs that relate to ongoing operations are not part of restructuring charges. Restructuring charges by segment and type are as follows (in thousands):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98"/>
              </w:rPr>
              <w:t>For The Three Months Ended June 30, 2010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Employee</w:t>
            </w:r>
          </w:p>
        </w:tc>
        <w:tc>
          <w:tcPr>
            <w:tcW w:w="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Continuing</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Lease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Unallocated—corporate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For The Three Months Ended June 30, 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4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(1,084)</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Exchanges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Unallocated—corporate</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(1,078)</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For The Six Months Ended June 30, 2010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Employee</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Continuing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Asset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Exchanges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Unallocated—corporate</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40" w:type="dxa"/>
            <w:vAlign w:val="bottom"/>
            <w:vMerge w:val="restart"/>
          </w:tcPr>
          <w:p>
            <w:pPr>
              <w:jc w:val="right"/>
              <w:ind w:right="69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7"/>
          </w:tcPr>
          <w:p>
            <w:pPr>
              <w:jc w:val="right"/>
              <w:ind w:right="80"/>
              <w:spacing w:after="0"/>
              <w:rPr>
                <w:sz w:val="20"/>
                <w:szCs w:val="20"/>
                <w:color w:val="auto"/>
              </w:rPr>
            </w:pPr>
            <w:r>
              <w:rPr>
                <w:rFonts w:ascii="Arial" w:cs="Arial" w:eastAsia="Arial" w:hAnsi="Arial"/>
                <w:sz w:val="14"/>
                <w:szCs w:val="14"/>
                <w:b w:val="1"/>
                <w:bCs w:val="1"/>
                <w:color w:val="auto"/>
                <w:w w:val="87"/>
              </w:rPr>
              <w:t>For The Six Months Ended June 30, 2009</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8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940" w:type="dxa"/>
            <w:vAlign w:val="bottom"/>
            <w:gridSpan w:val="6"/>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Continuing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center"/>
              <w:ind w:right="252"/>
              <w:spacing w:after="0" w:line="149" w:lineRule="exact"/>
              <w:rPr>
                <w:sz w:val="20"/>
                <w:szCs w:val="20"/>
                <w:color w:val="auto"/>
              </w:rPr>
            </w:pPr>
            <w:r>
              <w:rPr>
                <w:rFonts w:ascii="Arial" w:cs="Arial" w:eastAsia="Arial" w:hAnsi="Arial"/>
                <w:sz w:val="14"/>
                <w:szCs w:val="14"/>
                <w:b w:val="1"/>
                <w:bCs w:val="1"/>
                <w:color w:val="auto"/>
                <w:w w:val="80"/>
              </w:rPr>
              <w:t>Lease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Asset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Costs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r>
      <w:tr>
        <w:trPr>
          <w:trHeight w:val="216"/>
        </w:trPr>
        <w:tc>
          <w:tcPr>
            <w:tcW w:w="8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Unallocated—corporate</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r>
      <w:tr>
        <w:trPr>
          <w:trHeight w:val="21"/>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7"/>
        </w:trPr>
        <w:tc>
          <w:tcPr>
            <w:tcW w:w="5480" w:type="dxa"/>
            <w:vAlign w:val="bottom"/>
            <w:gridSpan w:val="3"/>
          </w:tcPr>
          <w:p>
            <w:pPr>
              <w:spacing w:after="0"/>
              <w:rPr>
                <w:sz w:val="2"/>
                <w:szCs w:val="2"/>
                <w:color w:val="auto"/>
              </w:rPr>
            </w:pPr>
          </w:p>
        </w:tc>
        <w:tc>
          <w:tcPr>
            <w:tcW w:w="6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6420" w:type="dxa"/>
            <w:vAlign w:val="bottom"/>
            <w:gridSpan w:val="7"/>
          </w:tcPr>
          <w:p>
            <w:pPr>
              <w:jc w:val="right"/>
              <w:ind w:right="560"/>
              <w:spacing w:after="0"/>
              <w:rPr>
                <w:sz w:val="20"/>
                <w:szCs w:val="20"/>
                <w:color w:val="auto"/>
              </w:rPr>
            </w:pPr>
            <w:r>
              <w:rPr>
                <w:rFonts w:ascii="Arial" w:cs="Arial" w:eastAsia="Arial" w:hAnsi="Arial"/>
                <w:sz w:val="18"/>
                <w:szCs w:val="18"/>
                <w:color w:val="auto"/>
                <w:w w:val="87"/>
              </w:rPr>
              <w:t>Restructuring charges and spending against liabilities are as follows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7"/>
          </w:tcPr>
          <w:p>
            <w:pPr>
              <w:jc w:val="center"/>
              <w:ind w:right="220"/>
              <w:spacing w:after="0"/>
              <w:rPr>
                <w:sz w:val="20"/>
                <w:szCs w:val="20"/>
                <w:color w:val="auto"/>
              </w:rPr>
            </w:pPr>
            <w:r>
              <w:rPr>
                <w:rFonts w:ascii="Arial" w:cs="Arial" w:eastAsia="Arial" w:hAnsi="Arial"/>
                <w:sz w:val="14"/>
                <w:szCs w:val="14"/>
                <w:b w:val="1"/>
                <w:bCs w:val="1"/>
                <w:color w:val="auto"/>
                <w:w w:val="87"/>
              </w:rPr>
              <w:t>For The Six Months Ended June 30, 2010</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8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1"/>
                <w:szCs w:val="11"/>
                <w:color w:val="auto"/>
              </w:rPr>
            </w:pPr>
          </w:p>
        </w:tc>
        <w:tc>
          <w:tcPr>
            <w:tcW w:w="900" w:type="dxa"/>
            <w:vAlign w:val="bottom"/>
            <w:gridSpan w:val="5"/>
          </w:tcPr>
          <w:p>
            <w:pPr>
              <w:jc w:val="right"/>
              <w:ind w:right="160"/>
              <w:spacing w:after="0" w:line="129" w:lineRule="exact"/>
              <w:rPr>
                <w:sz w:val="20"/>
                <w:szCs w:val="20"/>
                <w:color w:val="auto"/>
              </w:rPr>
            </w:pPr>
            <w:r>
              <w:rPr>
                <w:rFonts w:ascii="Arial" w:cs="Arial" w:eastAsia="Arial" w:hAnsi="Arial"/>
                <w:sz w:val="14"/>
                <w:szCs w:val="14"/>
                <w:b w:val="1"/>
                <w:bCs w:val="1"/>
                <w:color w:val="auto"/>
                <w:w w:val="97"/>
              </w:rPr>
              <w:t>Continuing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Lease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4"/>
                <w:szCs w:val="14"/>
                <w:b w:val="1"/>
                <w:bCs w:val="1"/>
                <w:color w:val="auto"/>
                <w:w w:val="82"/>
              </w:rPr>
              <w:t>Costs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7"/>
              </w:rPr>
              <w:t>Write-offs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3,042</w:t>
            </w: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22"/>
        </w:trPr>
        <w:tc>
          <w:tcPr>
            <w:tcW w:w="80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r>
      <w:tr>
        <w:trPr>
          <w:trHeight w:val="21"/>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0" w:type="dxa"/>
            <w:vAlign w:val="bottom"/>
            <w:shd w:val="clear" w:color="auto" w:fill="CCEEFF"/>
          </w:tcPr>
          <w:p>
            <w:pPr>
              <w:spacing w:after="0"/>
              <w:rPr>
                <w:sz w:val="18"/>
                <w:szCs w:val="18"/>
                <w:color w:val="auto"/>
              </w:rPr>
            </w:pPr>
          </w:p>
        </w:tc>
      </w:tr>
      <w:tr>
        <w:trPr>
          <w:trHeight w:val="27"/>
        </w:trPr>
        <w:tc>
          <w:tcPr>
            <w:tcW w:w="8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June 30, 2010, restructuring liabilities of $1.0 million are included in accrued expenses and other current liabilities and $2.4 million are included in other long-term liabilities in the accompanying consolidated balance sheet. At December 31, 2009, restructuring liabilities of $1.8 million are included in accrued expenses and other current liabilities and $0.7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5"/>
          <w:szCs w:val="15"/>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4"/>
          <w:szCs w:val="24"/>
          <w:color w:val="auto"/>
          <w:vertAlign w:val="superscript"/>
        </w:rPr>
        <w:t>SM</w:t>
      </w:r>
      <w:r>
        <w:rPr>
          <w:rFonts w:ascii="Arial" w:cs="Arial" w:eastAsia="Arial" w:hAnsi="Arial"/>
          <w:sz w:val="15"/>
          <w:szCs w:val="15"/>
          <w:color w:val="auto"/>
        </w:rPr>
        <w:t>,</w:t>
      </w:r>
    </w:p>
    <w:p>
      <w:pPr>
        <w:spacing w:after="0" w:line="2" w:lineRule="exact"/>
        <w:rPr>
          <w:sz w:val="20"/>
          <w:szCs w:val="20"/>
          <w:color w:val="auto"/>
        </w:rPr>
      </w:pPr>
    </w:p>
    <w:p>
      <w:pPr>
        <w:ind w:right="160"/>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These businesses and brands are operated under the segments known as LendingTree Loans, the Exchanges and Real Estate. Additionally, certain shared indirect costs that are described below are reported as "Unallocated—Corporate."</w:t>
      </w:r>
    </w:p>
    <w:p>
      <w:pPr>
        <w:spacing w:after="0" w:line="186"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jc w:val="both"/>
        <w:ind w:right="880" w:firstLine="348"/>
        <w:spacing w:after="0" w:line="259"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Tree.com, DegreeTree.com, LendingTreeAutos.com and GetSmart.com) that connect consumers and service providers principally in the lending, higher education and automobile marketplaces.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Real Estate segment consists of a proprietary full-service real estate brokerage (RealEstate.com, REALTORS®) that operates in 20 U.S. markets, as well as an online lead generation network accessed at </w:t>
      </w:r>
      <w:r>
        <w:rPr>
          <w:rFonts w:ascii="Arial" w:cs="Arial" w:eastAsia="Arial" w:hAnsi="Arial"/>
          <w:sz w:val="16"/>
          <w:szCs w:val="16"/>
          <w:i w:val="1"/>
          <w:iCs w:val="1"/>
          <w:color w:val="auto"/>
        </w:rPr>
        <w:t>www.RealEstate.com</w:t>
      </w:r>
      <w:r>
        <w:rPr>
          <w:rFonts w:ascii="Arial" w:cs="Arial" w:eastAsia="Arial" w:hAnsi="Arial"/>
          <w:sz w:val="16"/>
          <w:szCs w:val="16"/>
          <w:color w:val="auto"/>
        </w:rPr>
        <w:t>, that connects consumers with third party real estate brokerages around the country.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Results of operations for the three and six months ended June 30, 2010 compared to the three and six months ended June 30, 2009:</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24,041</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34,442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26,649</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11,659</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21,906</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(7,471)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(3,707)</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60,973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LendingTree Loans revenue in 2010 decreased $9.6 million, or 26%, from the same period in 2009. Revenue generated from the origination and sale of loans decreased $10.4 million, or 30%. The total dollar value of loans closed declined by 32% during 2010, even though the number of consumer loan requests increased by 20% in the same period. The resulting decrease in loan closing rates was primarily driven by tight secondary credit markets that are unable to serve many consumers who do not have sufficient collateral value or are not eligible for conforming prime first-lien position loans.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right"/>
              <w:ind w:right="78"/>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598"/>
              <w:spacing w:after="0" w:line="142" w:lineRule="exact"/>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80" w:type="dxa"/>
            <w:vAlign w:val="bottom"/>
          </w:tcPr>
          <w:p>
            <w:pPr>
              <w:jc w:val="right"/>
              <w:ind w:right="118"/>
              <w:spacing w:after="0"/>
              <w:rPr>
                <w:sz w:val="20"/>
                <w:szCs w:val="20"/>
                <w:color w:val="auto"/>
              </w:rPr>
            </w:pPr>
            <w:r>
              <w:rPr>
                <w:rFonts w:ascii="Arial" w:cs="Arial" w:eastAsia="Arial" w:hAnsi="Arial"/>
                <w:sz w:val="12"/>
                <w:szCs w:val="12"/>
                <w:b w:val="1"/>
                <w:bCs w:val="1"/>
                <w:color w:val="auto"/>
                <w:w w:val="76"/>
              </w:rPr>
              <w:t>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c>
          <w:tcPr>
            <w:tcW w:w="1440" w:type="dxa"/>
            <w:vAlign w:val="bottom"/>
            <w:gridSpan w:val="3"/>
            <w:shd w:val="clear" w:color="auto" w:fill="CCEEFF"/>
          </w:tcPr>
          <w:p>
            <w:pPr>
              <w:jc w:val="right"/>
              <w:ind w:right="318"/>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Purchase mortgages</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440" w:type="dxa"/>
            <w:vAlign w:val="bottom"/>
            <w:gridSpan w:val="3"/>
          </w:tcPr>
          <w:p>
            <w:pPr>
              <w:jc w:val="right"/>
              <w:ind w:right="3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r>
      <w:tr>
        <w:trPr>
          <w:trHeight w:val="21"/>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1440" w:type="dxa"/>
            <w:vAlign w:val="bottom"/>
            <w:gridSpan w:val="3"/>
            <w:shd w:val="clear" w:color="auto" w:fill="CCEEFF"/>
          </w:tcPr>
          <w:p>
            <w:pPr>
              <w:jc w:val="right"/>
              <w:ind w:right="31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r>
      <w:tr>
        <w:trPr>
          <w:trHeight w:val="27"/>
        </w:trPr>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9% and 16% of Tree.com's consolidated revenue for the three months ended June 30, 2010 and 2009, respectively.</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Revenue from the Exchanges in 2010 increased $1.3 million, or 6%, from the same period in 2009 due primarily to an increase in inter-segment revenue from sales of consumer mortgage leads to LendingTree Loans, reflecting both an expansion of consumer volume LendingTree Loans takes to include direct consumer calls and a higher transfer price due to increased marketing costs to acquire leads. Overall matched requests in the second quarter of 2010 declined 19% from the same period in 2009, which reflects a decline of 47% in home loan matches and an increase of 209% in matches for the new consumer vertical areas of higher education, home services and insurance. Home loan matches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were down because of the expansion of volume taken by LendingTree Loans and many lenders experiencing their own high levels of organic lead volume during this low interest rate environment. Matches in new consumer verticals have grown as a result of both business acquisitions completed in 2009 and increased marketing spending. The overall impact on match fees was an increase of 18%, reflecting a shift in pricing on home loan related matches to increase the average match fee (and decrease the average closed loan fee). Also impacting the revenue from closed loan fees was a 38% decline in closed units in the period as a result of the decline in matched loan requests.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320" w:type="dxa"/>
            <w:vAlign w:val="bottom"/>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w w:val="76"/>
              </w:rPr>
              <w:t>millions)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Purchase mortgages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723</w:t>
            </w:r>
          </w:p>
        </w:tc>
        <w:tc>
          <w:tcPr>
            <w:tcW w:w="1480" w:type="dxa"/>
            <w:vAlign w:val="bottom"/>
            <w:gridSpan w:val="3"/>
          </w:tcPr>
          <w:p>
            <w:pPr>
              <w:jc w:val="right"/>
              <w:ind w:right="358"/>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gridSpan w:val="3"/>
            <w:vMerge w:val="restart"/>
          </w:tcPr>
          <w:p>
            <w:pPr>
              <w:jc w:val="right"/>
              <w:ind w:right="298"/>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48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Real Estate revenue in 2010 decreased $3.1 million, or 40%, from the same period in 2009 principally due to a decrease in closings due to the persistent negative real estate market conditions contributing to lower home sales prices and fewer real estate transactions overall. In addition, the Company consolidated three office locations in the fourth quarter of 2009, which resulted in lower agent count and transactions in 2010. The dollar value of the Company's real estate closings decreased 40% in 2010, from $332 million in 2009 to $200 million in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47,441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67,206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4,946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7"/>
        </w:trPr>
        <w:tc>
          <w:tcPr>
            <w:tcW w:w="382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52,387</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25,825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19,869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5,352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1,632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15,148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7"/>
        </w:trPr>
        <w:tc>
          <w:tcPr>
            <w:tcW w:w="382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8,612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(15,148)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93,808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118,233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LendingTree Loans revenue in 2010 decreased $18.2 million, or 26%, from the same period in 2009. Revenue generated from the origination and sale of loans decreased $19.8 million, or 29%. The total dollar value of loans closed declined by 24% during 2010, even though the number of consumer loan requests increased by 20% in the same period. The resulting decrease in loan closing rates was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primarily driven by tight secondary credit markets that are unable to serve many consumers who do not have sufficient collateral value or are not eligible for conforming prime first-lien position loans.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Purchase mortgages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w:t>
            </w: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9% and 14% of Tree.com's consolidated revenue for the six months ended June 30, 2010 and 2009, respectively.</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Revenue from the Exchanges in 2010 increased $8.3 million, or 21%, for the same period in 2009 due primarily to an increase in inter-segment revenue from sales of consumer mortgage leads to LendingTree Loans, reflecting both an expansion of consumer volume LendingTree Loans takes to include direct consumer calls and a higher transfer price due to increased marketing costs to acquire leads. Overall matched requests through the second quarter of 2010 declined 13% from the same period in 2009, which reflects a decline of 43% in home loan matches and an increase of 193% in matches for the new consumer vertical areas of higher education, home services and insurance. Home loan matches were down because of the expansion of volume taken by LendingTree Loans and many lenders experiencing their own high levels of organic lead volume during this low interest rate environment. Matches in new consumer verticals have grown as a result of both business acquisitions completed in 2009 and increased marketing spending. The overall impact on match fees was an increase of 30%, reflecting a shift in pricing on home loan related matches to increase the average match fee (and decrease the average close loan fee). Also impacting the revenue from closed loan fees was a 37% decline in closed units in the period as a result of the decline in matched loan requests.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320" w:type="dxa"/>
            <w:vAlign w:val="bottom"/>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w w:val="76"/>
              </w:rPr>
              <w:t>millions)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Purchase mortgages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1,286</w:t>
            </w:r>
          </w:p>
        </w:tc>
        <w:tc>
          <w:tcPr>
            <w:tcW w:w="1480" w:type="dxa"/>
            <w:vAlign w:val="bottom"/>
            <w:gridSpan w:val="3"/>
          </w:tcPr>
          <w:p>
            <w:pPr>
              <w:jc w:val="right"/>
              <w:ind w:right="35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gridSpan w:val="3"/>
            <w:vMerge w:val="restart"/>
          </w:tcPr>
          <w:p>
            <w:pPr>
              <w:jc w:val="right"/>
              <w:ind w:right="29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48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Real Estate revenue in 2010 decreased $4.9 million, or 36%, principally due to a decrease in closings due to the persistent negative real estate market conditions contributing to lower home sales prices and fewer real estate transactions overall. In addition, the Company consolidated three office locations in the fourth quarter of 2009, which resulted in lower agent count and transactions in 2010. The dollar value of the Company's real estate closings decreased 41% in 2010, from $614 million in 2009 to $365 million in 2010.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2300" w:type="dxa"/>
        <w:tblCellMar>
          <w:top w:w="0" w:type="dxa"/>
          <w:left w:w="0" w:type="dxa"/>
          <w:bottom w:w="0" w:type="dxa"/>
          <w:right w:w="0" w:type="dxa"/>
        </w:tblCellMar>
      </w:tblPr>
      <w:tr>
        <w:trPr>
          <w:trHeight w:val="142"/>
        </w:trPr>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14,003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941</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4,792</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r>
      <w:tr>
        <w:trPr>
          <w:trHeight w:val="21"/>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13,188</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21,326</w:t>
            </w: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2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1"/>
              </w:rPr>
              <w:t>Unallocated—corporate, as a percentage of total revenue</w:t>
            </w:r>
          </w:p>
        </w:tc>
        <w:tc>
          <w:tcPr>
            <w:tcW w:w="13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 related costs (including stock- 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Cost of revenue in 2010 decreased $8.1 million from 2009 primarily due to decreases of $4.2 million in costs associated with loan originations at LendingTree Loans, $1.8 million in compensation and other employee related costs, $0.6 million in consumer incentive rebates related to decreased closings at the Exchanges and in Real Estate, and $1.5 million in commissions paid to real estate agents. The decreases in the cost of loan originations and in compensation and other employee related costs are primarily due to lower originations and sales of loans and lower commissions to loan officers, as the dollar value of loans closed directly by LendingTree Loans decreased 32% in 2010 as compared to 2009.</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19,502</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25,859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Exchanges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Unallocated—corporate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27,249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39,513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29%</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64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Cost of revenue in 2010 decreased $12.3 million from 2009 primarily due to decreases of $6.0 million in costs associated with loan originations at LendingTree Loans, $2.7 million in compensation and other employee related costs, $1.4 million in consumer incentive rebates related to decreased closings at the Exchanges and in Real Estate, and $2.2 million in commissions paid to real estate agents. The decreases in the cost of loan originations and in compensation and other employee related costs are primarily due to lower originations and sales of loans and lower commissions to loan officers, as the dollar value of loans closed directly by LendingTree Loans decreased 24% in 2010 as compared to 2009.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7,974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16,116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12,474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394</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Inter-segment marketing</w:t>
            </w:r>
          </w:p>
        </w:tc>
        <w:tc>
          <w:tcPr>
            <w:tcW w:w="140" w:type="dxa"/>
            <w:vAlign w:val="bottom"/>
          </w:tcPr>
          <w:p>
            <w:pPr>
              <w:spacing w:after="0"/>
              <w:rPr>
                <w:sz w:val="19"/>
                <w:szCs w:val="19"/>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(7,425)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r>
      <w:tr>
        <w:trPr>
          <w:trHeight w:val="21"/>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17,059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13,892</w:t>
            </w: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40" w:type="dxa"/>
            <w:vAlign w:val="bottom"/>
          </w:tcPr>
          <w:p>
            <w:pPr>
              <w:jc w:val="right"/>
              <w:ind w:right="652"/>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92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 primarily consists of lead generation through online spending, as well as lead purchases from the Exchanges.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Overall selling and marketing expense in 2010 increased $3.2 million from 2009 primarily due to an increase of $3.0 million in advertising and promotional expenditures. In 2010, Tree.com increased its online marketing advertising by $3.9 million, from $6.6 million in 2009 to $10.5 million in 2010, while broadcast advertising remained essentially flat at $4.5 million in 2010 and $4.4 million in 2009.</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overall increase from 2009 in both dollars and as a percentage of revenue is due to several factors. In the second quarter of 2009, the Exchanges was able to decrease advertising spending as it experienced naturally higher consumer demand that was driven by the lower mortgage interest rate environment and improvements in organic traffic. Also, LendingTree Loans received "overflow" leads during the early part of 2009 from a partner that received more leads than its capacity could handle. Moving into 2010, while overall mortgage interest rates remained low, there was not the significant and swift decline in rates that was seen in 2009 that captured the attention of the consumer, so the Exchanges responded by increasing advertising spending by 29% and generated a lower quantity of matched requests (a 19% decrease from the same period in 2009). This returned the marketing expense as a percentage of revenue to a more normalized level of 37% in 2010. This increase also directly impacts the cost per lead acquired for LendingTree Loans, which is reflected in the increase in marketing expense for that segment in the table above.</w:t>
      </w:r>
    </w:p>
    <w:p>
      <w:pPr>
        <w:spacing w:after="0" w:line="172"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(Dollars 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35,201</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24,442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Inter-segment marketing</w:t>
            </w:r>
          </w:p>
        </w:tc>
        <w:tc>
          <w:tcPr>
            <w:tcW w:w="160" w:type="dxa"/>
            <w:vAlign w:val="bottom"/>
          </w:tcPr>
          <w:p>
            <w:pPr>
              <w:spacing w:after="0"/>
              <w:rPr>
                <w:sz w:val="19"/>
                <w:szCs w:val="19"/>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w w:val="95"/>
              </w:rPr>
              <w:t>(15,051)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r>
      <w:tr>
        <w:trPr>
          <w:trHeight w:val="21"/>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27,714</w:t>
            </w: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40" w:type="dxa"/>
            <w:vAlign w:val="bottom"/>
          </w:tcPr>
          <w:p>
            <w:pPr>
              <w:jc w:val="right"/>
              <w:ind w:right="632"/>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92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Overall selling and marketing expense in 2010 increased $9.5 million from 2009 primarily due to an increase of $9.0 million in advertising and promotional expenditures. In 2010, Tree.com increased its online marketing advertising by $9.4 million, from $14.1 million in 2009 to $23.5 million in 2010, while broadcast advertising remained essentially flat at $8.3 million in 2010 and $8.2 million in 2009. Additionally, print advertising increased $1.0 million from 2009 primarily due to the costs associated with the production of a referral book for home services professionals within the DoneRight® brand.</w:t>
      </w:r>
    </w:p>
    <w:p>
      <w:pPr>
        <w:spacing w:after="0" w:line="167"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overall increase from 2009 in both dollars and as a percentage of revenue is due to several factors. In 2009, the Exchanges was able to decrease advertising spending as it experienced naturally higher consumer demand that was driven by the lower mortgage interest rate environment and improvements in organic traffic. Also, LendingTree Loans received "overflow" leads during the early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part of 2009 from a partner that received more leads than its capacity could handle. Moving into 2010, while overall mortgage interest rates remained low, there was not the significant and swift decline in rates that was seen in 2009 that captured the attention of the consumer, so the Exchanges responded by increasing advertising spending by 44% and generated a lower quantity of matched requests (a 13% decrease from the same period in 2009). This returned the marketing expense as a percentage of revenue to a more normalized level of 40% in 2010. This increase also directly impacts the cost per lead acquired for LendingTree Loans, which is reflected in the increase in marketing expense for that segment in the table above.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4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4"/>
          </w:tcPr>
          <w:p>
            <w:pPr>
              <w:jc w:val="right"/>
              <w:ind w:right="63"/>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2,665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6,205</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12,526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17,115</w:t>
            </w:r>
          </w:p>
        </w:tc>
      </w:tr>
      <w:tr>
        <w:trPr>
          <w:trHeight w:val="27"/>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300" w:type="dxa"/>
            <w:vAlign w:val="bottom"/>
          </w:tcPr>
          <w:p>
            <w:pPr>
              <w:jc w:val="right"/>
              <w:ind w:right="61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0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Unallocated—corporate, as a percentage of total revenue</w:t>
            </w:r>
          </w:p>
        </w:tc>
        <w:tc>
          <w:tcPr>
            <w:tcW w:w="13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General and administrative expense in 2010 decreased across all segments by $4.6 million from 2009. These decreases reflect a $3.4 million reduction in compensation and other employee related costs, excluding non-cash compensation, as a result of prior restructuring activities. Other significant decreases during 2010 include $0.8 million in litigation and regulatory costs, $0.3 million in loss on disposal of fixed assets and $0.3 million in facilities costs due to lower headcount and occupying fewer facilities.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General and administrative expense within the LendingTree Loans segment declined $1.0 million primarily due to decreases of $1.0 million in compensation and other employee related costs (excluding non-cash compensation) due to lower headcount.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General and administrative expense within the Exchanges segment decreased $1.2 million primarily due to decreases of $0.6 million in compensation and other employee related costs (excluding non-cash compensation) and $0.3 million in loss on disposal of fixed assets.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General and administrative expense within the Real Estate segment decreased $0.8 million primarily due to a decrease of $0.7 million in compensation and other employee related costs (excluding non-cash compensation) as a result of prior restructuring activities.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decreased $1.6 million primarily due to a decrease of $1.1 million in compensation and other employee related costs (excluding non-cash compensation) as a result of prior restructuring activities and a decrease of $0.7 million in litigation and regulatory costs.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tcPr>
          <w:p>
            <w:pPr>
              <w:jc w:val="right"/>
              <w:ind w:right="103"/>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10,888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3,064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5,449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12,047</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25,228</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33,414</w:t>
            </w:r>
          </w:p>
        </w:tc>
      </w:tr>
      <w:tr>
        <w:trPr>
          <w:trHeight w:val="27"/>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300" w:type="dxa"/>
            <w:vAlign w:val="bottom"/>
          </w:tcPr>
          <w:p>
            <w:pPr>
              <w:jc w:val="right"/>
              <w:ind w:right="61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0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Unallocated—corporate, as a percentage of total revenue</w:t>
            </w:r>
          </w:p>
        </w:tc>
        <w:tc>
          <w:tcPr>
            <w:tcW w:w="13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 in 2010 decreased across all segments by $8.2 million from the same period in 2009. These decreases reflect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$6.3 million reduction in compensation and other employee related costs, excluding non-cash compensation, as a result of prior restructuring activities.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decreases during 2010 include $0.9 million in loss on disposal of fixed assets and $0.5 million in facilities costs due to lower headcount and occupying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fewer facilities.</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General and administrative expense within the LendingTree Loans segment declined $1.2 million primarily due to decreases of $1.7 million in compensation and other employee related costs (excluding non-cash compensation) due to lower headcount.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General and administrative expense within the Exchanges segment decreased $2.4 million primarily due to decreases of $1.2 million in compensation and other employee related costs (excluding non-cash compensation) and $0.9 million in loss on disposal of fixed assets.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General and administrative expense within the Real Estate segment decreased $1.9 million primarily due to a decrease of $1.6 million in compensation and other employee related costs (excluding non-cash compensation) as a result of prior restructuring activities.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decreased $2.7 million primarily due to a decrease of $1.8 million in compensation and other employee related costs (excluding non-cash compensation) as a result of prior restructuring activities and a decrease of $0.7 million in litigation and regulatory costs.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7"/>
          </w:tcPr>
          <w:p>
            <w:pPr>
              <w:ind w:left="26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4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23"/>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Unallocated—corporate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r>
      <w:tr>
        <w:trPr>
          <w:trHeight w:val="21"/>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w:t>
            </w:r>
          </w:p>
        </w:tc>
      </w:tr>
      <w:tr>
        <w:trPr>
          <w:trHeight w:val="27"/>
        </w:trPr>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gridSpan w:val="3"/>
          </w:tcPr>
          <w:p>
            <w:pPr>
              <w:jc w:val="center"/>
              <w:ind w:left="286"/>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9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3"/>
              </w:rPr>
              <w:t>Unallocated—corporate, as a percentage of total revenue</w:t>
            </w:r>
          </w:p>
        </w:tc>
        <w:tc>
          <w:tcPr>
            <w:tcW w:w="12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 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2010 decreased $1.0 million from 2009, due to decreased compensation and other employee related costs.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1,556</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r>
      <w:tr>
        <w:trPr>
          <w:trHeight w:val="21"/>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3,169</w:t>
            </w: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gridSpan w:val="3"/>
          </w:tcPr>
          <w:p>
            <w:pPr>
              <w:ind w:left="2300"/>
              <w:spacing w:after="0"/>
              <w:rPr>
                <w:sz w:val="20"/>
                <w:szCs w:val="20"/>
                <w:color w:val="auto"/>
              </w:rPr>
            </w:pPr>
            <w:r>
              <w:rPr>
                <w:rFonts w:ascii="Arial" w:cs="Arial" w:eastAsia="Arial" w:hAnsi="Arial"/>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gridSpan w:val="6"/>
          </w:tcPr>
          <w:p>
            <w:pPr>
              <w:jc w:val="center"/>
              <w:ind w:right="24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20" w:type="dxa"/>
            <w:vAlign w:val="bottom"/>
            <w:gridSpan w:val="3"/>
            <w:vMerge w:val="restart"/>
          </w:tcPr>
          <w:p>
            <w:pPr>
              <w:ind w:left="2300"/>
              <w:spacing w:after="0"/>
              <w:rPr>
                <w:sz w:val="20"/>
                <w:szCs w:val="20"/>
                <w:color w:val="auto"/>
              </w:rPr>
            </w:pPr>
            <w:r>
              <w:rPr>
                <w:rFonts w:ascii="Arial" w:cs="Arial" w:eastAsia="Arial" w:hAnsi="Arial"/>
                <w:sz w:val="14"/>
                <w:szCs w:val="14"/>
                <w:b w:val="1"/>
                <w:bCs w:val="1"/>
                <w:color w:val="auto"/>
              </w:rPr>
              <w:t>As a Percentage of Segment Revenue</w:t>
            </w:r>
          </w:p>
        </w:tc>
        <w:tc>
          <w:tcPr>
            <w:tcW w:w="1240" w:type="dxa"/>
            <w:vAlign w:val="bottom"/>
          </w:tcPr>
          <w:p>
            <w:pPr>
              <w:spacing w:after="0"/>
              <w:rPr>
                <w:sz w:val="14"/>
                <w:szCs w:val="14"/>
                <w:color w:val="auto"/>
              </w:rPr>
            </w:pPr>
          </w:p>
        </w:tc>
        <w:tc>
          <w:tcPr>
            <w:tcW w:w="3560" w:type="dxa"/>
            <w:vAlign w:val="bottom"/>
            <w:gridSpan w:val="6"/>
          </w:tcPr>
          <w:p>
            <w:pPr>
              <w:jc w:val="center"/>
              <w:ind w:right="24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Unallocated—corporate, as a percentage of total revenue</w:t>
            </w:r>
          </w:p>
        </w:tc>
        <w:tc>
          <w:tcPr>
            <w:tcW w:w="12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620" w:type="dxa"/>
            <w:vAlign w:val="bottom"/>
            <w:gridSpan w:val="3"/>
          </w:tcPr>
          <w:p>
            <w:pPr>
              <w:jc w:val="right"/>
              <w:ind w:right="820"/>
              <w:spacing w:after="0"/>
              <w:rPr>
                <w:sz w:val="20"/>
                <w:szCs w:val="20"/>
                <w:color w:val="auto"/>
              </w:rPr>
            </w:pPr>
            <w:r>
              <w:rPr>
                <w:rFonts w:ascii="Arial" w:cs="Arial" w:eastAsia="Arial" w:hAnsi="Arial"/>
                <w:sz w:val="18"/>
                <w:szCs w:val="18"/>
                <w:color w:val="auto"/>
              </w:rPr>
              <w:t>43</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2010 decreased $1.2 million from 2009, due to decreased compensation and other employee related costs.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25" w:lineRule="exact"/>
        <w:rPr>
          <w:sz w:val="20"/>
          <w:szCs w:val="20"/>
          <w:color w:val="auto"/>
        </w:rPr>
      </w:pPr>
    </w:p>
    <w:p>
      <w:pPr>
        <w:ind w:right="44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For a reconciliation of Adjusted EBITDA to net loss for Tree.com's operating segments, see Note 7 to the consolidated financial statements.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4,617</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3,001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20" w:type="dxa"/>
            <w:vAlign w:val="bottom"/>
            <w:tcBorders>
              <w:right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(4,191)</w:t>
            </w:r>
          </w:p>
        </w:tc>
        <w:tc>
          <w:tcPr>
            <w:tcW w:w="1020" w:type="dxa"/>
            <w:vAlign w:val="bottom"/>
            <w:gridSpan w:val="3"/>
          </w:tcPr>
          <w:p>
            <w:pPr>
              <w:jc w:val="right"/>
              <w:ind w:right="4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(6,623)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3,412</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4"/>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86"/>
              </w:rPr>
              <w:t>Unallocated—corporate, as a percentage of total revenue</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Adjusted EBITDA in 2010 decreased $4.8 million to $3.4 million, reflecting a decrease in revenue at LendingTree Loans and an increase in marketing expense as described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27,559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Exchanges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6,697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Unallocated—corporate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(8,925)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(12,436)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4,246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17,365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Adjusted EBITDA in 2010 decreased $13.1 million to $4.2 million, reflecting a decrease in revenue at LendingTree Loans and an increase in marketing expense as described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three months ended June 30, 2010 compared to the three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left="278"/>
              <w:spacing w:after="0"/>
              <w:rPr>
                <w:sz w:val="20"/>
                <w:szCs w:val="20"/>
                <w:color w:val="auto"/>
              </w:rPr>
            </w:pPr>
            <w:r>
              <w:rPr>
                <w:rFonts w:ascii="Arial" w:cs="Arial" w:eastAsia="Arial" w:hAnsi="Arial"/>
                <w:sz w:val="14"/>
                <w:szCs w:val="14"/>
                <w:b w:val="1"/>
                <w:bCs w:val="1"/>
                <w:color w:val="auto"/>
                <w:w w:val="87"/>
              </w:rPr>
              <w:t>Three Months Ended 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12,403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2,360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(6,035)</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(5,187)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(7,476)</w:t>
            </w:r>
          </w:p>
        </w:tc>
      </w:tr>
      <w:tr>
        <w:trPr>
          <w:trHeight w:val="21"/>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w:t>
            </w:r>
          </w:p>
        </w:tc>
      </w:tr>
      <w:tr>
        <w:trPr>
          <w:trHeight w:val="27"/>
        </w:trPr>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60" w:type="dxa"/>
            <w:vAlign w:val="bottom"/>
          </w:tcPr>
          <w:p>
            <w:pPr>
              <w:spacing w:after="0"/>
              <w:rPr>
                <w:sz w:val="14"/>
                <w:szCs w:val="1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Unallocated—corporate, as a percentage of total revenue</w:t>
            </w:r>
          </w:p>
        </w:tc>
        <w:tc>
          <w:tcPr>
            <w:tcW w:w="1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Operating income in 2010 decreased $1.7 million from 2009 resulting primarily from the issues discussed above. Operating income in 2009 includes impairment charges of $3.9 million related to definite-lived intangible assets with Real Estate. In the second quarter of 2009, the new Real Estate operating segment leadership undertook significant changes in management, operational focus and marketing efforts related to the new homes referral services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 the six months ended June 30, 2010 compared to the six months ended June 30,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4"/>
                <w:szCs w:val="14"/>
                <w:b w:val="1"/>
                <w:bCs w:val="1"/>
                <w:color w:val="auto"/>
                <w:w w:val="87"/>
              </w:rPr>
              <w:t>Six Months Ended 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26,569</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4,581</w:t>
            </w:r>
          </w:p>
        </w:tc>
        <w:tc>
          <w:tcPr>
            <w:tcW w:w="8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3,838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(3,271)</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(11,212)</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(13,340)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(14,763)</w:t>
            </w: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4,432</w:t>
            </w:r>
          </w:p>
        </w:tc>
      </w:tr>
      <w:tr>
        <w:trPr>
          <w:trHeight w:val="27"/>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14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300" w:type="dxa"/>
            <w:vAlign w:val="bottom"/>
          </w:tcPr>
          <w:p>
            <w:pPr>
              <w:jc w:val="right"/>
              <w:ind w:right="69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00" w:type="dxa"/>
            <w:vAlign w:val="bottom"/>
          </w:tcPr>
          <w:p>
            <w:pPr>
              <w:spacing w:after="0"/>
              <w:rPr>
                <w:sz w:val="14"/>
                <w:szCs w:val="14"/>
                <w:color w:val="auto"/>
              </w:rPr>
            </w:pPr>
          </w:p>
        </w:tc>
        <w:tc>
          <w:tcPr>
            <w:tcW w:w="14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1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3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Unallocated—corporate, as a percentage of total revenue</w:t>
            </w:r>
          </w:p>
        </w:tc>
        <w:tc>
          <w:tcPr>
            <w:tcW w:w="13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Operating income in 2010 decreased $10.2 million from 2009 resulting primarily from the issues discussed above and an increase of $3.3 million in restructuring charges. In the first quarter of 2010, the Company recorded $2.6 million of previously disclosed restructuring charges that primarily relate to continuing lease obligations on facilities previously used for call center operations, for which management had a plan to exit at December 31, 2009, but the cease-use date did not occur before the end of 2009.</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right="400" w:firstLine="351"/>
        <w:spacing w:after="0" w:line="298" w:lineRule="auto"/>
        <w:rPr>
          <w:sz w:val="20"/>
          <w:szCs w:val="20"/>
          <w:color w:val="auto"/>
        </w:rPr>
      </w:pPr>
      <w:r>
        <w:rPr>
          <w:rFonts w:ascii="Arial" w:cs="Arial" w:eastAsia="Arial" w:hAnsi="Arial"/>
          <w:sz w:val="16"/>
          <w:szCs w:val="16"/>
          <w:color w:val="auto"/>
        </w:rPr>
        <w:t>For the three months ended June 30, 2010 and 2009, Tree.com recorded a tax provision of $0.2 million and $0.4 million, respectively, which represents effective tax rates of (25.6)% and 34.2%, respectively. For the three months ended June 30, 2010, the tax rate is lower than the federal statutory rate of 35% mainly due to an increase in the valuation allowance on deferred tax assets. For the three months ended June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the six months ended June 30, 2010 and 2009, Tree.com recorded a tax provision of $0.8 million and $0.3 million, respectively, which represents effective tax rates of (13.2)% and 7.2%, respectively. For the six months ended June 30, 2010, the tax rate is lower than the federal statutory rate of 35% mainly due to an increase in the valuation allowance on deferred tax assets. For the six months ended June 30, 2009, there was an increase in the valuation allowance and non-deductible impairment charges that caused the tax rate to be lower than the federal statutory 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2010, Tree.com had $62.9 million of cash and cash equivalents and restricted cash and cash equivalents.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Net cash used in operating activities was $30.3 million in the six months ended June 30, 2010, compared to $8.0 million in the same period in 2009. In addition to the decrease in net income in 2010, this net $22.3 million decrease in cash provided from operations was caused by a $15.4 million decrease in accounts payable and other current liabilities, principally litigation related payments of $12.8 million that were made in the six months ended June 30, 2010. Additionally, the amount of net cash proceeds and gains from the origination and sale of loans increased $6.5 million, which can fluctuate based on the timing of loan originations and sales.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Net cash used in investing activities in the six months ended June 30, 2010 of $1.9 million primarily resulted from capital expenditures of $3.5 million, offset by the release of restricted cash of $1.7 million. Net cash used in investing activities in the six months ended June 30, 2009 of $1.8 million primarily resulted from an acquisition of $1.0 million and capital expenditures of $1.4 million.</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Net cash provided by financing activities in the six months ended June 30, 2010 of $8.9 million was primarily due to net borrowings under warehouse lines of credit of $12.6 million, less purchases of treasury stock of $3.4 million and increases in restricted cash. Net cash used in financing activities in the six months ended June 30, 2009 of $19.9 million was primarily due to net borrowings under warehouse lines of credit of $16.9 million plus proceeds from the sale of common stock of $3.8 million.</w:t>
      </w:r>
    </w:p>
    <w:p>
      <w:pPr>
        <w:spacing w:after="0" w:line="197"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of June 30, 2010, LendingTree Loans had two committed lines of credit totaling $125.0 million of borrowing capacity. Borrowings under these lines of credit are used to fund, and are secured by, consumer residential loans that are held for sale. Loans under these lines of credit are repaid using proceeds from the sales of loans held for sale by LendingTree Loans. At June 30, 2010, there was $91.1 million outstanding under the committed lines of credit.</w:t>
      </w:r>
    </w:p>
    <w:p>
      <w:pPr>
        <w:spacing w:after="0" w:line="161" w:lineRule="exact"/>
        <w:rPr>
          <w:sz w:val="20"/>
          <w:szCs w:val="20"/>
          <w:color w:val="auto"/>
        </w:rPr>
      </w:pPr>
    </w:p>
    <w:p>
      <w:pPr>
        <w:jc w:val="both"/>
        <w:ind w:right="220" w:firstLine="348"/>
        <w:spacing w:after="0" w:line="302" w:lineRule="auto"/>
        <w:rPr>
          <w:sz w:val="20"/>
          <w:szCs w:val="20"/>
          <w:color w:val="auto"/>
        </w:rPr>
      </w:pPr>
      <w:r>
        <w:rPr>
          <w:rFonts w:ascii="Arial" w:cs="Arial" w:eastAsia="Arial" w:hAnsi="Arial"/>
          <w:sz w:val="15"/>
          <w:szCs w:val="15"/>
          <w:color w:val="auto"/>
        </w:rPr>
        <w:t>The $50.0 million first line was scheduled to expire on June 29, 2010, but the Company has renewed this line with a new expiration date of June 29, 2011. This line can be cancelled at the option of the lender without default upon sixty days notice. This first line includes an additional uncommitted credit facility of $25.0 million. This first line is also guaranteed by Tree.com, Inc., Lending Tree, LLC and Lending Tree Holdings Corp. The interest rate under the first line is 2.25% plus the greater of (a) the 30-day LIBOR or (b) 2.00%. The interest rate under the $25.0 million uncommitted line is 30-day LIBOR plus 1.50%.</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LendingTree Loans is also required to sell at least 25% of the loans it originates to the lender under this line or pay a "pair-off fee" of 0.25% on the difference between the required and actual volume of loans sold.</w:t>
      </w:r>
    </w:p>
    <w:p>
      <w:pPr>
        <w:spacing w:after="0" w:line="192"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$75.0 million second line is scheduled to expire on October 29, 2010. This second line is also guaranteed by Tree.com, Inc., LendingTree, LLC and LendingTree Holdings Corporation. The interest rate under this line is 30-day LIBOR or 2.0% (whichever is greater) plus 2.50% to 3.0% for loans being sold to the lender and 30-day LIBOR or 2.0% (whichever is greater) plus 2.75% for loans not being sold to the lender.</w:t>
      </w:r>
    </w:p>
    <w:p>
      <w:pPr>
        <w:spacing w:after="0" w:line="16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 also had a $40.0 million line with a lender that exited the warehouse lending business. This line expired on June 30, 2010 and was not renewed. The Company had anticipated that decision and had factored it into its future liquidity needs.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ratio,(vi) pre-tax net income requirements and (vii) a maximum warehouse capacity ratio. During the quarter ended June 30,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2010, LendingTree Loans was in compliance with the covenants under the lines. Effective July 22, 2010, both warehouse lines have been amended reducing the tangible net worth covenant to $25.0 million.</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expect to renew the line that is expiring on October 29, 2010.</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2010, cash and cash equivalents, current capacity under its warehouse lines of credit and access to capital markets, subject to restrictions in the tax sharing agreement, and believes that these are sufficient to fund its operating needs, including debt requirements, commitments, contingencies, capital and investing commitments for the foreseeable future.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More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9"/>
              </w:rPr>
              <w:t>1 - 3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9"/>
              </w:rPr>
              <w:t>3 - 5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Than</w:t>
            </w:r>
          </w:p>
        </w:tc>
      </w:tr>
      <w:tr>
        <w:trPr>
          <w:trHeight w:val="161"/>
        </w:trPr>
        <w:tc>
          <w:tcPr>
            <w:tcW w:w="494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 as of June 30, 2010</w:t>
            </w:r>
          </w:p>
        </w:tc>
        <w:tc>
          <w:tcPr>
            <w:tcW w:w="16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20" w:type="dxa"/>
            <w:vAlign w:val="bottom"/>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obligations(b)</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Loan loss settlement obligations(c)</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liquidation value and accreted interest(d)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121,307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4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short-term borrowings are the Company's warehouse lines of credit that are used exclusively for funding loans held for sale. These borrowings are collateralized by and are repaid from proceeds from selling the loans held for sale. Interest on these borrowings as of June 30, 2010 is not significant.</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2010.</w:t>
      </w:r>
    </w:p>
    <w:p>
      <w:pPr>
        <w:spacing w:after="0" w:line="238"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2009, LendingTree Loans completed settlement negotiations with a buyer of previously purchased stated income second lien position loans. The settlement provides for fixed payments to be made in 2010 by LendingTree Loans as full settlement of all future losses with this investor related to this type of loans.</w:t>
      </w:r>
    </w:p>
    <w:p>
      <w:pPr>
        <w:spacing w:after="0" w:line="207" w:lineRule="exact"/>
        <w:rPr>
          <w:rFonts w:ascii="Arial" w:cs="Arial" w:eastAsia="Arial" w:hAnsi="Arial"/>
          <w:sz w:val="18"/>
          <w:szCs w:val="18"/>
          <w:color w:val="auto"/>
        </w:rPr>
      </w:pPr>
    </w:p>
    <w:p>
      <w:pPr>
        <w:ind w:left="1680" w:right="80" w:hanging="531"/>
        <w:spacing w:after="0" w:line="306"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preferred stock obligation represents the obligation the Company has to redeem at maturity the 5,000 shares of preferred stock which the Company's CEO was granted in LendingTree Holdings Corp., a subsidiary of Tree.com at the time of the spin-off from IAC. The shares earn dividends at 12%, vest over 3 years, and have a liquidation preference of $5.0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LendingTree Loans, Exchanges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0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Adjusted EBITDA is defined as EBITDA excluding (1) non-cash compensation expense, (2) non-cash intangible asset impairment charges, (3) gain/loss on disposal of assets, (4) restructuring expenses, (5) litigation loss contingencies and settlements,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Adjusted EBITDA is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39"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a reconciliation of EBITDA and Adjusted EBITDA to net loss for Tree.com's operating segments for the three months and the six months ended June 30, 2010 and 2009, see Note 7 to the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"to be announced mortgage-backed securities" ("TBA MBS") and best efforts forward delivery commitments. The changes in fair value of the derivative instruments are recognized in current earnings as a component of revenue.</w:t>
      </w:r>
    </w:p>
    <w:p>
      <w:pPr>
        <w:spacing w:after="0" w:line="15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TBA MBS and best efforts forward delivery commitments.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June 30, 2010, if market interest rates had increased by 1.00%, the aggregate fair value of the derivative financial instruments and the hedged items at LendingTree Loans would have decreased by $1.1 million. As of June 30, 2010, if market interest rates had decreased by 1.00%, the aggregate fair value of the derivative financial instruments and the hedged items at LendingTree Loans would have decreased by $1.0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principal executive officer and principal financial officer. Based on that evaluation, the Company's principal executive officer and principal financial officer have concluded that the Company's disclosure controls and procedures are effective to ensure that information required to be disclosed by the Company in its reports that it files or submits under the Exchange Act is recorded, processed, summarized and reported within the time periods specified in the SEC rules and forms, and that information required to be disclosed by the Company in the reports the Company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During the Company's second quarter of fiscal 2010, there has been no change in the Company's internal controls over financial reporting (as defined in Rule 13a-15(f) and 15d-15(f) promulgated under the Exchange Act) that has materially affected, or is reasonably likely to materially affect, the Company's internal controls over financial reporting.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340" w:firstLine="351"/>
        <w:spacing w:after="0" w:line="283" w:lineRule="auto"/>
        <w:rPr>
          <w:sz w:val="20"/>
          <w:szCs w:val="20"/>
          <w:color w:val="auto"/>
        </w:rPr>
      </w:pPr>
      <w:r>
        <w:rPr>
          <w:rFonts w:ascii="Arial" w:cs="Arial" w:eastAsia="Arial" w:hAnsi="Arial"/>
          <w:sz w:val="16"/>
          <w:szCs w:val="16"/>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2009 as amended by our Annual Report on Form 10-K/A (the "2009 Form 10-K") and in our Current Reports on Form 8-K filed with the Securities and Exchange Commission (the "SEC") on January 11, 2010, January 15, 2010 and February 19, 2010 (the "Form 8-Ks"), and an update in Part II, Item 1, of our Quarterly</w:t>
      </w:r>
    </w:p>
    <w:p>
      <w:pPr>
        <w:spacing w:after="0" w:line="3" w:lineRule="exact"/>
        <w:rPr>
          <w:sz w:val="20"/>
          <w:szCs w:val="20"/>
          <w:color w:val="auto"/>
        </w:rPr>
      </w:pPr>
    </w:p>
    <w:p>
      <w:pPr>
        <w:ind w:right="660"/>
        <w:spacing w:after="0" w:line="310" w:lineRule="auto"/>
        <w:rPr>
          <w:sz w:val="20"/>
          <w:szCs w:val="20"/>
          <w:color w:val="auto"/>
        </w:rPr>
      </w:pPr>
      <w:r>
        <w:rPr>
          <w:rFonts w:ascii="Arial" w:cs="Arial" w:eastAsia="Arial" w:hAnsi="Arial"/>
          <w:sz w:val="15"/>
          <w:szCs w:val="15"/>
          <w:color w:val="auto"/>
        </w:rPr>
        <w:t>Report on Form 10-Q for the quarter ended March 31, 2010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Quarter 2010 10-Q"). During the quarter ended June 30, 2010, there were no material developments to the legal proceedings disclosed in our Form 8-Ks or in the 2009 Form 10-K or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Quarter 2010 10-Q and no new material proceedings.</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2"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70" w:lineRule="exact"/>
        <w:rPr>
          <w:sz w:val="20"/>
          <w:szCs w:val="20"/>
          <w:color w:val="auto"/>
        </w:rPr>
      </w:pPr>
    </w:p>
    <w:p>
      <w:pPr>
        <w:ind w:right="120" w:firstLine="351"/>
        <w:spacing w:after="0" w:line="282" w:lineRule="auto"/>
        <w:rPr>
          <w:sz w:val="20"/>
          <w:szCs w:val="20"/>
          <w:color w:val="auto"/>
        </w:rPr>
      </w:pPr>
      <w:r>
        <w:rPr>
          <w:rFonts w:ascii="Arial" w:cs="Arial" w:eastAsia="Arial" w:hAnsi="Arial"/>
          <w:sz w:val="18"/>
          <w:szCs w:val="18"/>
          <w:color w:val="auto"/>
        </w:rPr>
        <w:t>Other than the factor set forth below, there have been no material changes to the risk factors included in Part I, Item 1A, of the 2009 Form 10-K and Part II, Item 1A of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 2010 10-Q.</w:t>
      </w:r>
    </w:p>
    <w:p>
      <w:pPr>
        <w:spacing w:after="0" w:line="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jc w:val="both"/>
        <w:ind w:right="140" w:firstLine="341"/>
        <w:spacing w:after="0" w:line="306" w:lineRule="auto"/>
        <w:rPr>
          <w:sz w:val="20"/>
          <w:szCs w:val="20"/>
          <w:color w:val="auto"/>
        </w:rPr>
      </w:pPr>
      <w:r>
        <w:rPr>
          <w:rFonts w:ascii="Arial" w:cs="Arial" w:eastAsia="Arial" w:hAnsi="Arial"/>
          <w:sz w:val="16"/>
          <w:szCs w:val="16"/>
          <w:color w:val="auto"/>
        </w:rPr>
        <w:t>As of June 30, 2010, LendingTree Loans had two committed lines of credit totaling $125.0 million of borrowing capacity. Borrowings under these lines of credit are used to fund, and are secured by, consumer residential loans that are held for sale. Loans under these lines of credit are repaid using proceeds from the sales of loans held for sale by LendingTree Loans. At June 30, 2010, there was $91.1 million outstanding under the committed lines of credit.</w:t>
      </w:r>
    </w:p>
    <w:p>
      <w:pPr>
        <w:spacing w:after="0" w:line="16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$50.0 million first line was scheduled to expire on June 29, 2010, but the Company has renewed this line with a new expiration date of June 29, 2011. This line can be cancelled at the option of the lender without default upon sixty days notice. This first line includes an additional uncommitted credit facility of $25.0 million. This first line is also guaranteed by Tree.com, Inc., Lending Tree, LLC and Lending Tree Holdings Corp. The interest rate under the first line is 2.25% plus the greater of (a) the 30-day LIBOR or (b) 2.00%. The interest rate under the $25.0 million uncommitted line is 30-day LIBOR plus 1.50%. LendingTree Loans is also required to sell at least 25% of the loans it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originates to the lender under this line or pay a "pair-off fee" of 0.25% on the difference between the required and actual volume of loans sold.</w:t>
      </w:r>
    </w:p>
    <w:p>
      <w:pPr>
        <w:spacing w:after="0" w:line="225" w:lineRule="exact"/>
        <w:rPr>
          <w:sz w:val="20"/>
          <w:szCs w:val="20"/>
          <w:color w:val="auto"/>
        </w:rPr>
      </w:pPr>
    </w:p>
    <w:p>
      <w:pPr>
        <w:jc w:val="both"/>
        <w:ind w:right="360" w:firstLine="348"/>
        <w:spacing w:after="0" w:line="306" w:lineRule="auto"/>
        <w:rPr>
          <w:sz w:val="20"/>
          <w:szCs w:val="20"/>
          <w:color w:val="auto"/>
        </w:rPr>
      </w:pPr>
      <w:r>
        <w:rPr>
          <w:rFonts w:ascii="Arial" w:cs="Arial" w:eastAsia="Arial" w:hAnsi="Arial"/>
          <w:sz w:val="16"/>
          <w:szCs w:val="16"/>
          <w:color w:val="auto"/>
        </w:rPr>
        <w:t>The $75.0 million second line is scheduled to expire on October 29, 2010. This second line is also guaranteed by Tree.com, Inc., LendingTree, LLC and LendingTree Holdings Corp. The interest rate under this line is 30-day LIBOR or 2.0% (whichever is greater) plus 2.50% to 3.0% for loans being sold to the lender and 30-day LIBOR or 2.0% (whichever is greater) plus 2.75% for loans not being sold to the lender.</w:t>
      </w:r>
    </w:p>
    <w:p>
      <w:pPr>
        <w:spacing w:after="0" w:line="16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also had a $40.0 million line with a lender that exited the warehouse lending business. This line expired on June 30, 2010 and was not renewed. The Company had anticipated that decision and had factored it into its future liquidity needs.</w:t>
      </w:r>
    </w:p>
    <w:p>
      <w:pPr>
        <w:spacing w:after="0" w:line="186"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June 30, 2010.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5"/>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04/01/10 - 04/30/10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05/01/10 - 05/31/10</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180,160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180,160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06/01/10 - 06/30/10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gridSpan w:val="4"/>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408,568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408,568</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did not have any unregistered sales of its equity securities during the three and six months ended June 30, 2010.</w:t>
      </w:r>
    </w:p>
    <w:p>
      <w:pPr>
        <w:sectPr>
          <w:pgSz w:w="11900" w:h="16838" w:orient="portrait"/>
          <w:cols w:equalWidth="0" w:num="1">
            <w:col w:w="10219"/>
          </w:cols>
          <w:pgMar w:left="240" w:top="131" w:right="1440" w:bottom="1440" w:gutter="0" w:footer="0" w:header="0"/>
        </w:sectPr>
      </w:pPr>
    </w:p>
    <w:p>
      <w:pPr>
        <w:spacing w:after="0" w:line="2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20"/>
        <w:spacing w:after="0"/>
        <w:tabs>
          <w:tab w:leader="none" w:pos="44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202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ind w:left="1900" w:right="100" w:hanging="468"/>
        <w:spacing w:after="0" w:line="254" w:lineRule="auto"/>
        <w:tabs>
          <w:tab w:leader="none" w:pos="1880" w:val="left"/>
        </w:tabs>
        <w:rPr>
          <w:sz w:val="20"/>
          <w:szCs w:val="20"/>
          <w:color w:val="auto"/>
        </w:rPr>
      </w:pPr>
      <w:r>
        <w:rPr>
          <w:rFonts w:ascii="Arial" w:cs="Arial" w:eastAsia="Arial" w:hAnsi="Arial"/>
          <w:sz w:val="18"/>
          <w:szCs w:val="18"/>
          <w:color w:val="auto"/>
        </w:rPr>
        <w:t>10.1</w:t>
        <w:tab/>
        <w:t>Amendment No. 1 to Transactions Term Letter, made and entered into as of April 28, 2010 by and between Home Loan Center, Inc. d/b/a LendingTree Loans and Bank of America</w:t>
      </w:r>
    </w:p>
    <w:p>
      <w:pPr>
        <w:spacing w:after="0" w:line="226"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Severance Agreement between Tree.com, Inc. and Matthew Packey, dated May 10,</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Letter Agreement between Tree.com, Inc. and Christopher Hayek, dated June 28,</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ind w:left="1900" w:right="40" w:hanging="468"/>
        <w:spacing w:after="0" w:line="259" w:lineRule="auto"/>
        <w:tabs>
          <w:tab w:leader="none" w:pos="1880" w:val="left"/>
        </w:tabs>
        <w:rPr>
          <w:sz w:val="20"/>
          <w:szCs w:val="20"/>
          <w:color w:val="auto"/>
        </w:rPr>
      </w:pPr>
      <w:r>
        <w:rPr>
          <w:rFonts w:ascii="Arial" w:cs="Arial" w:eastAsia="Arial" w:hAnsi="Arial"/>
          <w:sz w:val="18"/>
          <w:szCs w:val="18"/>
          <w:color w:val="auto"/>
        </w:rPr>
        <w:t>10.4</w:t>
        <w:tab/>
        <w:t>Amendment No. 1 to Early Purchase Program Addendum to Loan Purchase Agreement, dated July 15, 2010, by and among Bank of America, N.A. and Home Loan Center, Inc.</w:t>
      </w:r>
    </w:p>
    <w:p>
      <w:pPr>
        <w:spacing w:after="0" w:line="221" w:lineRule="exact"/>
        <w:rPr>
          <w:sz w:val="20"/>
          <w:szCs w:val="20"/>
          <w:color w:val="auto"/>
        </w:rPr>
      </w:pPr>
    </w:p>
    <w:p>
      <w:pPr>
        <w:ind w:left="1900" w:right="440" w:hanging="468"/>
        <w:spacing w:after="0" w:line="332" w:lineRule="auto"/>
        <w:tabs>
          <w:tab w:leader="none" w:pos="1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Mandatory Forward Loan Volume Commitment, dated July 15, 2010, by and among Bank of America, N.A. and Home Loan Center, Inc.</w:t>
      </w:r>
    </w:p>
    <w:p>
      <w:pPr>
        <w:spacing w:after="0" w:line="382" w:lineRule="exact"/>
        <w:rPr>
          <w:sz w:val="20"/>
          <w:szCs w:val="20"/>
          <w:color w:val="auto"/>
        </w:rPr>
      </w:pPr>
    </w:p>
    <w:p>
      <w:pPr>
        <w:ind w:left="1900" w:right="80" w:hanging="468"/>
        <w:spacing w:after="0" w:line="332" w:lineRule="auto"/>
        <w:tabs>
          <w:tab w:leader="none" w:pos="1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Transaction Terms Letter for Master Repurchase Agreement, dated July 15, 2010, by and among Bank of America, N.A. and Home Loan Center, Inc.</w:t>
      </w:r>
    </w:p>
    <w:p>
      <w:pPr>
        <w:spacing w:after="0" w:line="382" w:lineRule="exact"/>
        <w:rPr>
          <w:sz w:val="20"/>
          <w:szCs w:val="20"/>
          <w:color w:val="auto"/>
        </w:rPr>
      </w:pPr>
    </w:p>
    <w:p>
      <w:pPr>
        <w:ind w:left="1900" w:right="100" w:hanging="468"/>
        <w:spacing w:after="0" w:line="332" w:lineRule="auto"/>
        <w:tabs>
          <w:tab w:leader="none" w:pos="1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No. 3 to Master Repurchase Agreement, dated July 22, 2010, by and between Home Loan Center, Inc. and JPMorgan Chase Bank, N.A.</w:t>
      </w:r>
    </w:p>
    <w:p>
      <w:pPr>
        <w:spacing w:after="0" w:line="382" w:lineRule="exact"/>
        <w:rPr>
          <w:sz w:val="20"/>
          <w:szCs w:val="20"/>
          <w:color w:val="auto"/>
        </w:rPr>
      </w:pPr>
    </w:p>
    <w:p>
      <w:pPr>
        <w:ind w:left="1900" w:right="340" w:hanging="468"/>
        <w:spacing w:after="0" w:line="259" w:lineRule="auto"/>
        <w:tabs>
          <w:tab w:leader="none" w:pos="1880" w:val="left"/>
        </w:tabs>
        <w:rPr>
          <w:sz w:val="20"/>
          <w:szCs w:val="20"/>
          <w:color w:val="auto"/>
        </w:rPr>
      </w:pPr>
      <w:r>
        <w:rPr>
          <w:rFonts w:ascii="Arial" w:cs="Arial" w:eastAsia="Arial" w:hAnsi="Arial"/>
          <w:sz w:val="18"/>
          <w:szCs w:val="18"/>
          <w:color w:val="auto"/>
        </w:rPr>
        <w:t>31.1</w:t>
        <w:tab/>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0</wp:posOffset>
            </wp:positionV>
            <wp:extent cx="14922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right="119"/>
        <w:spacing w:after="0" w:line="301" w:lineRule="auto"/>
        <w:rPr>
          <w:sz w:val="20"/>
          <w:szCs w:val="20"/>
          <w:color w:val="auto"/>
        </w:rPr>
      </w:pPr>
      <w:r>
        <w:rPr>
          <w:rFonts w:ascii="Arial" w:cs="Arial" w:eastAsia="Arial" w:hAnsi="Arial"/>
          <w:sz w:val="16"/>
          <w:szCs w:val="16"/>
          <w:color w:val="auto"/>
        </w:rPr>
        <w:t>Exhibit 10.1 to the Registrant's Current Report on Form 8-K filed April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right="119"/>
        <w:spacing w:after="0" w:line="306" w:lineRule="auto"/>
        <w:rPr>
          <w:sz w:val="20"/>
          <w:szCs w:val="20"/>
          <w:color w:val="auto"/>
        </w:rPr>
      </w:pPr>
      <w:r>
        <w:rPr>
          <w:rFonts w:ascii="Arial" w:cs="Arial" w:eastAsia="Arial" w:hAnsi="Arial"/>
          <w:sz w:val="16"/>
          <w:szCs w:val="16"/>
          <w:color w:val="auto"/>
        </w:rPr>
        <w:t>Exhibit 10.1 to the Registrant's Current Report on Form 8-K filed July 21, 2010</w:t>
      </w:r>
    </w:p>
    <w:p>
      <w:pPr>
        <w:spacing w:after="0" w:line="188" w:lineRule="exact"/>
        <w:rPr>
          <w:sz w:val="20"/>
          <w:szCs w:val="20"/>
          <w:color w:val="auto"/>
        </w:rPr>
      </w:pPr>
    </w:p>
    <w:p>
      <w:pPr>
        <w:ind w:right="119"/>
        <w:spacing w:after="0" w:line="306" w:lineRule="auto"/>
        <w:rPr>
          <w:sz w:val="20"/>
          <w:szCs w:val="20"/>
          <w:color w:val="auto"/>
        </w:rPr>
      </w:pPr>
      <w:r>
        <w:rPr>
          <w:rFonts w:ascii="Arial" w:cs="Arial" w:eastAsia="Arial" w:hAnsi="Arial"/>
          <w:sz w:val="16"/>
          <w:szCs w:val="16"/>
          <w:color w:val="auto"/>
        </w:rPr>
        <w:t>Exhibit 10.2 to the Registrant's Current Report on Form 8-K filed July 21, 2010</w:t>
      </w:r>
    </w:p>
    <w:p>
      <w:pPr>
        <w:spacing w:after="0" w:line="188" w:lineRule="exact"/>
        <w:rPr>
          <w:sz w:val="20"/>
          <w:szCs w:val="20"/>
          <w:color w:val="auto"/>
        </w:rPr>
      </w:pPr>
    </w:p>
    <w:p>
      <w:pPr>
        <w:ind w:right="119"/>
        <w:spacing w:after="0" w:line="306" w:lineRule="auto"/>
        <w:rPr>
          <w:sz w:val="20"/>
          <w:szCs w:val="20"/>
          <w:color w:val="auto"/>
        </w:rPr>
      </w:pPr>
      <w:r>
        <w:rPr>
          <w:rFonts w:ascii="Arial" w:cs="Arial" w:eastAsia="Arial" w:hAnsi="Arial"/>
          <w:sz w:val="16"/>
          <w:szCs w:val="16"/>
          <w:color w:val="auto"/>
        </w:rPr>
        <w:t>Exhibit 10.4 to the Registrant's Current Report on Form 8-K filed July 21, 2010</w:t>
      </w:r>
    </w:p>
    <w:p>
      <w:pPr>
        <w:spacing w:after="0" w:line="188" w:lineRule="exact"/>
        <w:rPr>
          <w:sz w:val="20"/>
          <w:szCs w:val="20"/>
          <w:color w:val="auto"/>
        </w:rPr>
      </w:pPr>
    </w:p>
    <w:p>
      <w:pPr>
        <w:ind w:right="119"/>
        <w:spacing w:after="0" w:line="306" w:lineRule="auto"/>
        <w:rPr>
          <w:sz w:val="20"/>
          <w:szCs w:val="20"/>
          <w:color w:val="auto"/>
        </w:rPr>
      </w:pPr>
      <w:r>
        <w:rPr>
          <w:rFonts w:ascii="Arial" w:cs="Arial" w:eastAsia="Arial" w:hAnsi="Arial"/>
          <w:sz w:val="16"/>
          <w:szCs w:val="16"/>
          <w:color w:val="auto"/>
        </w:rPr>
        <w:t>Exhibit 10.1 to the Registrant's Current Report on Form 8-K filed July 28,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720" w:space="200"/>
            <w:col w:w="2299"/>
          </w:cols>
          <w:pgMar w:left="240" w:top="131" w:right="1440" w:bottom="1440" w:gutter="0" w:footer="0" w:header="0"/>
          <w:type w:val="continuous"/>
        </w:sectPr>
      </w:pP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Certification of the principal financial officer pursuant to Rule 13a-14(a) or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w w:val="94"/>
              </w:rPr>
              <w:t>Rule 15d-14(a) of the Securities Exchange Act of 1934 as adopted pursuant to</w:t>
            </w:r>
          </w:p>
        </w:tc>
        <w:tc>
          <w:tcPr>
            <w:tcW w:w="3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30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w w:val="91"/>
              </w:rPr>
              <w:t>Certification of the principal executive officer pursuant to 18 U.S.C. Section 1350</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30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5980" w:type="dxa"/>
            <w:vAlign w:val="bottom"/>
            <w:gridSpan w:val="2"/>
          </w:tcPr>
          <w:p>
            <w:pPr>
              <w:ind w:left="80"/>
              <w:spacing w:after="0"/>
              <w:rPr>
                <w:sz w:val="20"/>
                <w:szCs w:val="20"/>
                <w:color w:val="auto"/>
              </w:rPr>
            </w:pPr>
            <w:r>
              <w:rPr>
                <w:rFonts w:ascii="Arial" w:cs="Arial" w:eastAsia="Arial" w:hAnsi="Arial"/>
                <w:sz w:val="18"/>
                <w:szCs w:val="18"/>
                <w:color w:val="auto"/>
                <w:w w:val="93"/>
              </w:rPr>
              <w:t>Certification of the principal financial officer pursuant to 18 U.S.C. Section 1350</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300" w:type="dxa"/>
            <w:vAlign w:val="bottom"/>
          </w:tcPr>
          <w:p>
            <w:pPr>
              <w:spacing w:after="0"/>
              <w:rPr>
                <w:sz w:val="19"/>
                <w:szCs w:val="19"/>
                <w:color w:val="auto"/>
              </w:rPr>
            </w:pPr>
          </w:p>
        </w:tc>
      </w:tr>
      <w:tr>
        <w:trPr>
          <w:trHeight w:val="110"/>
        </w:trPr>
        <w:tc>
          <w:tcPr>
            <w:tcW w:w="6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70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20"/>
        <w:spacing w:after="0"/>
        <w:tabs>
          <w:tab w:leader="none" w:pos="44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2106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ind w:left="1900" w:right="100" w:hanging="468"/>
        <w:spacing w:after="0" w:line="254" w:lineRule="auto"/>
        <w:tabs>
          <w:tab w:leader="none" w:pos="1880" w:val="left"/>
        </w:tabs>
        <w:rPr>
          <w:sz w:val="20"/>
          <w:szCs w:val="20"/>
          <w:color w:val="auto"/>
        </w:rPr>
      </w:pPr>
      <w:r>
        <w:rPr>
          <w:rFonts w:ascii="Arial" w:cs="Arial" w:eastAsia="Arial" w:hAnsi="Arial"/>
          <w:sz w:val="18"/>
          <w:szCs w:val="18"/>
          <w:color w:val="auto"/>
        </w:rPr>
        <w:t>10.1</w:t>
        <w:tab/>
        <w:t>Amendment No. 1 to Transactions Term Letter, made and entered into as of April 28, 2010 by and between Home Loan Center, Inc. d/b/a LendingTree Loans and Bank of America</w:t>
      </w:r>
    </w:p>
    <w:p>
      <w:pPr>
        <w:spacing w:after="0" w:line="226"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Severance Agreement between Tree.com, Inc. and Matthew Packey, dated May 10,</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ind w:left="1420"/>
        <w:spacing w:after="0"/>
        <w:tabs>
          <w:tab w:leader="none" w:pos="1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Letter Agreement between Tree.com, Inc. and Christopher Hayek, dated June 28,</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ind w:left="1900" w:right="40" w:hanging="468"/>
        <w:spacing w:after="0" w:line="259" w:lineRule="auto"/>
        <w:tabs>
          <w:tab w:leader="none" w:pos="1880" w:val="left"/>
        </w:tabs>
        <w:rPr>
          <w:sz w:val="20"/>
          <w:szCs w:val="20"/>
          <w:color w:val="auto"/>
        </w:rPr>
      </w:pPr>
      <w:r>
        <w:rPr>
          <w:rFonts w:ascii="Arial" w:cs="Arial" w:eastAsia="Arial" w:hAnsi="Arial"/>
          <w:sz w:val="18"/>
          <w:szCs w:val="18"/>
          <w:color w:val="auto"/>
        </w:rPr>
        <w:t>10.4</w:t>
        <w:tab/>
        <w:t>Amendment No. 1 to Early Purchase Program Addendum to Loan Purchase Agreement, dated July 15, 2010, by and among Bank of America, N.A. and Home Loan Center, Inc.</w:t>
      </w:r>
    </w:p>
    <w:p>
      <w:pPr>
        <w:spacing w:after="0" w:line="221" w:lineRule="exact"/>
        <w:rPr>
          <w:sz w:val="20"/>
          <w:szCs w:val="20"/>
          <w:color w:val="auto"/>
        </w:rPr>
      </w:pPr>
    </w:p>
    <w:p>
      <w:pPr>
        <w:ind w:left="1900" w:right="440" w:hanging="468"/>
        <w:spacing w:after="0" w:line="332" w:lineRule="auto"/>
        <w:tabs>
          <w:tab w:leader="none" w:pos="1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Mandatory Forward Loan Volume Commitment, dated July 15, 2010, by and among Bank of America, N.A. and Home Loan Center, Inc.</w:t>
      </w:r>
    </w:p>
    <w:p>
      <w:pPr>
        <w:spacing w:after="0" w:line="382" w:lineRule="exact"/>
        <w:rPr>
          <w:sz w:val="20"/>
          <w:szCs w:val="20"/>
          <w:color w:val="auto"/>
        </w:rPr>
      </w:pPr>
    </w:p>
    <w:p>
      <w:pPr>
        <w:ind w:left="1900" w:right="80" w:hanging="468"/>
        <w:spacing w:after="0" w:line="332" w:lineRule="auto"/>
        <w:tabs>
          <w:tab w:leader="none" w:pos="1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Transaction Terms Letter for Master Repurchase Agreement, dated July 15, 2010, by and among Bank of America, N.A. and Home Loan Center, Inc.</w:t>
      </w:r>
    </w:p>
    <w:p>
      <w:pPr>
        <w:spacing w:after="0" w:line="382" w:lineRule="exact"/>
        <w:rPr>
          <w:sz w:val="20"/>
          <w:szCs w:val="20"/>
          <w:color w:val="auto"/>
        </w:rPr>
      </w:pPr>
    </w:p>
    <w:p>
      <w:pPr>
        <w:ind w:left="1900" w:right="100" w:hanging="468"/>
        <w:spacing w:after="0" w:line="332" w:lineRule="auto"/>
        <w:tabs>
          <w:tab w:leader="none" w:pos="1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No. 3 to Master Repurchase Agreement, dated July 22, 2010, by and between Home Loan Center, Inc. and JPMorgan Chase Bank, N.A.</w:t>
      </w:r>
    </w:p>
    <w:p>
      <w:pPr>
        <w:spacing w:after="0" w:line="382" w:lineRule="exact"/>
        <w:rPr>
          <w:sz w:val="20"/>
          <w:szCs w:val="20"/>
          <w:color w:val="auto"/>
        </w:rPr>
      </w:pPr>
    </w:p>
    <w:p>
      <w:pPr>
        <w:ind w:left="1900" w:right="300" w:hanging="468"/>
        <w:spacing w:after="0" w:line="259" w:lineRule="auto"/>
        <w:tabs>
          <w:tab w:leader="none" w:pos="1880" w:val="left"/>
        </w:tabs>
        <w:rPr>
          <w:sz w:val="20"/>
          <w:szCs w:val="20"/>
          <w:color w:val="auto"/>
        </w:rPr>
      </w:pPr>
      <w:r>
        <w:rPr>
          <w:rFonts w:ascii="Arial" w:cs="Arial" w:eastAsia="Arial" w:hAnsi="Arial"/>
          <w:sz w:val="18"/>
          <w:szCs w:val="18"/>
          <w:color w:val="auto"/>
        </w:rPr>
        <w:t>31.1</w:t>
        <w:tab/>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833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ind w:right="99"/>
        <w:spacing w:after="0" w:line="301" w:lineRule="auto"/>
        <w:rPr>
          <w:sz w:val="20"/>
          <w:szCs w:val="20"/>
          <w:color w:val="auto"/>
        </w:rPr>
      </w:pPr>
      <w:r>
        <w:rPr>
          <w:rFonts w:ascii="Arial" w:cs="Arial" w:eastAsia="Arial" w:hAnsi="Arial"/>
          <w:sz w:val="16"/>
          <w:szCs w:val="16"/>
          <w:color w:val="auto"/>
        </w:rPr>
        <w:t>Exhibit 10.1 to the Registrant's Current Report on Form 8-K filed April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right="99"/>
        <w:spacing w:after="0" w:line="306" w:lineRule="auto"/>
        <w:rPr>
          <w:sz w:val="20"/>
          <w:szCs w:val="20"/>
          <w:color w:val="auto"/>
        </w:rPr>
      </w:pPr>
      <w:r>
        <w:rPr>
          <w:rFonts w:ascii="Arial" w:cs="Arial" w:eastAsia="Arial" w:hAnsi="Arial"/>
          <w:sz w:val="16"/>
          <w:szCs w:val="16"/>
          <w:color w:val="auto"/>
        </w:rPr>
        <w:t>Exhibit 10.1 to the Registrant's Current Report on Form 8-K filed July 21, 2010</w:t>
      </w:r>
    </w:p>
    <w:p>
      <w:pPr>
        <w:spacing w:after="0" w:line="188" w:lineRule="exact"/>
        <w:rPr>
          <w:sz w:val="20"/>
          <w:szCs w:val="20"/>
          <w:color w:val="auto"/>
        </w:rPr>
      </w:pPr>
    </w:p>
    <w:p>
      <w:pPr>
        <w:ind w:right="99"/>
        <w:spacing w:after="0" w:line="306" w:lineRule="auto"/>
        <w:rPr>
          <w:sz w:val="20"/>
          <w:szCs w:val="20"/>
          <w:color w:val="auto"/>
        </w:rPr>
      </w:pPr>
      <w:r>
        <w:rPr>
          <w:rFonts w:ascii="Arial" w:cs="Arial" w:eastAsia="Arial" w:hAnsi="Arial"/>
          <w:sz w:val="16"/>
          <w:szCs w:val="16"/>
          <w:color w:val="auto"/>
        </w:rPr>
        <w:t>Exhibit 10.2 to the Registrant's Current Report on Form 8-K filed July 21, 2010</w:t>
      </w:r>
    </w:p>
    <w:p>
      <w:pPr>
        <w:spacing w:after="0" w:line="188" w:lineRule="exact"/>
        <w:rPr>
          <w:sz w:val="20"/>
          <w:szCs w:val="20"/>
          <w:color w:val="auto"/>
        </w:rPr>
      </w:pPr>
    </w:p>
    <w:p>
      <w:pPr>
        <w:ind w:right="99"/>
        <w:spacing w:after="0" w:line="306" w:lineRule="auto"/>
        <w:rPr>
          <w:sz w:val="20"/>
          <w:szCs w:val="20"/>
          <w:color w:val="auto"/>
        </w:rPr>
      </w:pPr>
      <w:r>
        <w:rPr>
          <w:rFonts w:ascii="Arial" w:cs="Arial" w:eastAsia="Arial" w:hAnsi="Arial"/>
          <w:sz w:val="16"/>
          <w:szCs w:val="16"/>
          <w:color w:val="auto"/>
        </w:rPr>
        <w:t>Exhibit 10.4 to the Registrant's Current Report on Form 8-K filed July 21, 2010</w:t>
      </w:r>
    </w:p>
    <w:p>
      <w:pPr>
        <w:spacing w:after="0" w:line="188" w:lineRule="exact"/>
        <w:rPr>
          <w:sz w:val="20"/>
          <w:szCs w:val="20"/>
          <w:color w:val="auto"/>
        </w:rPr>
      </w:pPr>
    </w:p>
    <w:p>
      <w:pPr>
        <w:ind w:right="99"/>
        <w:spacing w:after="0" w:line="306" w:lineRule="auto"/>
        <w:rPr>
          <w:sz w:val="20"/>
          <w:szCs w:val="20"/>
          <w:color w:val="auto"/>
        </w:rPr>
      </w:pPr>
      <w:r>
        <w:rPr>
          <w:rFonts w:ascii="Arial" w:cs="Arial" w:eastAsia="Arial" w:hAnsi="Arial"/>
          <w:sz w:val="16"/>
          <w:szCs w:val="16"/>
          <w:color w:val="auto"/>
        </w:rPr>
        <w:t>Exhibit 10.1 to the Registrant's Current Report on Form 8-K filed July 28,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720" w:space="220"/>
            <w:col w:w="2279"/>
          </w:cols>
          <w:pgMar w:left="240" w:top="131" w:right="1440" w:bottom="1440" w:gutter="0" w:footer="0" w:header="0"/>
        </w:sectPr>
      </w:pPr>
    </w:p>
    <w:p>
      <w:pPr>
        <w:spacing w:after="0" w:line="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Certification of the principal financial officer pursuant to Rule 13a-14(a) or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w w:val="93"/>
              </w:rPr>
              <w:t>Rule 15d-14(a) of the Securities Exchange Act of 1934, as adopted pursuant to</w:t>
            </w:r>
          </w:p>
        </w:tc>
        <w:tc>
          <w:tcPr>
            <w:tcW w:w="3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30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6000" w:type="dxa"/>
            <w:vAlign w:val="bottom"/>
            <w:gridSpan w:val="2"/>
          </w:tcPr>
          <w:p>
            <w:pPr>
              <w:ind w:left="80"/>
              <w:spacing w:after="0"/>
              <w:rPr>
                <w:sz w:val="20"/>
                <w:szCs w:val="20"/>
                <w:color w:val="auto"/>
              </w:rPr>
            </w:pPr>
            <w:r>
              <w:rPr>
                <w:rFonts w:ascii="Arial" w:cs="Arial" w:eastAsia="Arial" w:hAnsi="Arial"/>
                <w:sz w:val="18"/>
                <w:szCs w:val="18"/>
                <w:color w:val="auto"/>
                <w:w w:val="91"/>
              </w:rPr>
              <w:t>Certification of the principal executive officer pursuant to 18 U.S.C. Section 1350,</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300" w:type="dxa"/>
            <w:vAlign w:val="bottom"/>
          </w:tcPr>
          <w:p>
            <w:pPr>
              <w:spacing w:after="0"/>
              <w:rPr>
                <w:sz w:val="19"/>
                <w:szCs w:val="19"/>
                <w:color w:val="auto"/>
              </w:rPr>
            </w:pPr>
          </w:p>
        </w:tc>
      </w:tr>
      <w:tr>
        <w:trPr>
          <w:trHeight w:val="453"/>
        </w:trPr>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6000" w:type="dxa"/>
            <w:vAlign w:val="bottom"/>
            <w:gridSpan w:val="2"/>
          </w:tcPr>
          <w:p>
            <w:pPr>
              <w:ind w:left="80"/>
              <w:spacing w:after="0"/>
              <w:rPr>
                <w:sz w:val="20"/>
                <w:szCs w:val="20"/>
                <w:color w:val="auto"/>
              </w:rPr>
            </w:pPr>
            <w:r>
              <w:rPr>
                <w:rFonts w:ascii="Arial" w:cs="Arial" w:eastAsia="Arial" w:hAnsi="Arial"/>
                <w:sz w:val="18"/>
                <w:szCs w:val="18"/>
                <w:color w:val="auto"/>
                <w:w w:val="92"/>
              </w:rPr>
              <w:t>Certification of the principal financial officer pursuant to 18 U.S.C. Section 1350,</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w:t>
            </w:r>
          </w:p>
        </w:tc>
      </w:tr>
      <w:tr>
        <w:trPr>
          <w:trHeight w:val="222"/>
        </w:trPr>
        <w:tc>
          <w:tcPr>
            <w:tcW w:w="660" w:type="dxa"/>
            <w:vAlign w:val="bottom"/>
          </w:tcPr>
          <w:p>
            <w:pPr>
              <w:spacing w:after="0"/>
              <w:rPr>
                <w:sz w:val="19"/>
                <w:szCs w:val="19"/>
                <w:color w:val="auto"/>
              </w:rPr>
            </w:pPr>
          </w:p>
        </w:tc>
        <w:tc>
          <w:tcPr>
            <w:tcW w:w="6000" w:type="dxa"/>
            <w:vAlign w:val="bottom"/>
            <w:gridSpan w:val="2"/>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300" w:type="dxa"/>
            <w:vAlign w:val="bottom"/>
          </w:tcPr>
          <w:p>
            <w:pPr>
              <w:spacing w:after="0"/>
              <w:rPr>
                <w:sz w:val="19"/>
                <w:szCs w:val="19"/>
                <w:color w:val="auto"/>
              </w:rPr>
            </w:pPr>
          </w:p>
        </w:tc>
      </w:tr>
      <w:tr>
        <w:trPr>
          <w:trHeight w:val="110"/>
        </w:trPr>
        <w:tc>
          <w:tcPr>
            <w:tcW w:w="6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undersigned, Matthew A. Packey, acknowledges that on May 10, 2010, he was provided with the attached Confidential Severance and Release Agreement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w:t>
      </w:r>
      <w:r>
        <w:rPr>
          <w:rFonts w:ascii="Arial" w:cs="Arial" w:eastAsia="Arial" w:hAnsi="Arial"/>
          <w:sz w:val="18"/>
          <w:szCs w:val="18"/>
          <w:color w:val="auto"/>
        </w:rPr>
        <w:t>. The undersigned further acknowledges that he has been advised to consult with his attorney before entering into the attached Agreement, and that he is being given a period of at least twenty-one (21) days to consider whether to accept or reject the proposed Agreement. Any changes to the Release, whether material or immaterial, will not restart the time period for such review. The undersigned acknowledges that he has received and read this Acknowledgment, and fully understands its meaning.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/s/ Matthew A. Packey</w:t>
            </w:r>
          </w:p>
        </w:tc>
        <w:tc>
          <w:tcPr>
            <w:tcW w:w="5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 Sheril Givens</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A. Packey</w:t>
            </w:r>
          </w:p>
        </w:tc>
        <w:tc>
          <w:tcPr>
            <w:tcW w:w="52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Witness</w:t>
            </w:r>
          </w:p>
        </w:tc>
        <w:tc>
          <w:tcPr>
            <w:tcW w:w="47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680" w:type="dxa"/>
            <w:vAlign w:val="bottom"/>
            <w:gridSpan w:val="2"/>
          </w:tcPr>
          <w:p>
            <w:pPr>
              <w:spacing w:after="0"/>
              <w:rPr>
                <w:sz w:val="20"/>
                <w:szCs w:val="20"/>
                <w:color w:val="auto"/>
              </w:rPr>
            </w:pPr>
            <w:r>
              <w:rPr>
                <w:rFonts w:ascii="Arial" w:cs="Arial" w:eastAsia="Arial" w:hAnsi="Arial"/>
                <w:sz w:val="18"/>
                <w:szCs w:val="18"/>
                <w:color w:val="auto"/>
              </w:rPr>
              <w:t>Date:</w:t>
            </w:r>
          </w:p>
        </w:tc>
        <w:tc>
          <w:tcPr>
            <w:tcW w:w="4800" w:type="dxa"/>
            <w:vAlign w:val="bottom"/>
            <w:tcBorders>
              <w:bottom w:val="single" w:sz="8" w:color="auto"/>
            </w:tcBorders>
          </w:tcPr>
          <w:p>
            <w:pPr>
              <w:jc w:val="right"/>
              <w:ind w:right="3970"/>
              <w:spacing w:after="0"/>
              <w:rPr>
                <w:sz w:val="20"/>
                <w:szCs w:val="20"/>
                <w:color w:val="auto"/>
              </w:rPr>
            </w:pPr>
            <w:r>
              <w:rPr>
                <w:rFonts w:ascii="Arial" w:cs="Arial" w:eastAsia="Arial" w:hAnsi="Arial"/>
                <w:sz w:val="18"/>
                <w:szCs w:val="18"/>
                <w:color w:val="auto"/>
                <w:w w:val="89"/>
              </w:rPr>
              <w:t>5/10/2010</w:t>
            </w:r>
          </w:p>
        </w:tc>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tcBorders>
              <w:bottom w:val="single" w:sz="8" w:color="auto"/>
            </w:tcBorders>
          </w:tcPr>
          <w:p>
            <w:pPr>
              <w:jc w:val="right"/>
              <w:ind w:right="3930"/>
              <w:spacing w:after="0"/>
              <w:rPr>
                <w:sz w:val="20"/>
                <w:szCs w:val="20"/>
                <w:color w:val="auto"/>
              </w:rPr>
            </w:pPr>
            <w:r>
              <w:rPr>
                <w:rFonts w:ascii="Arial" w:cs="Arial" w:eastAsia="Arial" w:hAnsi="Arial"/>
                <w:sz w:val="18"/>
                <w:szCs w:val="18"/>
                <w:color w:val="auto"/>
                <w:w w:val="89"/>
              </w:rPr>
              <w:t>5/10/2010</w:t>
            </w:r>
          </w:p>
        </w:tc>
        <w:tc>
          <w:tcPr>
            <w:tcW w:w="40" w:type="dxa"/>
            <w:vAlign w:val="bottom"/>
          </w:tcPr>
          <w:p>
            <w:pPr>
              <w:spacing w:after="0"/>
              <w:rPr>
                <w:sz w:val="24"/>
                <w:szCs w:val="24"/>
                <w:color w:val="auto"/>
              </w:rPr>
            </w:pPr>
          </w:p>
        </w:tc>
      </w:tr>
      <w:tr>
        <w:trPr>
          <w:trHeight w:val="557"/>
        </w:trPr>
        <w:tc>
          <w:tcPr>
            <w:tcW w:w="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CONFIDENTIAL SEVERANCE AGREEMENT AND RELEASE</w:t>
      </w:r>
    </w:p>
    <w:p>
      <w:pPr>
        <w:spacing w:after="0" w:line="229" w:lineRule="exact"/>
        <w:rPr>
          <w:sz w:val="20"/>
          <w:szCs w:val="20"/>
          <w:color w:val="auto"/>
        </w:rPr>
      </w:pPr>
    </w:p>
    <w:p>
      <w:pPr>
        <w:ind w:right="260" w:firstLine="648"/>
        <w:spacing w:after="0" w:line="234" w:lineRule="auto"/>
        <w:rPr>
          <w:sz w:val="20"/>
          <w:szCs w:val="20"/>
          <w:color w:val="auto"/>
        </w:rPr>
      </w:pPr>
      <w:r>
        <w:rPr>
          <w:rFonts w:ascii="Arial" w:cs="Arial" w:eastAsia="Arial" w:hAnsi="Arial"/>
          <w:sz w:val="18"/>
          <w:szCs w:val="18"/>
          <w:color w:val="auto"/>
        </w:rPr>
        <w:t>THIS CONFIDENTIAL SEVERANCE AGREEMENT AND RELEASE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this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May, 2010, by and between Matthew A. Packey (</w:t>
      </w:r>
      <w:r>
        <w:rPr>
          <w:rFonts w:ascii="Arial" w:cs="Arial" w:eastAsia="Arial" w:hAnsi="Arial"/>
          <w:sz w:val="18"/>
          <w:szCs w:val="18"/>
          <w:b w:val="1"/>
          <w:bCs w:val="1"/>
          <w:i w:val="1"/>
          <w:iCs w:val="1"/>
          <w:color w:val="auto"/>
        </w:rPr>
        <w:t>“Packey</w:t>
      </w:r>
      <w:r>
        <w:rPr>
          <w:rFonts w:ascii="Arial" w:cs="Arial" w:eastAsia="Arial" w:hAnsi="Arial"/>
          <w:sz w:val="18"/>
          <w:szCs w:val="18"/>
          <w:color w:val="auto"/>
        </w:rPr>
        <w:t>”) and Tree.com, Inc., for itself and on behalf of its subsidiaries including LendingTree, LLC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its principal office in Charlotte, NC.</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Packey has been employed by the Company as Senior Vice President, Chief Financial Officer;</w:t>
      </w:r>
    </w:p>
    <w:p>
      <w:pPr>
        <w:spacing w:after="0" w:line="225"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Packey has submitted his resignation and Company has accepted such resignation and Packey and the Company desire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their employment relationship in an amicable and definitive manner and to settle, compromise and resolve any and all claims they may have against each other;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Packey’s last day in the office is May 28, 2010</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25"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 exchange for the Release provided by Packey herein, has agreed to provide Packey with certain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which it is not otherwise obligated to provide.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execution of this Agreement, and for other good and valuable consideration,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ind w:right="220" w:firstLine="656"/>
        <w:spacing w:after="0" w:line="259" w:lineRule="auto"/>
        <w:tabs>
          <w:tab w:leader="none" w:pos="13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Packey shall perform all normal duties through May 28, 2010 and the Company will pay to Packey all salary payments and other compensation due and payable, during the term of employment through and including the Termination Date. On the next regularly scheduled Company pay date following the Termination Date, the Company will also pay to Packey an amount equal to up to forty (40) hours of any 2010 accrued but unused Paid Time Off </w:t>
      </w:r>
      <w:r>
        <w:rPr>
          <w:rFonts w:ascii="Arial" w:cs="Arial" w:eastAsia="Arial" w:hAnsi="Arial"/>
          <w:sz w:val="18"/>
          <w:szCs w:val="18"/>
          <w:b w:val="1"/>
          <w:bCs w:val="1"/>
          <w:i w:val="1"/>
          <w:iCs w:val="1"/>
          <w:color w:val="auto"/>
        </w:rPr>
        <w:t>(“PTO”</w:t>
      </w:r>
      <w:r>
        <w:rPr>
          <w:rFonts w:ascii="Arial" w:cs="Arial" w:eastAsia="Arial" w:hAnsi="Arial"/>
          <w:sz w:val="18"/>
          <w:szCs w:val="18"/>
          <w:color w:val="auto"/>
        </w:rPr>
        <w:t>) balance.</w:t>
      </w:r>
    </w:p>
    <w:p>
      <w:pPr>
        <w:spacing w:after="0" w:line="186" w:lineRule="exact"/>
        <w:rPr>
          <w:rFonts w:ascii="Arial" w:cs="Arial" w:eastAsia="Arial" w:hAnsi="Arial"/>
          <w:sz w:val="18"/>
          <w:szCs w:val="18"/>
          <w:color w:val="auto"/>
        </w:rPr>
      </w:pPr>
    </w:p>
    <w:p>
      <w:pPr>
        <w:ind w:right="180" w:firstLine="656"/>
        <w:spacing w:after="0" w:line="279" w:lineRule="auto"/>
        <w:tabs>
          <w:tab w:leader="none" w:pos="136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From and after June 1, 2010, Packey shall not have the right to participate in or receive any benefit under any employee benefit plan of the Company, any fringe benefit plan of the Company, or any other plan, policy or arrangement of the Company providing benefits or perquisites to employees of the Company generally or individually. Provided, however, that Packey shall be entitled, if otherwise eligible, (i) to exercise his right to continued coverage under the Company medical benefit plan as provided by the Consolidated Omnibus Budget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Reconciliation Act of 1986, 26 U.S.C. § 490B et seq.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(and with respect to which the Company will provide Packey with a separate notice as required by federal law); and (ii) to elect the payment of benefits to which Packey is entitled under the Tree.com, Inc. 401(k) Retirement Savings Plan as provided under the terms of the plan. If Packey elects COBRA coverage, upon submission of proof payment for his COBRA coverage, Company will promptly reimburse Packey for the amount that represents the employer’s portion of such coverage from June 1, 2010 through February 15, 2011 or until such time as Packey secures a position offering a benefit package that renders him ineligible for COBRA coverage, whichever occurs sooner.</w:t>
      </w:r>
    </w:p>
    <w:p>
      <w:pPr>
        <w:spacing w:after="0" w:line="173" w:lineRule="exact"/>
        <w:rPr>
          <w:sz w:val="20"/>
          <w:szCs w:val="20"/>
          <w:color w:val="auto"/>
        </w:rPr>
      </w:pPr>
    </w:p>
    <w:p>
      <w:pPr>
        <w:ind w:left="680" w:hanging="309"/>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Special Exit Package</w:t>
      </w:r>
      <w:r>
        <w:rPr>
          <w:rFonts w:ascii="Arial" w:cs="Arial" w:eastAsia="Arial" w:hAnsi="Arial"/>
          <w:sz w:val="16"/>
          <w:szCs w:val="16"/>
          <w:color w:val="auto"/>
        </w:rPr>
        <w:t>. Also as consideration for Packey’s execution of this Agreement and his assent to its terms and conditions, the Company shall:</w:t>
      </w:r>
    </w:p>
    <w:p>
      <w:pPr>
        <w:spacing w:after="0" w:line="248" w:lineRule="exact"/>
        <w:rPr>
          <w:rFonts w:ascii="Arial" w:cs="Arial" w:eastAsia="Arial" w:hAnsi="Arial"/>
          <w:sz w:val="16"/>
          <w:szCs w:val="16"/>
          <w:color w:val="auto"/>
        </w:rPr>
      </w:pPr>
    </w:p>
    <w:p>
      <w:pPr>
        <w:jc w:val="both"/>
        <w:ind w:right="280" w:firstLine="656"/>
        <w:spacing w:after="0" w:line="297" w:lineRule="auto"/>
        <w:tabs>
          <w:tab w:leader="none" w:pos="1358"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Pay Packey an amount equal to seven (7) months’ Base Salary (calculated from his former base salary of $312,500.00), payable in equal installments on the Company’s regularly scheduled paydays over the seven (7) month period following his Termination Date (the </w:t>
      </w:r>
      <w:r>
        <w:rPr>
          <w:rFonts w:ascii="Arial" w:cs="Arial" w:eastAsia="Arial" w:hAnsi="Arial"/>
          <w:sz w:val="16"/>
          <w:szCs w:val="16"/>
          <w:b w:val="1"/>
          <w:bCs w:val="1"/>
          <w:i w:val="1"/>
          <w:iCs w:val="1"/>
          <w:color w:val="auto"/>
        </w:rPr>
        <w:t>“Severance Period”</w:t>
      </w:r>
      <w:r>
        <w:rPr>
          <w:rFonts w:ascii="Arial" w:cs="Arial" w:eastAsia="Arial" w:hAnsi="Arial"/>
          <w:sz w:val="16"/>
          <w:szCs w:val="16"/>
          <w:color w:val="auto"/>
        </w:rPr>
        <w:t>). If, however, Packey obtains other employment or is otherwise compensated for services provided to any party during this Severance Period, the Company’s obligation to make future payments to Packey shall be offset against any compensation earned by him as a result such employment or services provided. Packey agrees to inform the Company promptly of his employment status and any amounts earned during the Severance Period.</w:t>
      </w:r>
    </w:p>
    <w:p>
      <w:pPr>
        <w:spacing w:after="0" w:line="158" w:lineRule="exact"/>
        <w:rPr>
          <w:rFonts w:ascii="Arial" w:cs="Arial" w:eastAsia="Arial" w:hAnsi="Arial"/>
          <w:sz w:val="16"/>
          <w:szCs w:val="16"/>
          <w:color w:val="auto"/>
        </w:rPr>
      </w:pPr>
    </w:p>
    <w:p>
      <w:pPr>
        <w:ind w:right="240" w:firstLine="656"/>
        <w:spacing w:after="0" w:line="277" w:lineRule="auto"/>
        <w:tabs>
          <w:tab w:leader="none" w:pos="13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Packey an amount equal to forty (40) hours of PTO lost at the end of calendar year 2009 as well as all accrued, unused 2010 PTO, if any, in excess of the forty (40) hours referenced in Section 1.</w:t>
      </w:r>
    </w:p>
    <w:p>
      <w:pPr>
        <w:spacing w:after="0" w:line="170" w:lineRule="exact"/>
        <w:rPr>
          <w:sz w:val="20"/>
          <w:szCs w:val="20"/>
          <w:color w:val="auto"/>
        </w:rPr>
      </w:pPr>
    </w:p>
    <w:p>
      <w:pPr>
        <w:ind w:right="380" w:firstLine="656"/>
        <w:spacing w:after="0" w:line="342" w:lineRule="auto"/>
        <w:tabs>
          <w:tab w:leader="none" w:pos="136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Adequacy of Consideration</w:t>
      </w:r>
      <w:r>
        <w:rPr>
          <w:rFonts w:ascii="Arial" w:cs="Arial" w:eastAsia="Arial" w:hAnsi="Arial"/>
          <w:sz w:val="16"/>
          <w:szCs w:val="16"/>
          <w:color w:val="auto"/>
        </w:rPr>
        <w:t>. Packey understands that the Special Exit Package provided hereunder by the Company is discretionary in nature, is not an admission of liability by the Company, is not required of the Company in the absence of this Agreement, and constitutes adequate</w:t>
      </w:r>
    </w:p>
    <w:p>
      <w:pPr>
        <w:sectPr>
          <w:pgSz w:w="11900" w:h="16838" w:orient="portrait"/>
          <w:cols w:equalWidth="0" w:num="1">
            <w:col w:w="11460"/>
          </w:cols>
          <w:pgMar w:left="240" w:top="364" w:right="199"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consideration for the Agreement.</w:t>
      </w:r>
    </w:p>
    <w:p>
      <w:pPr>
        <w:spacing w:after="0" w:line="225" w:lineRule="exact"/>
        <w:rPr>
          <w:sz w:val="20"/>
          <w:szCs w:val="20"/>
          <w:color w:val="auto"/>
        </w:rPr>
      </w:pPr>
    </w:p>
    <w:p>
      <w:pPr>
        <w:ind w:right="60" w:firstLine="656"/>
        <w:spacing w:after="0" w:line="259" w:lineRule="auto"/>
        <w:tabs>
          <w:tab w:leader="none" w:pos="13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Packey acknowledges that the Company has returned to him all of his personal effects and property which were in the Company’s possession or control. Packey further acknowledges and agrees that he has returned or will return to the Company all property of the Company (including, but not limited to, computers, cell phones, pagers, keys and access cards, Company credit cards, and all other Company documents, records and equipment) which are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Packey’s possession or control, including all copies and summaries of any of the Company’s confidential or proprietary information. Packey further affirms that he understands his obligation to keep confidential the business and proprietary information of the Company and that he will not discuss or disclose such information with anyone.</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4" w:lineRule="auto"/>
        <w:tabs>
          <w:tab w:leader="none" w:pos="8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a material inducement to the Company to provide the Special Exit Package and any other consideration described herein, Packey, for himself and his heirs, executors, administrators and assigns, hereby irrevocably and unconditionally forever releases and discharges the Company and its predecessors, successors, affiliates, benefits plans, assigns, and their respective directors, officers, shareholders, trustees, administrators, employees, representatives and agents from any and all actual or potential claims, demands, actions, causes of action or liabilities of any kind or nature, whether known or unknown, including, but not limited to, all claims related to or arising out of his employment with the Company, whether based on tort, contract (express or implied) or any federal, state or local law, statute or regulation, including, but not limited to, claims brought under: (i) the Age Discrimination in Employment Act, 29 U.S.C. § 621 et seq.; (ii) the Employee Retirement Income Security Act, 29 U.S.C. § 1001 et seq.; (iii) the Family and Medical Leave Act, 29 U.S.C.</w:t>
      </w:r>
    </w:p>
    <w:p>
      <w:pPr>
        <w:spacing w:after="0" w:line="2" w:lineRule="exact"/>
        <w:rPr>
          <w:rFonts w:ascii="Arial" w:cs="Arial" w:eastAsia="Arial" w:hAnsi="Arial"/>
          <w:sz w:val="16"/>
          <w:szCs w:val="16"/>
          <w:color w:val="auto"/>
        </w:rPr>
      </w:pPr>
    </w:p>
    <w:p>
      <w:pPr>
        <w:ind w:right="20" w:firstLine="8"/>
        <w:spacing w:after="0" w:line="254" w:lineRule="auto"/>
        <w:tabs>
          <w:tab w:leader="none" w:pos="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2611 et seq.; (iv) Title VII of the Civil Rights Act of 1964, 42 U.S.C. § 2001e et seq., as amended; (v) the Americans with Disabilities Act, 42 U.S.C. § 12101 et seq.; (vi) the discrimination or other employment laws of the State of North Carolina; and (vii) any other claims for personal injury, compensatory or punitive damages or attorneys’ fees. (This release does not apply to claims that may arise after the date this Agreement is executed or to any claims to vested benefits under the employee retirement benefit plan.)</w:t>
      </w:r>
    </w:p>
    <w:p>
      <w:pPr>
        <w:spacing w:after="0" w:line="189" w:lineRule="exact"/>
        <w:rPr>
          <w:rFonts w:ascii="Arial" w:cs="Arial" w:eastAsia="Arial" w:hAnsi="Arial"/>
          <w:sz w:val="18"/>
          <w:szCs w:val="18"/>
          <w:color w:val="auto"/>
        </w:rPr>
      </w:pPr>
    </w:p>
    <w:p>
      <w:pPr>
        <w:ind w:right="40" w:firstLine="656"/>
        <w:spacing w:after="0" w:line="257" w:lineRule="auto"/>
        <w:tabs>
          <w:tab w:leader="none" w:pos="948"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ADEA Claims.</w:t>
      </w:r>
      <w:r>
        <w:rPr>
          <w:rFonts w:ascii="Arial" w:cs="Arial" w:eastAsia="Arial" w:hAnsi="Arial"/>
          <w:sz w:val="18"/>
          <w:szCs w:val="18"/>
          <w:color w:val="auto"/>
        </w:rPr>
        <w:t xml:space="preserve"> Packey hereby releases and discharges Company, its subsidiaries, affiliates, and their respective parents, direct or indirect subsidiaries, divisions, affiliates and related companies or entities, any predecessors, successors, joint ventures, and parents of any such entity, and any and all of their respective past or present shareholders, partners, directors, officers, employees, consultants, independent contractors, trustees, administrators, insurers, agents, attorneys, representatives and fiduciaries, including without limitation all persons acting by, through, under or in concert with any of them (collectively, the “</w:t>
      </w:r>
      <w:r>
        <w:rPr>
          <w:rFonts w:ascii="Arial" w:cs="Arial" w:eastAsia="Arial" w:hAnsi="Arial"/>
          <w:sz w:val="18"/>
          <w:szCs w:val="18"/>
          <w:b w:val="1"/>
          <w:bCs w:val="1"/>
          <w:i w:val="1"/>
          <w:iCs w:val="1"/>
          <w:color w:val="auto"/>
        </w:rPr>
        <w:t>Released Parties</w:t>
      </w:r>
      <w:r>
        <w:rPr>
          <w:rFonts w:ascii="Arial" w:cs="Arial" w:eastAsia="Arial" w:hAnsi="Arial"/>
          <w:sz w:val="18"/>
          <w:szCs w:val="18"/>
          <w:color w:val="auto"/>
        </w:rPr>
        <w:t>”),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and all claims, actions and causes of action that he may have against the Released Parties, as of the date of the execution of this Agreement, arising under the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and the applicable rules and regulations promulgated thereunder. Packey acknowledges and understands that ADEA is a federal statute that prohibits discrimination on the basis of age in employment, benefits and benefit plans. Packey specifically agrees and acknowledges that: (A) the release in this Section 6 was granted in exchange for the receipt of consideration that exceeds the amount to which he would otherwise be entitled to receive upon termination of his employment; (B) his waiver of rights under this Agreement is knowing and voluntary as required under the Older Workers Benefit Protection Act; (C) that he has read and understands the terms of this Agreement; (D) he has hereby been advised in writing by the Company to consult with an attorney prior to executing this Agreement; (E) the Company has given him a period of up to twenty-one (21) days within which to consider this Agreement, which period shall be waived by his voluntary execution prior to the expiration of the twenty-one day period and the parties agree that any changes to the terms or conditions of this Agreement (whether material or immaterial) will not restart the running of the 21-day period; and (F) following his execution of this Agreement he has seven (7) days in which to revoke his release as set forth in this Section 6(b) only and that, if he chooses not to so revoke, the agreement in this Section 6 shall then become effective and enforceable and the Special Exit Package shall then be made to him in accordance with the terms of this Agreement. To cancel this Agreement, Packey understands that he must give a written revocation to the Senior Vice President of Human Resources of the Company at 11115 Rushmore Drive, Charlotte, North Carolina 28277, either by hand delivery or certified mail within the seven (7) day period. If he rescinds the Agreement, it will not become effective or enforceable and he will not be entitled to any benefits from the Company.</w:t>
      </w:r>
    </w:p>
    <w:p>
      <w:pPr>
        <w:spacing w:after="0" w:line="183" w:lineRule="exact"/>
        <w:rPr>
          <w:sz w:val="20"/>
          <w:szCs w:val="20"/>
          <w:color w:val="auto"/>
        </w:rPr>
      </w:pPr>
    </w:p>
    <w:p>
      <w:pPr>
        <w:ind w:right="180" w:firstLine="656"/>
        <w:spacing w:after="0" w:line="277" w:lineRule="auto"/>
        <w:tabs>
          <w:tab w:leader="none" w:pos="13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Complete Bar</w:t>
      </w:r>
      <w:r>
        <w:rPr>
          <w:rFonts w:ascii="Arial" w:cs="Arial" w:eastAsia="Arial" w:hAnsi="Arial"/>
          <w:sz w:val="18"/>
          <w:szCs w:val="18"/>
          <w:color w:val="auto"/>
        </w:rPr>
        <w:t>. Packey agrees that the parties released above in paragraph 6 may plead this Agreement as a complete bar to any action or suit before any court or administrative body with respect to any claim released herein.</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Confidentiality, Non-disparagement and 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665"/>
        <w:spacing w:after="0" w:line="277" w:lineRule="auto"/>
        <w:tabs>
          <w:tab w:leader="none" w:pos="25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Packey agrees, promises, and covenants that the terms and provisions of this Agreement shall remain and be kept strictly confidential by him and shall not be disclosed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except as provided herein. Without the express written agreement of the Company, or unless required to do so by law, Packey agrees to take every precaution to disclose this information only to those attorneys, accountants, governmental entities, and family members who have a reasonable need to know such information. To the extent required by law or applicable regulation, Packey may also disclose the provisions of this Agreement to the appropriate taxing authorities. This confidentiality provision applies to and expressly prohibits all communications by Packey to any person or entity, including, without limitation, communications to any present, former or future Company employee.</w:t>
      </w:r>
    </w:p>
    <w:p>
      <w:pPr>
        <w:spacing w:after="0" w:line="188" w:lineRule="exact"/>
        <w:rPr>
          <w:sz w:val="20"/>
          <w:szCs w:val="20"/>
          <w:color w:val="auto"/>
        </w:rPr>
      </w:pPr>
    </w:p>
    <w:p>
      <w:pPr>
        <w:ind w:right="60" w:firstLine="1305"/>
        <w:spacing w:after="0" w:line="342" w:lineRule="auto"/>
        <w:tabs>
          <w:tab w:leader="none" w:pos="20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Packey promises that he will not make critical, negative or disparaging remarks about the Company, its affiliates, or their officers, directors, employees or representatives, including but not limited to comments about any of their products, services, business or employment practices.</w:t>
      </w:r>
    </w:p>
    <w:p>
      <w:pPr>
        <w:sectPr>
          <w:pgSz w:w="11900" w:h="16838" w:orient="portrait"/>
          <w:cols w:equalWidth="0" w:num="1">
            <w:col w:w="11420"/>
          </w:cols>
          <w:pgMar w:left="240" w:top="125" w:right="239" w:bottom="0" w:gutter="0" w:footer="0" w:header="0"/>
        </w:sectPr>
      </w:pPr>
    </w:p>
    <w:bookmarkStart w:id="62" w:name="page63"/>
    <w:bookmarkEnd w:id="62"/>
    <w:p>
      <w:pPr>
        <w:ind w:right="20" w:firstLine="1305"/>
        <w:spacing w:after="0" w:line="273" w:lineRule="auto"/>
        <w:tabs>
          <w:tab w:leader="none" w:pos="199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Additionally, Packey acknowledges that, during his employment with the Company, he may have learned information that is confidential to the Company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Such Confidential Information may have included (among other things): purchasing and product information; sales and account information; customer information; sales and marketing plans and strategies; pricing strategies; profit margins; pricing reports; information concerning claims or potential claims against the Company; personnel information, and any other information of a similar nature. Packey agrees that he will not disclose any Confidential Information to any person (including any Company employee who does not need to know such Confidential Information), agency, institution, company or other entity without first obtaining the written consent of the Company.</w:t>
      </w:r>
    </w:p>
    <w:p>
      <w:pPr>
        <w:spacing w:after="0" w:line="178" w:lineRule="exact"/>
        <w:rPr>
          <w:rFonts w:ascii="Arial" w:cs="Arial" w:eastAsia="Arial" w:hAnsi="Arial"/>
          <w:sz w:val="17"/>
          <w:szCs w:val="17"/>
          <w:color w:val="auto"/>
        </w:rPr>
      </w:pPr>
    </w:p>
    <w:p>
      <w:pPr>
        <w:ind w:right="20" w:firstLine="656"/>
        <w:spacing w:after="0" w:line="277"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Packey acknowledges that his obligations governed by any agreements entered into with Company regarding rights in intellectual property, non-competition and non-solicitation remain in effect pursuant to their original terms.</w:t>
      </w:r>
    </w:p>
    <w:p>
      <w:pPr>
        <w:spacing w:after="0" w:line="170" w:lineRule="exact"/>
        <w:rPr>
          <w:sz w:val="20"/>
          <w:szCs w:val="20"/>
          <w:color w:val="auto"/>
        </w:rPr>
      </w:pPr>
    </w:p>
    <w:p>
      <w:pPr>
        <w:ind w:right="300" w:firstLine="656"/>
        <w:spacing w:after="0" w:line="277" w:lineRule="auto"/>
        <w:tabs>
          <w:tab w:leader="none" w:pos="13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Packey understands and agrees that the Company admits no liability with respect to any claim related to or arising out of the termination of Packey’s employment or any other matters.</w:t>
      </w:r>
    </w:p>
    <w:p>
      <w:pPr>
        <w:spacing w:after="0" w:line="170" w:lineRule="exact"/>
        <w:rPr>
          <w:rFonts w:ascii="Arial" w:cs="Arial" w:eastAsia="Arial" w:hAnsi="Arial"/>
          <w:sz w:val="18"/>
          <w:szCs w:val="18"/>
          <w:color w:val="auto"/>
        </w:rPr>
      </w:pPr>
    </w:p>
    <w:p>
      <w:pPr>
        <w:ind w:right="380" w:firstLine="656"/>
        <w:spacing w:after="0" w:line="277" w:lineRule="auto"/>
        <w:tabs>
          <w:tab w:leader="none" w:pos="13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Any and all inquiries relating to Packey’s employment with the Company shall be directed to the Company’s Senior Vice President, Human Resources. If asked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about Packey’s employment with the Company, the Company will only provide neutral information pursuant to Company policy, consisting of dates of employment and positions held.</w:t>
      </w:r>
    </w:p>
    <w:p>
      <w:pPr>
        <w:spacing w:after="0" w:line="170" w:lineRule="exact"/>
        <w:rPr>
          <w:sz w:val="20"/>
          <w:szCs w:val="20"/>
          <w:color w:val="auto"/>
        </w:rPr>
      </w:pPr>
    </w:p>
    <w:p>
      <w:pPr>
        <w:ind w:right="180" w:firstLine="656"/>
        <w:spacing w:after="0" w:line="259" w:lineRule="auto"/>
        <w:tabs>
          <w:tab w:leader="none" w:pos="136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contains the entire agreement between the parties and may be modified only in a writing executed in the same manner as the original Agreement; and no agreements, representations, or statements of any party not contained herein shall be binding on such party;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Agreement does not supersede Packey’s Employment Agreement dated August 3, 2008, as amended, including without limitation, Sections 2(b)-(e).</w:t>
      </w:r>
    </w:p>
    <w:p>
      <w:pPr>
        <w:spacing w:after="0" w:line="186" w:lineRule="exact"/>
        <w:rPr>
          <w:rFonts w:ascii="Arial" w:cs="Arial" w:eastAsia="Arial" w:hAnsi="Arial"/>
          <w:sz w:val="18"/>
          <w:szCs w:val="18"/>
          <w:color w:val="auto"/>
        </w:rPr>
      </w:pPr>
    </w:p>
    <w:p>
      <w:pPr>
        <w:jc w:val="both"/>
        <w:ind w:right="120" w:firstLine="656"/>
        <w:spacing w:after="0" w:line="264" w:lineRule="auto"/>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Agreement shall be governed by and construed in accordance with the laws of the state of North Carolina, as they are applied to contracts made and to be wholly performed in this state, regardless of choice of law principles to the contrary. In addition, Packey consents to the jurisdiction of any North Carolina court over any claims arising under or relating to this Agreement.</w:t>
      </w:r>
    </w:p>
    <w:p>
      <w:pPr>
        <w:spacing w:after="0" w:line="181" w:lineRule="exact"/>
        <w:rPr>
          <w:rFonts w:ascii="Arial" w:cs="Arial" w:eastAsia="Arial" w:hAnsi="Arial"/>
          <w:sz w:val="18"/>
          <w:szCs w:val="18"/>
          <w:color w:val="auto"/>
        </w:rPr>
      </w:pPr>
    </w:p>
    <w:p>
      <w:pPr>
        <w:ind w:firstLine="656"/>
        <w:spacing w:after="0" w:line="259" w:lineRule="auto"/>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Should any provision of this Agreement be declared or be determined by any court of competent jurisdiction to be wholly or partially illegal, invalid, or unenforceable (with the exception of the release contained in paragraph 6), the legality, validity, and enforceability of the remaining parts, terms, or provisions shall not be affected thereby, and said illegal, unenforceable, or invalid part, term, or provision shall be deemed not to be a part of this Agreement.</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expert fees, attorneys’ fees and other fees incurred in connection with this Agreement.</w:t>
      </w:r>
    </w:p>
    <w:p>
      <w:pPr>
        <w:spacing w:after="0" w:line="236" w:lineRule="exact"/>
        <w:rPr>
          <w:rFonts w:ascii="Arial" w:cs="Arial" w:eastAsia="Arial" w:hAnsi="Arial"/>
          <w:sz w:val="17"/>
          <w:szCs w:val="17"/>
          <w:color w:val="auto"/>
        </w:rPr>
      </w:pPr>
    </w:p>
    <w:p>
      <w:pPr>
        <w:ind w:right="300" w:firstLine="656"/>
        <w:spacing w:after="0" w:line="277" w:lineRule="auto"/>
        <w:tabs>
          <w:tab w:leader="none" w:pos="96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Company shall make such deductions and withhold such amounts from each payment and benefit made or provided to Packey hereunder, as may be required from time to time by applicable law, governmental regulation or order.</w:t>
      </w:r>
    </w:p>
    <w:p>
      <w:pPr>
        <w:spacing w:after="0" w:line="170" w:lineRule="exact"/>
        <w:rPr>
          <w:rFonts w:ascii="Arial" w:cs="Arial" w:eastAsia="Arial" w:hAnsi="Arial"/>
          <w:sz w:val="18"/>
          <w:szCs w:val="18"/>
          <w:color w:val="auto"/>
        </w:rPr>
      </w:pPr>
    </w:p>
    <w:p>
      <w:pPr>
        <w:ind w:right="20" w:firstLine="656"/>
        <w:spacing w:after="0" w:line="259" w:lineRule="auto"/>
        <w:tabs>
          <w:tab w:leader="none" w:pos="96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409A of the Internal Revenue Code</w:t>
      </w:r>
      <w:r>
        <w:rPr>
          <w:rFonts w:ascii="Arial" w:cs="Arial" w:eastAsia="Arial" w:hAnsi="Arial"/>
          <w:sz w:val="18"/>
          <w:szCs w:val="18"/>
          <w:color w:val="auto"/>
        </w:rPr>
        <w:t>. This Agreement and the benefits provided hereunder are intended to be exempt from the requirements of Section 409A of the Internal Revenue Code of 1986, as amended, and the rules, regulations and other guidance issued thereunder because the Agreement provides only a short-term deferral of compensation within the meaning of Treasury Regulation 1.409A-1(b)(4) (or any successor or replacement section thereto). This Agreement shall be interpreted consistently with such exemption.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77" w:lineRule="auto"/>
        <w:tabs>
          <w:tab w:leader="none" w:pos="15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Packey acknowledges that he has had ample opportunity to consult with his attorney prior to his execution of this Agreement, and was encouraged and advised in writing to do so by the Company.</w:t>
      </w:r>
    </w:p>
    <w:p>
      <w:pPr>
        <w:spacing w:after="0" w:line="170" w:lineRule="exact"/>
        <w:rPr>
          <w:rFonts w:ascii="Arial" w:cs="Arial" w:eastAsia="Arial" w:hAnsi="Arial"/>
          <w:sz w:val="18"/>
          <w:szCs w:val="18"/>
          <w:color w:val="auto"/>
        </w:rPr>
      </w:pPr>
    </w:p>
    <w:p>
      <w:pPr>
        <w:ind w:right="660" w:firstLine="1305"/>
        <w:spacing w:after="0" w:line="277" w:lineRule="auto"/>
        <w:tabs>
          <w:tab w:leader="none" w:pos="20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Packey has carefully read and fully understands all of the provisions and effects of this Agreement and he knowingly and voluntarily entered into all of the terms set forth in this Release.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Packey knowingly and voluntarily intends to be legally bound by all of the terms set forth in this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Packey relied solely and completely upon his own judgment or the advice of his attorney in entering into this Agreement.</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Packey’s signature below evidences his understanding and voluntary waiver of all claims against the Company.</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Packey and Company have executed this Agreement, freely and voluntarily, as of the date first written above.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 Packey</w:t>
            </w:r>
          </w:p>
        </w:tc>
        <w:tc>
          <w:tcPr>
            <w:tcW w:w="620" w:type="dxa"/>
            <w:vAlign w:val="bottom"/>
          </w:tcPr>
          <w:p>
            <w:pPr>
              <w:ind w:left="60"/>
              <w:spacing w:after="0"/>
              <w:rPr>
                <w:sz w:val="20"/>
                <w:szCs w:val="20"/>
                <w:color w:val="auto"/>
              </w:rPr>
            </w:pPr>
            <w:r>
              <w:rPr>
                <w:rFonts w:ascii="Arial" w:cs="Arial" w:eastAsia="Arial" w:hAnsi="Arial"/>
                <w:sz w:val="18"/>
                <w:szCs w:val="18"/>
                <w:color w:val="auto"/>
                <w:w w:val="92"/>
              </w:rPr>
              <w:t>(SEAL)</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MATTHEW A. PACKEY</w:t>
            </w:r>
          </w:p>
        </w:tc>
        <w:tc>
          <w:tcPr>
            <w:tcW w:w="620" w:type="dxa"/>
            <w:vAlign w:val="bottom"/>
          </w:tcPr>
          <w:p>
            <w:pPr>
              <w:spacing w:after="0"/>
              <w:rPr>
                <w:sz w:val="19"/>
                <w:szCs w:val="19"/>
                <w:color w:val="auto"/>
              </w:rPr>
            </w:pPr>
          </w:p>
        </w:tc>
      </w:tr>
    </w:tbl>
    <w:p>
      <w:pPr>
        <w:sectPr>
          <w:pgSz w:w="11900" w:h="16838" w:orient="portrait"/>
          <w:cols w:equalWidth="0" w:num="1">
            <w:col w:w="11400"/>
          </w:cols>
          <w:pgMar w:left="240" w:top="341" w:right="259" w:bottom="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Sworn to and subscribed before me this 10th day of May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Frederica Jefferson-Eason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My Commission Expires:</w:t>
            </w:r>
          </w:p>
        </w:tc>
        <w:tc>
          <w:tcPr>
            <w:tcW w:w="328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color w:val="auto"/>
                <w:w w:val="88"/>
              </w:rPr>
              <w:t>10/21/2014</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LENDINGTREE, LLC</w:t>
      </w:r>
    </w:p>
    <w:p>
      <w:pPr>
        <w:spacing w:after="0" w:line="225"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22225</wp:posOffset>
            </wp:positionV>
            <wp:extent cx="31984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30" w:lineRule="exact"/>
        <w:rPr>
          <w:sz w:val="20"/>
          <w:szCs w:val="20"/>
          <w:color w:val="auto"/>
        </w:rPr>
      </w:pPr>
    </w:p>
    <w:p>
      <w:pPr>
        <w:jc w:val="both"/>
        <w:ind w:left="5720"/>
        <w:spacing w:after="0"/>
        <w:tabs>
          <w:tab w:leader="none" w:pos="6360" w:val="left"/>
        </w:tabs>
        <w:rPr>
          <w:sz w:val="20"/>
          <w:szCs w:val="20"/>
          <w:color w:val="auto"/>
        </w:rPr>
      </w:pPr>
      <w:r>
        <w:rPr>
          <w:rFonts w:ascii="Arial" w:cs="Arial" w:eastAsia="Arial" w:hAnsi="Arial"/>
          <w:sz w:val="18"/>
          <w:szCs w:val="18"/>
          <w:color w:val="auto"/>
        </w:rPr>
        <w:t>Title:</w:t>
        <w:tab/>
        <w:t>SVP,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Sworn to and subscribed before me this 10th day of May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Frederica Jefferson-Eason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My Commission Expires:</w:t>
            </w:r>
          </w:p>
        </w:tc>
        <w:tc>
          <w:tcPr>
            <w:tcW w:w="328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color w:val="auto"/>
                <w:w w:val="88"/>
              </w:rPr>
              <w:t>10/21/2014</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154940</wp:posOffset>
            </wp:positionV>
            <wp:extent cx="1500505" cy="7118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050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28, 2010</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Chris Hayek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Senior Vice President &amp; Chief Accounting Officer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Dear Chris: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Congratulations on your recent promotion to Senior Vice President &amp; Chief Accounting Officer. In relation thereto and in consideration of the mutual promises contained herein and for other good and valuable consideration, the receipt and sufficiency of which are hereby acknowledged, Tree.com,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you hereby agree as follows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left="340" w:right="480" w:firstLine="122"/>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Your base salary shall be increased to one hundred and eighty thousand dollars ($180,000), effective as of May 28, 2010. This shall be paid in accordance with the Company’s normal payroll practices and schedule.</w:t>
      </w:r>
    </w:p>
    <w:p>
      <w:pPr>
        <w:spacing w:after="0" w:line="170" w:lineRule="exact"/>
        <w:rPr>
          <w:rFonts w:ascii="Arial" w:cs="Arial" w:eastAsia="Arial" w:hAnsi="Arial"/>
          <w:sz w:val="18"/>
          <w:szCs w:val="18"/>
          <w:color w:val="auto"/>
        </w:rPr>
      </w:pPr>
    </w:p>
    <w:p>
      <w:pPr>
        <w:ind w:left="680" w:hanging="21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Your bonus target shall be thirty percent (30%) of your then-in-effect base salary at the time bonuses are calculated.</w:t>
      </w:r>
    </w:p>
    <w:p>
      <w:pPr>
        <w:spacing w:after="0" w:line="225" w:lineRule="exact"/>
        <w:rPr>
          <w:rFonts w:ascii="Arial" w:cs="Arial" w:eastAsia="Arial" w:hAnsi="Arial"/>
          <w:sz w:val="18"/>
          <w:szCs w:val="18"/>
          <w:color w:val="auto"/>
        </w:rPr>
      </w:pPr>
    </w:p>
    <w:p>
      <w:pPr>
        <w:ind w:left="340" w:right="20" w:firstLine="122"/>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shall receive seven thousand, five hundred (7,500)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subject to the provisions of the Second Amended and Restated Tree.Com, Inc. 2008 Stock and Annual Incentive Plan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date of the RSU grant shall be June 28, 2010 and the grant will have an annual vesting schedule with one third vested on each anniversary of the date of the grant. In the event of a conflict between this letter agreement and the RSU award, the terms set forth in the award agreement and plan should control.</w:t>
      </w:r>
    </w:p>
    <w:p>
      <w:pPr>
        <w:spacing w:after="0" w:line="186" w:lineRule="exact"/>
        <w:rPr>
          <w:rFonts w:ascii="Arial" w:cs="Arial" w:eastAsia="Arial" w:hAnsi="Arial"/>
          <w:sz w:val="18"/>
          <w:szCs w:val="18"/>
          <w:color w:val="auto"/>
        </w:rPr>
      </w:pPr>
    </w:p>
    <w:p>
      <w:pPr>
        <w:ind w:left="340" w:firstLine="122"/>
        <w:spacing w:after="0" w:line="276"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your employment is terminated by the Company for reasons other than cause or substandard performance, the Company will pay severance to you in an amount equal to your monthly base salary then in effect for a period of six (6) months after your termination date. Receiving this severance pay is contingent upon your signing and not revoking the appropriate release document provided by Company. This severance will be paid on regularly scheduled pay dates and will be discontinued should you find other employment. If your benefit under the Company’s normal severance plan in effect at the time is greater due to your length of service you will be eligible to receive the greater severance amount.</w:t>
      </w:r>
    </w:p>
    <w:p>
      <w:pPr>
        <w:spacing w:after="0" w:line="172" w:lineRule="exact"/>
        <w:rPr>
          <w:rFonts w:ascii="Arial" w:cs="Arial" w:eastAsia="Arial" w:hAnsi="Arial"/>
          <w:sz w:val="17"/>
          <w:szCs w:val="17"/>
          <w:color w:val="auto"/>
        </w:rPr>
      </w:pPr>
    </w:p>
    <w:p>
      <w:pPr>
        <w:ind w:left="340" w:right="560" w:firstLine="122"/>
        <w:spacing w:after="0" w:line="277"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Your employment by the Company is on an “at will” basis. This Agreement does not create an employment contract or affect the right of the Company to terminate your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11115 Rushmore Drive,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employment, or change the terms and conditions of such employment, at any time without notice.</w:t>
      </w:r>
    </w:p>
    <w:p>
      <w:pPr>
        <w:spacing w:after="0" w:line="225" w:lineRule="exact"/>
        <w:rPr>
          <w:sz w:val="20"/>
          <w:szCs w:val="20"/>
          <w:color w:val="auto"/>
        </w:rPr>
      </w:pPr>
    </w:p>
    <w:p>
      <w:pPr>
        <w:ind w:left="340" w:right="100" w:firstLine="122"/>
        <w:spacing w:after="0" w:line="285" w:lineRule="auto"/>
        <w:tabs>
          <w:tab w:leader="none" w:pos="69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Section 409A of the Internal Revenue Code</w:t>
      </w:r>
      <w:r>
        <w:rPr>
          <w:rFonts w:ascii="Arial" w:cs="Arial" w:eastAsia="Arial" w:hAnsi="Arial"/>
          <w:sz w:val="16"/>
          <w:szCs w:val="16"/>
          <w:color w:val="auto"/>
        </w:rPr>
        <w:t>. This Agreement is not intended to constitute a “nonqualified deferred compensation plan” within the meaning of Section 409A of the Internal Revenue Code of 1986, as amended, and the rules and regulations issued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Notwithstanding the foregoing, if this Agreement or any benefit paid to you hereunder is subject to Section 409A and if you are a “Specified Employee” (as defined under Section 409A) as of the date of your termination of employment hereunder, then the payment of such benefits, if any, scheduled to be paid hereunder during the first six (6) month period beginning on the date of a termination of employment hereunder shall be delayed during such six</w:t>
      </w:r>
    </w:p>
    <w:p>
      <w:pPr>
        <w:spacing w:after="0" w:line="2" w:lineRule="exact"/>
        <w:rPr>
          <w:rFonts w:ascii="Arial" w:cs="Arial" w:eastAsia="Arial" w:hAnsi="Arial"/>
          <w:sz w:val="16"/>
          <w:szCs w:val="16"/>
          <w:color w:val="auto"/>
        </w:rPr>
      </w:pPr>
    </w:p>
    <w:p>
      <w:pPr>
        <w:ind w:left="340" w:right="60" w:hanging="8"/>
        <w:spacing w:after="0" w:line="277" w:lineRule="auto"/>
        <w:tabs>
          <w:tab w:leader="none" w:pos="5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month period and shall commence immediately following the end of such six (6) month period (and, if applicable, the period in which such payments were scheduled to be made if not for such delay shall be extended accordingly). In no event shall the Company be required to pay any “gross-up” or other payment with respect to any taxes or penalties imposed under Section 409A with respect to any benefit paid hereunder.</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agree to the terms of this Agreement, please sign and date the enclosed copy and return it to the undersigned at the above address. By signing this Agreement, you represent and agree that you have taken advantage of your right to consult with an attorney or have declined to do so, that you have carefully read and fully understand all of the provisions of this Agreement and that you are voluntarily entering into this Agreement.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TREE.COM,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SVP,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AGREED, this 29th day of June 2010.</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Sign Name:</w:t>
      </w:r>
      <w:r>
        <w:rPr>
          <w:sz w:val="20"/>
          <w:szCs w:val="20"/>
          <w:color w:val="auto"/>
        </w:rPr>
        <w:tab/>
      </w:r>
      <w:r>
        <w:rPr>
          <w:rFonts w:ascii="Arial" w:cs="Arial" w:eastAsia="Arial" w:hAnsi="Arial"/>
          <w:sz w:val="16"/>
          <w:szCs w:val="16"/>
          <w:color w:val="auto"/>
        </w:rPr>
        <w:t>/s/ Christopher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14605</wp:posOffset>
            </wp:positionV>
            <wp:extent cx="28644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Douglas R. Lebda, certify, pursuant to 18 U.S.C. Section 1350, as adopted pursuant to Section 906 of the Sarbanes-Oxley Act of 2002, that:</w:t>
      </w:r>
    </w:p>
    <w:p>
      <w:pPr>
        <w:spacing w:after="0" w:line="262" w:lineRule="exact"/>
        <w:rPr>
          <w:sz w:val="20"/>
          <w:szCs w:val="20"/>
          <w:color w:val="auto"/>
        </w:rPr>
      </w:pPr>
    </w:p>
    <w:p>
      <w:pPr>
        <w:ind w:left="1080" w:right="100" w:hanging="532"/>
        <w:spacing w:after="0" w:line="370"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2010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62230</wp:posOffset>
            </wp:positionV>
            <wp:extent cx="27959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72" w:name="page73"/>
    <w:bookmarkEnd w:id="72"/>
    <w:p>
      <w:pPr>
        <w:spacing w:after="0"/>
        <w:rPr>
          <w:rFonts w:ascii="Arial" w:cs="Arial" w:eastAsia="Arial" w:hAnsi="Arial"/>
          <w:sz w:val="22"/>
          <w:szCs w:val="22"/>
          <w:color w:val="0000EE"/>
        </w:rPr>
      </w:pPr>
      <w:hyperlink w:anchor="page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Christopher R. Hayek, certify, pursuant to 18 U.S.C. Section 1350, as adopted pursuant to Section 906 of the Sarbanes-Oxley Act of 2002, that:</w:t>
      </w:r>
    </w:p>
    <w:p>
      <w:pPr>
        <w:spacing w:after="0" w:line="262" w:lineRule="exact"/>
        <w:rPr>
          <w:sz w:val="20"/>
          <w:szCs w:val="20"/>
          <w:color w:val="auto"/>
        </w:rPr>
      </w:pPr>
    </w:p>
    <w:p>
      <w:pPr>
        <w:ind w:left="1080" w:right="100" w:hanging="532"/>
        <w:spacing w:after="0" w:line="370"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2010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6, 2010</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62230</wp:posOffset>
            </wp:positionV>
            <wp:extent cx="27959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
    </w:lvl>
    <w:lvl w:ilvl="1">
      <w:lvlJc w:val="left"/>
      <w:lvlText w:val="%2."/>
      <w:numFmt w:val="lowerLetter"/>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5"/>
    </w:lvl>
  </w:abstractNum>
  <w:abstractNum w:abstractNumId="17">
    <w:nsid w:val="B03E0C6"/>
    <w:multiLevelType w:val="hybridMultilevel"/>
    <w:lvl w:ilvl="0">
      <w:lvlJc w:val="left"/>
      <w:lvlText w:val="%1."/>
      <w:numFmt w:val="decimal"/>
      <w:start w:val="6"/>
    </w:lvl>
  </w:abstractNum>
  <w:abstractNum w:abstractNumId="18">
    <w:nsid w:val="189A769B"/>
    <w:multiLevelType w:val="hybridMultilevel"/>
    <w:lvl w:ilvl="0">
      <w:lvlJc w:val="left"/>
      <w:lvlText w:val="§"/>
      <w:numFmt w:val="bullet"/>
      <w:start w:val="1"/>
    </w:lvl>
    <w:lvl w:ilvl="1">
      <w:lvlJc w:val="left"/>
      <w:lvlText w:val="(%2)"/>
      <w:numFmt w:val="lowerLetter"/>
      <w:start w:val="1"/>
    </w:lvl>
  </w:abstractNum>
  <w:abstractNum w:abstractNumId="19">
    <w:nsid w:val="54E49EB4"/>
    <w:multiLevelType w:val="hybridMultilevel"/>
    <w:lvl w:ilvl="0">
      <w:lvlJc w:val="left"/>
      <w:lvlText w:val="§"/>
      <w:numFmt w:val="bullet"/>
      <w:start w:val="1"/>
    </w:lvl>
    <w:lvl w:ilvl="1">
      <w:lvlJc w:val="left"/>
      <w:lvlText w:val="(%2)"/>
      <w:numFmt w:val="lowerLetter"/>
      <w:start w:val="2"/>
    </w:lvl>
  </w:abstractNum>
  <w:abstractNum w:abstractNumId="20">
    <w:nsid w:val="71F32454"/>
    <w:multiLevelType w:val="hybridMultilevel"/>
    <w:lvl w:ilvl="0">
      <w:lvlJc w:val="left"/>
      <w:lvlText w:val="%1."/>
      <w:numFmt w:val="decimal"/>
      <w:start w:val="7"/>
    </w:lvl>
    <w:lvl w:ilvl="1">
      <w:lvlJc w:val="left"/>
      <w:lvlText w:val="(%2)"/>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1"/>
    </w:lvl>
    <w:lvl w:ilvl="1">
      <w:lvlJc w:val="left"/>
      <w:lvlText w:val="(%2)"/>
      <w:numFmt w:val="lowerLetter"/>
      <w:start w:val="3"/>
    </w:lvl>
  </w:abstractNum>
  <w:abstractNum w:abstractNumId="23">
    <w:nsid w:val="2901D82"/>
    <w:multiLevelType w:val="hybridMultilevel"/>
    <w:lvl w:ilvl="0">
      <w:lvlJc w:val="left"/>
      <w:lvlText w:val="(%1)"/>
      <w:numFmt w:val="lowerLetter"/>
      <w:start w:val="4"/>
    </w:lvl>
    <w:lvl w:ilvl="1">
      <w:lvlJc w:val="left"/>
      <w:lvlText w:val="%2"/>
      <w:numFmt w:val="lowerLetter"/>
      <w:start w:val="1"/>
    </w:lvl>
  </w:abstractNum>
  <w:abstractNum w:abstractNumId="24">
    <w:nsid w:val="3A95F874"/>
    <w:multiLevelType w:val="hybridMultilevel"/>
    <w:lvl w:ilvl="0">
      <w:lvlJc w:val="left"/>
      <w:lvlText w:val="%1."/>
      <w:numFmt w:val="decimal"/>
      <w:start w:val="9"/>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decimal"/>
      <w:start w:val="17"/>
    </w:lvl>
    <w:lvl w:ilvl="1">
      <w:lvlJc w:val="left"/>
      <w:lvlText w:val="(%2)"/>
      <w:numFmt w:val="low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lvl w:ilvl="1">
      <w:lvlJc w:val="left"/>
      <w:lvlText w:val="%2."/>
      <w:numFmt w:val="decimal"/>
      <w:start w:val="6"/>
    </w:lvl>
  </w:abstractNum>
  <w:abstractNum w:abstractNumId="29">
    <w:nsid w:val="6CEAF087"/>
    <w:multiLevelType w:val="hybridMultilevel"/>
    <w:lvl w:ilvl="0">
      <w:lvlJc w:val="left"/>
      <w:lvlText w:val="(%1)"/>
      <w:numFmt w:val="decimal"/>
      <w:start w:val="6"/>
    </w:lvl>
    <w:lvl w:ilvl="1">
      <w:lvlJc w:val="left"/>
      <w:lvlText w:val="%2"/>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2019-12-11T05:32:18Z</dcterms:created>
  <dcterms:modified xsi:type="dcterms:W3CDTF">2019-12-11T05:32:18Z</dcterms:modified>
</cp:coreProperties>
</file>