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348615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5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3" w:lineRule="exact"/>
        <w:rPr>
          <w:sz w:val="24"/>
          <w:szCs w:val="24"/>
          <w:color w:val="auto"/>
        </w:rPr>
      </w:pPr>
    </w:p>
    <w:p>
      <w:pPr>
        <w:jc w:val="center"/>
        <w:ind w:left="3880" w:right="1360" w:hanging="3086"/>
        <w:spacing w:after="0" w:line="352" w:lineRule="auto"/>
        <w:tabs>
          <w:tab w:leader="none" w:pos="11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302"/>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w:t>
            </w:r>
          </w:p>
        </w:tc>
        <w:tc>
          <w:tcPr>
            <w:tcW w:w="958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tc>
        <w:tc>
          <w:tcPr>
            <w:tcW w:w="0" w:type="dxa"/>
            <w:vAlign w:val="bottom"/>
          </w:tcPr>
          <w:p>
            <w:pPr>
              <w:spacing w:after="0"/>
              <w:rPr>
                <w:sz w:val="1"/>
                <w:szCs w:val="1"/>
                <w:color w:val="auto"/>
              </w:rPr>
            </w:pPr>
          </w:p>
        </w:tc>
      </w:tr>
      <w:tr>
        <w:trPr>
          <w:trHeight w:val="67"/>
        </w:trPr>
        <w:tc>
          <w:tcPr>
            <w:tcW w:w="300" w:type="dxa"/>
            <w:vAlign w:val="bottom"/>
            <w:vMerge w:val="continue"/>
          </w:tcPr>
          <w:p>
            <w:pPr>
              <w:spacing w:after="0"/>
              <w:rPr>
                <w:sz w:val="5"/>
                <w:szCs w:val="5"/>
                <w:color w:val="auto"/>
              </w:rPr>
            </w:pPr>
          </w:p>
        </w:tc>
        <w:tc>
          <w:tcPr>
            <w:tcW w:w="5840" w:type="dxa"/>
            <w:vAlign w:val="bottom"/>
            <w:vMerge w:val="restart"/>
          </w:tcPr>
          <w:p>
            <w:pPr>
              <w:ind w:left="31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3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to</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001-34063</w:t>
      </w:r>
    </w:p>
    <w:p>
      <w:pPr>
        <w:spacing w:after="0" w:line="1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-1905</wp:posOffset>
            </wp:positionV>
            <wp:extent cx="1134745" cy="409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LendingTree,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222" w:right="339" w:bottom="1440" w:gutter="0" w:footer="0" w:header="0"/>
        </w:sectPr>
      </w:pP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26-2414818</w:t>
      </w:r>
    </w:p>
    <w:p>
      <w:pPr>
        <w:spacing w:after="0" w:line="28" w:lineRule="exact"/>
        <w:rPr>
          <w:sz w:val="24"/>
          <w:szCs w:val="24"/>
          <w:color w:val="auto"/>
        </w:rPr>
      </w:pPr>
    </w:p>
    <w:p>
      <w:pPr>
        <w:sectPr>
          <w:pgSz w:w="11900" w:h="16838" w:orient="portrait"/>
          <w:cols w:equalWidth="0" w:num="2">
            <w:col w:w="7000" w:space="720"/>
            <w:col w:w="3520"/>
          </w:cols>
          <w:pgMar w:left="320" w:top="222"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222" w:right="339" w:bottom="1440" w:gutter="0" w:footer="0" w:header="0"/>
          <w:type w:val="continuous"/>
        </w:sectPr>
      </w:pP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1415 Vantage Park Dr., Suite 700, Charlotte, North Carolina 28203</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offices)(Zip Code)</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07"/>
        </w:trPr>
        <w:tc>
          <w:tcPr>
            <w:tcW w:w="2220" w:type="dxa"/>
            <w:vAlign w:val="bottom"/>
          </w:tcPr>
          <w:p>
            <w:pPr>
              <w:spacing w:after="0"/>
              <w:rPr>
                <w:sz w:val="18"/>
                <w:szCs w:val="18"/>
                <w:color w:val="auto"/>
              </w:rPr>
            </w:pPr>
          </w:p>
        </w:tc>
        <w:tc>
          <w:tcPr>
            <w:tcW w:w="28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326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502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TREE</w:t>
            </w:r>
          </w:p>
        </w:tc>
        <w:tc>
          <w:tcPr>
            <w:tcW w:w="4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left="160" w:right="23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161"/>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161"/>
        <w:spacing w:after="0" w:line="25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ectPr>
          <w:pgSz w:w="11900" w:h="16838" w:orient="portrait"/>
          <w:cols w:equalWidth="0" w:num="1">
            <w:col w:w="11240"/>
          </w:cols>
          <w:pgMar w:left="320" w:top="222" w:right="339" w:bottom="1440" w:gutter="0" w:footer="0" w:header="0"/>
          <w:type w:val="continuous"/>
        </w:sectPr>
      </w:pPr>
    </w:p>
    <w:p>
      <w:pPr>
        <w:spacing w:after="0" w:line="35"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72" w:lineRule="exact"/>
        <w:rPr>
          <w:sz w:val="24"/>
          <w:szCs w:val="24"/>
          <w:color w:val="auto"/>
        </w:rPr>
      </w:pPr>
    </w:p>
    <w:p>
      <w:pPr>
        <w:sectPr>
          <w:pgSz w:w="11900" w:h="16838" w:orient="portrait"/>
          <w:cols w:equalWidth="0" w:num="5">
            <w:col w:w="2020" w:space="520"/>
            <w:col w:w="1260" w:space="580"/>
            <w:col w:w="1560" w:space="620"/>
            <w:col w:w="1940" w:space="640"/>
            <w:col w:w="2100"/>
          </w:cols>
          <w:pgMar w:left="320" w:top="222" w:right="339" w:bottom="1440" w:gutter="0" w:footer="0" w:header="0"/>
          <w:type w:val="continuous"/>
        </w:sectPr>
      </w:pPr>
    </w:p>
    <w:p>
      <w:pPr>
        <w:jc w:val="both"/>
        <w:ind w:firstLine="161"/>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jc w:val="both"/>
        <w:ind w:right="20"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161"/>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160"/>
        <w:spacing w:after="0" w:line="184"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 w:lineRule="exact"/>
        <w:rPr>
          <w:sz w:val="24"/>
          <w:szCs w:val="24"/>
          <w:color w:val="auto"/>
        </w:rPr>
      </w:pPr>
    </w:p>
    <w:p>
      <w:pPr>
        <w:jc w:val="both"/>
        <w:ind w:right="20" w:firstLine="161"/>
        <w:spacing w:after="0" w:line="251" w:lineRule="auto"/>
        <w:rPr>
          <w:sz w:val="20"/>
          <w:szCs w:val="20"/>
          <w:color w:val="auto"/>
        </w:rPr>
      </w:pPr>
      <w:r>
        <w:rPr>
          <w:rFonts w:ascii="Times New Roman" w:cs="Times New Roman" w:eastAsia="Times New Roman" w:hAnsi="Times New Roman"/>
          <w:sz w:val="16"/>
          <w:szCs w:val="16"/>
          <w:color w:val="auto"/>
        </w:rPr>
        <w:t>As of June 30, 2025, the aggregate market value of the voting common stock held by non-affiliates of the Registrant was approximately $411 million. For the purposes of the foregoing calculation only, all directors and executive officers of the Registrant and a single stockholder who owned in excess of 20% of the voting common stock are assumed to be affiliates of the Registrant.</w:t>
      </w:r>
    </w:p>
    <w:p>
      <w:pPr>
        <w:spacing w:after="0" w:line="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March 6, 2026, there were 13,855,792 shares of the Registrant's common stock, par value $0.01 per share, outstanding.</w:t>
      </w:r>
    </w:p>
    <w:p>
      <w:pPr>
        <w:spacing w:after="0" w:line="6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6"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Portions of the Registrant's proxy statement for its 2026 Annual Meeting of Stockholders are incorporated by reference into Part III herein. Such proxy statement will be filed with the U.S.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62230</wp:posOffset>
            </wp:positionV>
            <wp:extent cx="70935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3585" cy="171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36830</wp:posOffset>
            </wp:positionV>
            <wp:extent cx="7093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1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80" w:type="dxa"/>
            <w:vAlign w:val="bottom"/>
            <w:gridSpan w:val="13"/>
            <w:vMerge w:val="restart"/>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80" w:type="dxa"/>
            <w:vAlign w:val="bottom"/>
            <w:gridSpan w:val="13"/>
            <w:vMerge w:val="continue"/>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Business</w:t>
            </w:r>
          </w:p>
        </w:tc>
        <w:tc>
          <w:tcPr>
            <w:tcW w:w="580" w:type="dxa"/>
            <w:vAlign w:val="bottom"/>
            <w:tcBorders>
              <w:top w:val="single" w:sz="8" w:color="0000FF"/>
            </w:tcBorders>
            <w:gridSpan w:val="3"/>
          </w:tcPr>
          <w:p>
            <w:pPr>
              <w:spacing w:after="0"/>
              <w:rPr>
                <w:sz w:val="18"/>
                <w:szCs w:val="18"/>
                <w:color w:val="auto"/>
              </w:rPr>
            </w:pPr>
          </w:p>
        </w:tc>
        <w:tc>
          <w:tcPr>
            <w:tcW w:w="430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806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1B.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Unresolved Staff Comments</w:t>
            </w:r>
          </w:p>
        </w:tc>
        <w:tc>
          <w:tcPr>
            <w:tcW w:w="688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Cybersecurity</w:t>
            </w:r>
          </w:p>
        </w:tc>
        <w:tc>
          <w:tcPr>
            <w:tcW w:w="7940" w:type="dxa"/>
            <w:vAlign w:val="bottom"/>
            <w:gridSpan w:val="27"/>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8240" w:type="dxa"/>
            <w:vAlign w:val="bottom"/>
            <w:gridSpan w:val="3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4"/>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5.</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b w:val="1"/>
                <w:bCs w:val="1"/>
                <w:color w:val="0000FF"/>
                <w:w w:val="99"/>
              </w:rPr>
              <w:t>Market for Registrant's Common Equity, Related Stockholder Matters and Issuer Purchases of Equity Securities</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[Reserved]</w:t>
            </w:r>
          </w:p>
        </w:tc>
        <w:tc>
          <w:tcPr>
            <w:tcW w:w="8200" w:type="dxa"/>
            <w:vAlign w:val="bottom"/>
            <w:gridSpan w:val="29"/>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7.</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7A.</w:t>
            </w:r>
          </w:p>
        </w:tc>
        <w:tc>
          <w:tcPr>
            <w:tcW w:w="220" w:type="dxa"/>
            <w:vAlign w:val="bottom"/>
          </w:tcPr>
          <w:p>
            <w:pPr>
              <w:spacing w:after="0"/>
              <w:rPr>
                <w:sz w:val="18"/>
                <w:szCs w:val="18"/>
                <w:color w:val="auto"/>
              </w:rPr>
            </w:pPr>
          </w:p>
        </w:tc>
        <w:tc>
          <w:tcPr>
            <w:tcW w:w="4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442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8.</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and Supplementary Data</w:t>
            </w:r>
          </w:p>
        </w:tc>
        <w:tc>
          <w:tcPr>
            <w:tcW w:w="546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9.</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0000FF"/>
                <w:w w:val="99"/>
              </w:rPr>
              <w:t>Changes in and Disagreements With Accountants on Accounting and Financial Disclosure</w:t>
            </w:r>
          </w:p>
        </w:tc>
        <w:tc>
          <w:tcPr>
            <w:tcW w:w="216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9A.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712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9B.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9C.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Borders>
              <w:top w:val="single" w:sz="8" w:color="0000FF"/>
            </w:tcBorders>
          </w:tcPr>
          <w:p>
            <w:pPr>
              <w:spacing w:after="0"/>
              <w:rPr>
                <w:sz w:val="24"/>
                <w:szCs w:val="24"/>
                <w:color w:val="auto"/>
              </w:rPr>
            </w:pPr>
          </w:p>
        </w:tc>
        <w:tc>
          <w:tcPr>
            <w:tcW w:w="38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10.</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Directors, Executive Officers and Corporate Governance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11.</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468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12.</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Stockholder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13.</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 Independence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14.</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gridSpan w:val="16"/>
          </w:tcPr>
          <w:p>
            <w:pPr>
              <w:jc w:val="center"/>
              <w:ind w:right="42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15.</w:t>
            </w:r>
          </w:p>
        </w:tc>
        <w:tc>
          <w:tcPr>
            <w:tcW w:w="43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0000FF"/>
              </w:rPr>
              <w:t>Exhibits and Financial Statement Schedules</w:t>
            </w:r>
          </w:p>
        </w:tc>
        <w:tc>
          <w:tcPr>
            <w:tcW w:w="700" w:type="dxa"/>
            <w:vAlign w:val="bottom"/>
            <w:tcBorders>
              <w:top w:val="single" w:sz="8" w:color="0000FF"/>
            </w:tcBorders>
            <w:gridSpan w:val="7"/>
          </w:tcPr>
          <w:p>
            <w:pPr>
              <w:spacing w:after="0"/>
              <w:rPr>
                <w:sz w:val="18"/>
                <w:szCs w:val="18"/>
                <w:color w:val="auto"/>
              </w:rPr>
            </w:pPr>
          </w:p>
        </w:tc>
        <w:tc>
          <w:tcPr>
            <w:tcW w:w="422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568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16.</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9"/>
        </w:trPr>
        <w:tc>
          <w:tcPr>
            <w:tcW w:w="4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2025 (the “Annual Report”) contains “forward-looking statements” within the meaning of the Securities Act of 1933, as amended (the "Securities Act"), and the Securities Exchange Act of 1934, as amended (the "Exchange Act").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“believes” and "forecasts" among others, generally identify forward-looking statements.</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Annual Report may not prove to be accurate. Accordingly, you should not place undue reliance on these forward-looking statements, which only reflect the views of LendingTree, Inc.'s management as of the date of this Annual Report. We undertake no obligation to update or revise forward-looking statements to reflect changed assumptions, the occurrence of unanticipated events or changes to future operating results or expectations, except as required by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and our other filings with the SEC, before making an investment decision regarding our common stock.</w:t>
      </w:r>
    </w:p>
    <w:p>
      <w:pPr>
        <w:spacing w:after="0" w:line="126" w:lineRule="exact"/>
        <w:rPr>
          <w:sz w:val="20"/>
          <w:szCs w:val="20"/>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primary and secondary mortgage markets, as well as the general economy, have had and could continue to have a material adverse effect on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financial strength of our Network Partners and our relationships with them. Any adverse changes in these relationships could adversely affect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relationships with our Network Partners, or failure to meet certain metrics required by Network Partners, could adversely affect our business.</w:t>
      </w:r>
    </w:p>
    <w:p>
      <w:pPr>
        <w:spacing w:after="0" w:line="108" w:lineRule="exact"/>
        <w:rPr>
          <w:rFonts w:ascii="Times New Roman" w:cs="Times New Roman" w:eastAsia="Times New Roman" w:hAnsi="Times New Roman"/>
          <w:sz w:val="18"/>
          <w:szCs w:val="18"/>
          <w:color w:val="auto"/>
        </w:rPr>
      </w:pPr>
    </w:p>
    <w:p>
      <w:pPr>
        <w:jc w:val="both"/>
        <w:ind w:left="660" w:right="2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reputation and brand recognition and to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spacing w:after="0" w:line="12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23"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technology, including artificial intelligence,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spacing w:after="0" w:line="127"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loan markets could harm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business, QuoteWizard, is significant to our revenue, and operational issues in this business could have a material impact on our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small business loans are a significant product within our Consumer segment and there are risks specific to this product that could have a material impact on our results of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continually enhance our products and services and adapt them to technological changes and consumer and Network Partner needs, we may lose market share and revenue and our business could suffer.</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consumers do not find value in our platforms or do not like the consumer experience on the platforms, the number of matches on our platform may decline, which would harm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people through the changes caused by economic challenges, our business and results of operations could be harmed.</w:t>
      </w:r>
    </w:p>
    <w:p>
      <w:pPr>
        <w:spacing w:after="0" w:line="16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highly skilled personnel and if we are unable to attract, retain, develop and motivate well-qualified employees, or replace key personnel, our business and results of operations could be harmed. Loss of our key management or other personnel, including the recent unexpected passing of our Founder, former Chairman and Chief Executive Officer, could adversely impact our business.</w:t>
      </w:r>
    </w:p>
    <w:p>
      <w:pPr>
        <w:spacing w:after="0" w:line="123"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revenue is derived from one Network Partner and our results of operations could be adversely affected if we lose significant business from this Network Partner.</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participate in a highly competitive market and pressure from existing and new competitors, including from disintermediation,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27"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123"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past, existing or new laws, rules and regulations, or to obtain and maintain required licenses, could materially and adversely affect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23"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tax regulation, effective tax rates or adverse outcomes resulting from examination of our income or other tax returns could adversely affect our operating results and financial condition.</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intellectual property disputes, which are costly and may subject us to significant liability and increased costs of doing business.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we are party to litigation involving contract, intellectual property and a variety of other claims, which could adversely affect our business and financial condition.</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quarter to quarter earnings and other factors may result in significant decreases in the price of our common stock.</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estate of our former Chairman and Chief Executive Officer owns a substantial portion of our outstanding common stock, which concentrates voting control and limits your ability to influence corporate matters.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fluctuate as a result of seasonality, which may make it difficult to predict our future performance and may adversely affect our common stock price.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approximately 770 partners (which we refer to as “Network Partners”) in one simple search, and choose the option that best fits their financial needs. Services include mortgage loans, mortgage refinances, home equity loans and lines of credit, auto loans, credit cards, deposit accounts, personal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business we charge other kinds of fees, such as closed loan fees. In addition to our primary consumer request data referral business, we also match consumers with Network Partners by offering consumers the ability to click from our website to a Network Partner’s website or by calls for which Network Partners pay fees.</w:t>
      </w:r>
    </w:p>
    <w:p>
      <w:pPr>
        <w:spacing w:after="0" w:line="7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Evolution and Future Growth of Our Business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Since 2012,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expanding our portfolio of financial services offerings, we have grown and diversified our business and sources of revenue. We intend to capitalize on our expertise in performance marketing, product development and technology by leveraging the widespread recognition of the LendingTree brand and our expanded portfolio of product offerings.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financial services consumers will continue to move towards online shopping and transactions in response to which suppliers will increasingly shift their product offerings and advertising budgets toward the online channel. We believe the strength of our brands and of our Network Partners places us in a strong position to continue to benefit from this market shift.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inflationary pressures and interest rates, and any resulting impacts on our financial position and results of operations.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2023, the challenging interest rate environment and inflationary pressures presented challenges for many of our mortgage, consumer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Our Consumer segment was also negatively impacted by economic conditions, with successive Federal Reserve rate increases having their intended effect of tightening financial conditions. The availability of credit contracted and lenders were less inclined to make loans in an environment with high inflation and significantly increased cost of capital. In our Insurance segment, demand from our carrier partners remained volatile for much of the year as they continued to deal with persistent industry headwinds. In the last months of 2023, we began to see advertising budgets from our carrier partners increase.</w:t>
      </w:r>
    </w:p>
    <w:p>
      <w:pPr>
        <w:spacing w:after="0" w:line="8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During 2024, the challenging interest rate environment and inflationary pressures continued to present challenges for many of our mortgage lending partners. In our Home segment, mortgage rates remained relatively consistent in 2024, with the annual average mortgage rate in 2024 of 6.7% compared to</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6.8% in 2023. However, these rates are more than doubled compared to the low annual average mortgage rates seen in 2021. The increased mortgage rates continued to cause reduced refinance volumes and continued to put pressure on purchase activity. Additionally, the restrictive lending conditions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pressure our Consumer segment. In our Insurance segment, demand from our carrier partners increased significantly in 2024.</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we continue to see high interest rates, inflationary pressures and low existing home sales negatively impacting our mortgage lending partners. In our Home segment, mortgage rates remained relatively consistent in 2025, with the annual average mortgage rate in 2025 of 6.6% compared to 6.7% in 2024, but remain significantly increased compared to the low rates seen in 2021. A shortage of in-the-money refinance borrowers persists given the current higher level of mortgage rates, and historically low existing home sales are suppressing consumer demand for purchase loans. Our Consumer segment has benefited from the recent Federal Reserve rate decreases, and our lenders are generally broadening in credit appetite. In our Insurance segment, carriers are</w:t>
      </w:r>
    </w:p>
    <w:p>
      <w:pPr>
        <w:spacing w:after="0" w:line="1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broadly experiencing strong automotive underwriting results following multiple quarters of premium increases and stable loss cost trends. We are optimistic about maintaining the strong performance in the Insurance segment as we head into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Our Consumer segment includes the following products: credit cards, personal loans, small business loans, auto loans, deposit accounts, and other credit products such as debt settlement. We ceased offering credit repair products at the end of the second quarter of 2023 when we shut-down our Ovation business. Our Insurance segment consists of insurance quote products and insurance policies in our agency businesses. We exited the insurance agency business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Segment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151,764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128,854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143,753</w:t>
            </w:r>
          </w:p>
        </w:tc>
      </w:tr>
      <w:tr>
        <w:trPr>
          <w:trHeight w:val="22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253,370</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222,462</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278,945</w:t>
            </w:r>
          </w:p>
        </w:tc>
      </w:tr>
      <w:tr>
        <w:trPr>
          <w:trHeight w:val="22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711,880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548,704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249,605</w:t>
            </w:r>
          </w:p>
        </w:tc>
      </w:tr>
      <w:tr>
        <w:trPr>
          <w:trHeight w:val="235"/>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5"/>
        </w:trPr>
        <w:tc>
          <w:tcPr>
            <w:tcW w:w="6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1,117,324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672,502</w:t>
            </w:r>
          </w:p>
        </w:tc>
      </w:tr>
    </w:tbl>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LendingTree does not charge consumers for the use of our services. Revenues from our Home products are mostly derived from upfront match fees paid by Network Partners that receive a consumer request.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For the year ended December 31, 2025, one Network Partner, Progressive Casualty Insurance, accounted for 27% of total consolidated revenue, all of which was recorded within our Insurance segment. For the year ended December 31, 2024, two Network Partners, Progressive Casualty Insurance and Allstate Insurance Company, accounted for 22% and 11%, respectively, of total consolidated revenue, all of which was recorded within our Insurance segment. For the year ended December 31, 2023, no Network Partners accounted for more than 10% of total consolidated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Segment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the following Home lending products on our online marketplace:</w:t>
      </w:r>
    </w:p>
    <w:p>
      <w:pPr>
        <w:spacing w:after="0" w:line="115" w:lineRule="exact"/>
        <w:rPr>
          <w:sz w:val="20"/>
          <w:szCs w:val="20"/>
          <w:color w:val="auto"/>
        </w:rPr>
      </w:pPr>
    </w:p>
    <w:p>
      <w:pPr>
        <w:jc w:val="both"/>
        <w:ind w:left="660" w:hanging="330"/>
        <w:spacing w:after="0" w:line="26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loans and lines of credit, which enable homeowners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mortgage loans product, which matches consumers in the market looking to buy a new home with our network lenders.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Refinance mortgage loans product, which matches consumers in the market looking to refinance their existing mortgages with our network lenders.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Consumers seeking home loans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65" w:lineRule="exact"/>
        <w:rPr>
          <w:sz w:val="20"/>
          <w:szCs w:val="20"/>
          <w:color w:val="auto"/>
        </w:rPr>
      </w:pPr>
    </w:p>
    <w:p>
      <w:pPr>
        <w:ind w:left="660" w:hanging="330"/>
        <w:spacing w:after="0" w:line="284" w:lineRule="auto"/>
        <w:tabs>
          <w:tab w:leader="none" w:pos="65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w:t>
      </w:r>
      <w:r>
        <w:rPr>
          <w:rFonts w:ascii="Times New Roman" w:cs="Times New Roman" w:eastAsia="Times New Roman" w:hAnsi="Times New Roman"/>
          <w:sz w:val="18"/>
          <w:szCs w:val="18"/>
          <w:color w:val="auto"/>
        </w:rPr>
        <w:t>Consumers complete a single request form with information regarding the type of mortgage loan product they are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preferences and other data. Consumers also consent to a soft inquiry regarding their credit and to have lenders contact them.</w:t>
      </w:r>
    </w:p>
    <w:p>
      <w:pPr>
        <w:spacing w:after="0" w:line="47" w:lineRule="exact"/>
        <w:rPr>
          <w:rFonts w:ascii="Times New Roman" w:cs="Times New Roman" w:eastAsia="Times New Roman" w:hAnsi="Times New Roman"/>
          <w:sz w:val="18"/>
          <w:szCs w:val="18"/>
          <w:b w:val="1"/>
          <w:bCs w:val="1"/>
          <w:color w:val="auto"/>
        </w:rPr>
      </w:pPr>
    </w:p>
    <w:p>
      <w:pPr>
        <w:jc w:val="both"/>
        <w:ind w:left="660" w:hanging="330"/>
        <w:spacing w:after="0" w:line="267" w:lineRule="auto"/>
        <w:tabs>
          <w:tab w:leader="none" w:pos="65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Form Matching and Transmission. </w:t>
      </w:r>
      <w:r>
        <w:rPr>
          <w:rFonts w:ascii="Times New Roman" w:cs="Times New Roman" w:eastAsia="Times New Roman" w:hAnsi="Times New Roman"/>
          <w:sz w:val="18"/>
          <w:szCs w:val="18"/>
          <w:color w:val="auto"/>
        </w:rPr>
        <w:t>Our proprietary systems and technology match a given consumer’s request form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61" w:lineRule="exact"/>
        <w:rPr>
          <w:rFonts w:ascii="Times New Roman" w:cs="Times New Roman" w:eastAsia="Times New Roman" w:hAnsi="Times New Roman"/>
          <w:sz w:val="18"/>
          <w:szCs w:val="18"/>
          <w:b w:val="1"/>
          <w:bCs w:val="1"/>
          <w:color w:val="auto"/>
        </w:rPr>
      </w:pPr>
    </w:p>
    <w:p>
      <w:pPr>
        <w:ind w:left="660" w:hanging="330"/>
        <w:spacing w:after="0" w:line="284" w:lineRule="auto"/>
        <w:tabs>
          <w:tab w:leader="none" w:pos="65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Lender Evaluation and Response. </w:t>
      </w:r>
      <w:r>
        <w:rPr>
          <w:rFonts w:ascii="Times New Roman" w:cs="Times New Roman" w:eastAsia="Times New Roman" w:hAnsi="Times New Roman"/>
          <w:sz w:val="18"/>
          <w:szCs w:val="18"/>
          <w:color w:val="auto"/>
        </w:rPr>
        <w:t>Network Partners that receive a consumer request form evaluate the information contained in it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to make a conditional loan offer.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hanging="330"/>
        <w:spacing w:after="0" w:line="267" w:lineRule="auto"/>
        <w:tabs>
          <w:tab w:leader="none" w:pos="65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Communication of a Conditional Offer. </w:t>
      </w:r>
      <w:r>
        <w:rPr>
          <w:rFonts w:ascii="Times New Roman" w:cs="Times New Roman" w:eastAsia="Times New Roman" w:hAnsi="Times New Roman"/>
          <w:sz w:val="18"/>
          <w:szCs w:val="18"/>
          <w:color w:val="auto"/>
        </w:rPr>
        <w:t>All matched Network Partners and any conditional offers are presented to the consumer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consumer request form. Consumers can return to the site and view their offer(s) at any time by logging in to their on-line profile. Additionally, matched lenders and offers are also sent to the email address associated with the consumer request.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lending products on our online marketplace that include information, tools and access to multiple conditional loan offers for the following:</w:t>
      </w:r>
    </w:p>
    <w:p>
      <w:pPr>
        <w:spacing w:after="0" w:line="115" w:lineRule="exact"/>
        <w:rPr>
          <w:sz w:val="20"/>
          <w:szCs w:val="20"/>
          <w:color w:val="auto"/>
        </w:rPr>
      </w:pPr>
    </w:p>
    <w:p>
      <w:pPr>
        <w:ind w:left="660" w:right="20" w:hanging="330"/>
        <w:spacing w:after="0" w:line="28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which includes our auto refinance and purchase loan products. Auto loans enable consumers to purchase new or used vehicles or refinance an existing loan secured by an automobile.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cards, which include offerings from many major card issuers.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loans, which are typically unsecured obligations generally carrying shorter terms and smaller loan amounts than home mortgages.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business loans, which are typically short term loans used for the purpose of working capital, expansion and other forms of business financing provided to small and medium-sized businesses.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loans, which includes both new loans to finance education and related expenses, as well as refinancing of existing loans.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Non-lending Consumer products also includes information, tools and access to the following:</w:t>
      </w:r>
    </w:p>
    <w:p>
      <w:pPr>
        <w:spacing w:after="0" w:line="115" w:lineRule="exact"/>
        <w:rPr>
          <w:sz w:val="20"/>
          <w:szCs w:val="20"/>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through which consumers can access depository deals and analysis covering all major deposit product categories.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repair, through which consumers can obtain assistance improving their credit profiles, in order to expand and improve loan and other financial product opportunities available to them. We ceased offering credit repair products at the end of the second quarter of 2023 when we shut-down our Ovation business.</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relief services, through which consumers can obtain assistance negotiating existing loans.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refer to the various purchasers of leads from our other marketplaces as lead purchasers. We generate revenue from the deposit account product when a consumer clicks from our website through to a financial institution's website. We generate revenue from debt relief services through a fee for a customer referral to a service provider partner.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Segment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segment includes information, tools and access to insurance quote products, including automobile, home, life, health and Medicare, through which consumers are matched with insurance lead aggregators to obtain insurance offers. Our QuoteWizard business is one of the largest insurance comparison marketplaces in the growing online insurance advertising market. ValuePenguin, a personal finance website that offers consumers objective analysis on a variety of financial topics related to insurance, is also part of our Insurance segment. We exited the insurance agency business in the second quarter of 2025.</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current high interest rate economic period, the 2008-2009 financial crisis and related recession as well as the economic conditions related to the COVID-19 pandemic, have impacted customary seasonal trends.</w:t>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insurance segment typically experiences a decline in December around the holidays and an increase in the spring around tax season. Our personal loan product experiences less consumer demand during the fourth and first quarters of each year. Our small business loan demand typically peaks early in the first quarter, then softens for a period of time before increasing from late third quarter through the fourth quarter in anticipation of holiday-related funding needs. We also anticipate less consumer demand for credit cards in the fourth quarter of each year, and we anticipate higher consumer demand for deposit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accounts in the first quarter of each year. Other factors affecting our businesses include macro factors such as credit availability in the market, interest rates, inflation, the strength of the economy and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LendingTree, LLC also owns several companies. LendingTree, Inc. was incorporated in the state of Delaware in June 1996 and commenced nationwide operations in July 1998.</w:t>
      </w:r>
    </w:p>
    <w:p>
      <w:pPr>
        <w:spacing w:after="0" w:line="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May 2003, IAC/InterActiveCorp (“IAC”) acquired LendingTree, LLC, which at the time of the acquisition was known as LendingTree, Inc. Following the acquisition, in December 2004, IAC converted LendingTree, Inc. to a Delaware limited liability company, LendingTree, LLC.</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2015, we changed our name from Tree.com, Inc. to LendingTree,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Legal Compliance</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55" w:lineRule="exact"/>
        <w:rPr>
          <w:sz w:val="20"/>
          <w:szCs w:val="20"/>
          <w:color w:val="auto"/>
        </w:rPr>
      </w:pPr>
    </w:p>
    <w:p>
      <w:pPr>
        <w:jc w:val="both"/>
        <w:ind w:left="660" w:hanging="330"/>
        <w:spacing w:after="0" w:line="259"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73" w:lineRule="exact"/>
        <w:rPr>
          <w:rFonts w:ascii="Times New Roman" w:cs="Times New Roman" w:eastAsia="Times New Roman" w:hAnsi="Times New Roman"/>
          <w:sz w:val="17"/>
          <w:szCs w:val="17"/>
          <w:b w:val="1"/>
          <w:bCs w:val="1"/>
          <w:color w:val="auto"/>
        </w:rPr>
      </w:pPr>
    </w:p>
    <w:p>
      <w:pPr>
        <w:ind w:left="66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which imposes, among other things, limitations on fees charged by mortgage lenders, and requirements related to mortgage disclosures.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lending and insurance licensing laws.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spacing w:after="0" w:line="69" w:lineRule="exact"/>
        <w:rPr>
          <w:rFonts w:ascii="Times New Roman" w:cs="Times New Roman" w:eastAsia="Times New Roman" w:hAnsi="Times New Roman"/>
          <w:sz w:val="17"/>
          <w:szCs w:val="17"/>
          <w:b w:val="1"/>
          <w:bCs w:val="1"/>
          <w:color w:val="auto"/>
        </w:rPr>
      </w:pPr>
    </w:p>
    <w:p>
      <w:pPr>
        <w:ind w:left="660" w:right="20" w:hanging="330"/>
        <w:spacing w:after="0" w:line="280"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Federal and state laws and regulations relating to data privacy and security, including the Gramm-Leach-Bliley Act (“GLBA”), which may impact how we collect, use, store, share and otherwise process personal information of consumers and other individuals.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Factors—Risks Related to Legal, Compliance and Regulations” for additional information and a discussion of our regulatory risks.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we develop or identify new or improved proprietary technologies, we seek patent protection in the United States and abroad, as appropriate. As of December 31, 2025, we owned one issued U.S. patent related to the system and method for collecting financial information over a global communications network, that expires in 2032.</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2025, we owned 53 trademarks and service marks; 11 of those marks are registered outside of the United States, and 42 are registered or in the midst of the application process with the United States Patent and Trademark Office (“USPTO”). Of the 42 marks registered or pending with the USPTO, nine have applications pending but have not yet been registered. These registrations can typically be renewed at 10-year intervals.</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we reserve and register domain names when and where we deem appropriate. As of December 31, 2025, we owned approximately 1,591 registered domain names. We also have agreements with third parties that provide for the licensing of patented, copyrighted and other proprietary technology used in our business.</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significantly depends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committed to investing in our employees, and nurturing an entrepreneurial and dynamic work environment. We achieve this through dedication to our core principles which include: building truly outstanding products, being open and 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spacing w:after="0" w:line="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2025, we had 926 employees, of which approximately 919 are full-time and 7 are temporary or part-time. None of our employees are represented under collective bargaining agreements and we consider our relations with employees and independent contractors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Public Filings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www.lendingtree.com</w:t>
      </w:r>
      <w:r>
        <w:rPr>
          <w:rFonts w:ascii="Times New Roman" w:cs="Times New Roman" w:eastAsia="Times New Roman" w:hAnsi="Times New Roman"/>
          <w:sz w:val="18"/>
          <w:szCs w:val="18"/>
          <w:color w:val="auto"/>
        </w:rPr>
        <w:t xml:space="preserve"> and an investor relations website at </w:t>
      </w:r>
      <w:r>
        <w:rPr>
          <w:rFonts w:ascii="Times New Roman" w:cs="Times New Roman" w:eastAsia="Times New Roman" w:hAnsi="Times New Roman"/>
          <w:sz w:val="18"/>
          <w:szCs w:val="18"/>
          <w:i w:val="1"/>
          <w:iCs w:val="1"/>
          <w:color w:val="auto"/>
        </w:rPr>
        <w:t>investors.lendingtree.com</w:t>
      </w:r>
      <w:r>
        <w:rPr>
          <w:rFonts w:ascii="Times New Roman" w:cs="Times New Roman" w:eastAsia="Times New Roman" w:hAnsi="Times New Roman"/>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our Annual Reports on Form 10-K, our Quarterly Reports on Form 10-Q, our Current Reports on Form 8-K, our proxy statement for our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code of business conduct and ethics, which applies to all employees, including all executive officers and senior financial officers and directors, is posted on the investor relations section of our website. Any amendments to or waivers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code of business conduct and ethics that are of the type described in Item 406(b) and (d) of Regulation S-K will be disclosed on our website or in public filings to the extent required by the applicable rules.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below, together with all of the other information included in this Annual Report. If any of the risks described below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primary and secondary mortgage markets, as well as the general economy, have had and could continue to have a material adverse effect on our business, financial condition and results of operations.</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Constraints in the primary and secondary mortgage markets in the past have had, and may continue to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have experienced, and will likely continue to experience a decline in demand for their offerings due to decreased consumer demand as a result of the conditions described above, now or in the future. The high interest rates in 2023 to 2025 and home affordability significantly impacted our mortgage business and continue to do so.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on the financial strength of our Network Partners and our relationships with them, and any adverse changes in these relationships could adversely affect our business, financial condition and results of operations.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determine to temporarily suspend or terminate their relationship with us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relationships with our Network Partners, or failure to meet certain metrics required by Network Partners, could adversely affect our business.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campaigns or other traditional methods of distribution, such as referral arrangements, physical store-front operations or broker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agreements. Network Partners may also offer loans, insurance and other financial products and services to prospective customers online directly, through one or more online competitors or other business,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reputation and brand recognition and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 publicity and the potential corresponding impact on our reputation may be accelerated and amplified by the widespread use of social media platforms or artificial intelligence-based systems.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and artificial intelligence (“AI”) overviews, that depend upon the searchable content on our sites. Search engines and other online sources revise their algorithms, and introduce new advertising products, from time to time in an attempt to optimize their search results.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our online advertisements are not able to reach certain consumers due to consumers' use of ad-blocking software or other ad-blocking capabilities, our business could suffer. Any required changes in targeting and other related consumer acquisition practices and techniques could impair our ability to acquire consumers efficiently and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including artificial intelligence,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dependent on the use of technology systems that support our logged-in consumer experience as well as backend systems to support our strategic objectives. Implementation and integration of complex systems and technology present significant challenges in terms of costs, human resources, and development of effective internal controls. Implementation and integration require a balancing between the introduction of new capabilities and the managing of existing systems, and present the risk of operational or security inadequacy or interruption, which could materially affect our ability to effectively operate our business and/or could negatively impact our results of operations.</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our systems continue to require modification and refinements to address operational reliability, growth, and changing business requirements. In addition, our systems may require modification to enable us to comply with changing regulatory requirements. Our operations could be adversely affected, or we could face imposition of regulatory penalties, if it were unable to timely or effectively modify our systems as necessary or appropriately balance the introduction of new capabilities with the management of existing systems.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depend on third-party cloud service providers, primarily Amazon Web Services (“AWS”) and Microsoft Azure, to operate and scale our technology platforms and support critical business functions. As a result, our operations are subject to the availability, performance, and security of these providers’ infrastructure and services, which are outside of our control.</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disruption, degradation, or failure of AWS or Azure—whether due to system outages, cyber incidents, capacity constraints, natural disasters, human error, or other operational events—could adversely affect our ability to deliver our products and services, process transactions, safeguard data, and meet the expectations of consumers and partners. Such events could result in service interruptions, loss or corruption of data, regulatory scrutiny, reputational harm, and lost revenue.</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directly or through our third-party provided information technology systems or software incorporating AI capabilities into our business. As with many innovations, AI presents risks, challenges, and unintended consequences that could affect its adoption, and therefore our business. We use, and will increasingly rely on, AI, machine learning, and automated decision-making technologies in aspects of our business, including data analytics, marketing, lead matching, and internal operations. These technologies are inherently complex and may produce results that are inaccurate, incomplete, or biased due to flawed assumptions, training data limitations, or model drift. If these technologies fail to operate as intended, or if they generate outcomes that are perceived as unfair, discriminatory, or otherwise inappropriate, our reputation, relationships with consumers and partners, and business results could be adversely affected. AI development or deployment practices by us or third-party providers could result in incidents that could increase the resources we need to implement cybersecurity measures to protect the security of our data. These deficiencies and other failures of any potential AI systems could subject us to competitive harm, regulatory action, legal liability, and brand or reputational harm.</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AI initiatives also rely, in part, on third-party technologies, data sources, and model providers, which may be subject to service disruptions, intellectual property claims, data usage restrictions, or changes in pricing or terms. In addition, evolving laws, regulations, and industry standards related to AI, data privacy, consumer protection, and automated decision-making may impose new compliance requirements, limit permissible uses of AI, or increase development and operational costs.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including changes in the consumer lending and insurance markets could harm our business, financial condition and results of operations.</w:t>
      </w:r>
    </w:p>
    <w:p>
      <w:pPr>
        <w:spacing w:after="0" w:line="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business is dependent on the products offered by our Network Partners across the consumer financial services and personal insurance industries. Changes in economic conditions, including general factors such as a slower pace of economic growth or recessionary periods, could negatively impact these industries and our business. Additionally, the lending products our Network partners offer within our Home and Consumer segments are dependent upon, among other things, the overall level of interest rates, home prices, availability of credit in the financial market and changes in underwriting standards. Our Insurance segment is dependent on the personal auto and home insurance industry, which can be negatively impacted by inflation, supply chain issues, rising car accident severity and frequency, as well as natural disasters such as hurricanes.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the health of the lending markets our Network Partners operate in, including purchase and refinance mortgages, home equity, business loans, personal loans, and credit card, are important to our business. Fluctuations and constraints in these markets in the past have harmed, and may in the future, harm our business, financial condition and results of operations. Economic factors such as increased interest rates, slow economic growth or recessionary conditions, the pace of home price appreciation or outright depreciation, changes in household debt levels, and increased unemployment or stagnant or declining wages can affect the lending markets broadly. National or global events, such as the COVID-19 pandemic, can also affect such macroeconomic conditions. These factors can affect the number of consumers applying for loans and overall loan approval rates, which can adversely affect our business. Increases in interest rates driven by the Federal Reserve Board’s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Federal Open Market Committee to combat a historically high rate of inflation may continue or decreases in interest rates may be delayed. Additional rate increases could pressure consumer demand for mortgage products, as well as our business, personal and credit card products, and thus could negatively impact our business.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Our insurance business, QuoteWizard, is significant to our revenue, and operational issues in this business could have a material impact on our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QuoteWizard business poses risks for our ongoing operations, including, but not limited to:</w:t>
      </w:r>
    </w:p>
    <w:p>
      <w:pPr>
        <w:spacing w:after="0" w:line="115" w:lineRule="exact"/>
        <w:rPr>
          <w:sz w:val="20"/>
          <w:szCs w:val="20"/>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insurance carriers and their willingness to issue policies;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losses among insurance carriers may increase beyond normal and budgeted levels which could cause a reduction in demand for leads;</w:t>
      </w:r>
    </w:p>
    <w:p>
      <w:pPr>
        <w:spacing w:after="0" w:line="115" w:lineRule="exact"/>
        <w:rPr>
          <w:rFonts w:ascii="Times New Roman" w:cs="Times New Roman" w:eastAsia="Times New Roman" w:hAnsi="Times New Roman"/>
          <w:sz w:val="18"/>
          <w:szCs w:val="18"/>
          <w:color w:val="auto"/>
        </w:rPr>
      </w:pPr>
    </w:p>
    <w:p>
      <w:pPr>
        <w:ind w:left="660" w:right="48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and other advertisers in the business verticals in which we or QuoteWizard operate may be unwilling to advertise on our or QuoteWizard’s websites or mobile applications;</w:t>
      </w:r>
    </w:p>
    <w:p>
      <w:pPr>
        <w:spacing w:after="0" w:line="54" w:lineRule="exact"/>
        <w:rPr>
          <w:rFonts w:ascii="Times New Roman" w:cs="Times New Roman" w:eastAsia="Times New Roman" w:hAnsi="Times New Roman"/>
          <w:sz w:val="18"/>
          <w:szCs w:val="18"/>
          <w:color w:val="auto"/>
        </w:rPr>
      </w:pPr>
    </w:p>
    <w:p>
      <w:pPr>
        <w:ind w:left="660" w:right="70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customers with large insurance carriers creates exposure to significant budget reductions from these customers that could negatively impact our business;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publishers may determine they no longer want QuoteWizard as an advertising partner;</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underwriting approval rates by insurance carrier customers;</w:t>
      </w:r>
    </w:p>
    <w:p>
      <w:pPr>
        <w:spacing w:after="0" w:line="115" w:lineRule="exact"/>
        <w:rPr>
          <w:rFonts w:ascii="Times New Roman" w:cs="Times New Roman" w:eastAsia="Times New Roman" w:hAnsi="Times New Roman"/>
          <w:sz w:val="18"/>
          <w:szCs w:val="18"/>
          <w:color w:val="auto"/>
        </w:rPr>
      </w:pPr>
    </w:p>
    <w:p>
      <w:pPr>
        <w:ind w:left="660" w:right="24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QuoteWizard’s website traffic, click-through rates, advertising rates, revenue, margins, and market share;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media may rise at a faster pace than QuoteWizard's monetization of traffic;</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competitive service to insurance carriers and to consumers using QuoteWizard’s and our online offerings and other platforms;</w:t>
      </w:r>
    </w:p>
    <w:p>
      <w:pPr>
        <w:spacing w:after="0" w:line="115"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may determine that the online digital marketing channel is no longer a viable marketing platform for generating new insurance customers;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agencies may hinder or disallow the operation of QuoteWizard's marketplace;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and/or laws that affect the ability of private insurance carriers to market products directly to the consumer;</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and/or laws that would replace private insurance programs with government run programs;</w:t>
      </w:r>
    </w:p>
    <w:p>
      <w:pPr>
        <w:spacing w:after="0" w:line="115" w:lineRule="exact"/>
        <w:rPr>
          <w:rFonts w:ascii="Times New Roman" w:cs="Times New Roman" w:eastAsia="Times New Roman" w:hAnsi="Times New Roman"/>
          <w:sz w:val="18"/>
          <w:szCs w:val="18"/>
          <w:color w:val="auto"/>
        </w:rPr>
      </w:pPr>
    </w:p>
    <w:p>
      <w:pPr>
        <w:ind w:left="660" w:right="54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LendingTree and QuoteWizard and to effectively leverage the LendingTree brand with the QuoteWizard brand;</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 of QuoteWizard;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 may not continue to perform as well as anticipated;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operating risks, including liabilities arising from data privacy and security laws and regulations or security breaches.</w:t>
      </w:r>
    </w:p>
    <w:p>
      <w:pPr>
        <w:spacing w:after="0" w:line="11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If the QuoteWizard business is impacted by the risks described above, then our results of operations and future growth prospects could be materially and adversely affected.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Personal loans are typically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requests generated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small business loans are a significant product within our Consumer segment and there are risks specific to this product that could have a material impact on our results of operations.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small business loans product has a renewal stream that is a significant part of the revenue of this product. Accounting Standards Codification Topic 606, Revenue from Contracts with Customers, requires the estimation and recognition of revenue for future renewals at the time of the original loan, which creates a contract asset. The contract asset is estimated using historical renewal and commission rates, but actual renewal revenue could differ from this estimate. The contract asset at December 31, 2025 for business loan renewals is $28.0 million. Any changes in future renewals or changes in the assumptions supporting the contract asset could have a material impact on our results of operations.</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Additionally, a significant portion of the business loans revenue is derived from one Network Partner and if we lose significant business from this partner, our results of operations could be adversely affected.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continually enhance our products and services and adapt them to technological changes and consumer and Network Partner needs, we may lose market share and revenue and our business could suffer.</w:t>
      </w:r>
    </w:p>
    <w:p>
      <w:pPr>
        <w:spacing w:after="0" w:line="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need to anticipate, develop and implement new products, services and applications on a timely and cost-effective basis that keep pace with technological developments and changing consumer and Network Partner needs. We are continually working to improve our consumer experience through enhancements to our products and services. However, we may not be able to develop products and services that are equivalent to or better than our competitors or that successfully meet our consumer and Network Partner needs. We may not be successful, or as successful as our competitors, in developing technologies and systems that operate effectively across multiple devices and platforms in a way that is appealing to our consumers and Network Partners. If we are unsuccessful in innovating, if we cannot innovate as quickly as our competitors, if we are not able to make sufficient investment in innovation, if new or existing competitors develop more cost-effective or efficient technologies or cause disintermediation (including through the use of artificial intelligence or other emerging technologies), or if our ideas are not accepted in the marketplace, it could have a material adverse effect on our business.</w:t>
      </w:r>
    </w:p>
    <w:p>
      <w:pPr>
        <w:spacing w:after="0" w:line="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Additionally, our interaction with our Network Partners is dependent on the technology and services we offer to these customers. Our inability to offer competitive technology solutions to support our Network Partners could have a negative impact on our business.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we fail to develop our websites or apps to respond to technological developments and changing consumer and Network Partner needs cost effectively, or if consumers and Network Partners respond negatively to changes, we may lose market share, which could materially and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are new to the market and may fail to achieve or maintain customer acceptance and profitability.</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in the past, launched a number of new products and may, in the future, launch new products. We do not have as much experience with new products as with other more mature products. Accordingly, new products may be subject to greater risks than our more mature products.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new products will depend on a number of factors, including, but not limited to:</w:t>
      </w:r>
    </w:p>
    <w:p>
      <w:pPr>
        <w:spacing w:after="0" w:line="115" w:lineRule="exact"/>
        <w:rPr>
          <w:sz w:val="20"/>
          <w:szCs w:val="20"/>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offered by our competitors and/or expected by consumers, and Network Partners;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by consumers and Network Partners;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 for these products;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and cost-effective marketing campaigns;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our Network Partners.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may suffer if we fail to successfully anticipate and manage these issues associated with new products.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consumers do not find value in our platforms, or do not like the consumer experience on the platforms, the number of matches on our platforms may decline, which would harm our business, financial condition and results of operations.</w:t>
      </w:r>
    </w:p>
    <w:p>
      <w:pPr>
        <w:spacing w:after="0" w:line="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that the growth of our business and revenue depends upon our ability to engage our existing users on our platforms and to add new users.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negatively affect our ability to grow our user base and engagement include, among others:</w:t>
      </w:r>
    </w:p>
    <w:p>
      <w:pPr>
        <w:spacing w:after="0" w:line="250" w:lineRule="exact"/>
        <w:rPr>
          <w:sz w:val="20"/>
          <w:szCs w:val="20"/>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users to new market entrants and/or existing competitors;</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obtain regulatory approvals necessary for expansion into new verticals, or to launch new products, product features or tools;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4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effectively use search engines, social media platforms, digital app stores, content-based online advertising, and other online sources for generating traffic to our platforms;</w:t>
      </w:r>
    </w:p>
    <w:p>
      <w:pPr>
        <w:spacing w:after="0" w:line="54"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platforms experience disruptions or outages;</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reputational harm to our brand including from negative publicity, whether accurate or inaccurate;</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4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offer new and competitive products, to provide effective updates to our existing products or to keep pace with technological improvements in our industry;</w:t>
      </w:r>
    </w:p>
    <w:p>
      <w:pPr>
        <w:spacing w:after="0" w:line="54"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user experience;</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address user concerns regarding the content, privacy, and security of our digital platforms;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innovate and improve our platforms by generating compelling content and tools; or</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new financial services providers use incentives to directly cross-sell their products, reducing consumer benefits of using multiple providers.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inability to overcome these challenges could impair our ability to engage users on our platforms, and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improve our products and services in ways that forego short-term gains.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successfully integrate acquired companies into our business, or our acquisitions may not meet our expectations, any of which would adversely affect our business, financial condition, and results of operations.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may divert the attention of management and cause us to incur significant expenses related to identifying, investigating, and pursuing suitable acquisitions, whether or not they are consummated. Even if we successfully acquire additional businesses or technologies, we may not achieve the anticipated benefits or synergies due to a number of factors, including but not limited to:</w:t>
      </w:r>
    </w:p>
    <w:p>
      <w:pPr>
        <w:spacing w:after="0" w:line="79" w:lineRule="exact"/>
        <w:rPr>
          <w:sz w:val="20"/>
          <w:szCs w:val="20"/>
          <w:color w:val="auto"/>
        </w:rPr>
      </w:pPr>
    </w:p>
    <w:p>
      <w:pPr>
        <w:ind w:left="660" w:hanging="330"/>
        <w:spacing w:after="0" w:line="28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management’s attention may be diverted from the management of daily operations to the integration of the businesses acquired in the acquisition;</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costs;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maintaining quality and security standards consistent with our brand;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anticipated synergies or unanticipated difficulty with integration into our corporate culture;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or implement additional controls, procedures, and policies;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existing business relationships with business partners as a result of the acquisition;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or the incurrence of debt to consummate the acquisition;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businesses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fully integrate the businesses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any undisclosed or potential liabilities;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businesses acquired in the acquisition may not perform as well as anticipated;</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in the business verticals in which we, or the acquired businesses we operate, may be unwilling to advertise on our websites or mobile applications;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the acquired businesses' website traffic, click-through rates, submitted consumer requests, advertising rates, revenue, margins, and market share;</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us and the acquired businesses and to effectively leverage the LendingTree brand with the newly acquired brands;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 and</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liabilities associated with the historical operations of the acquired businesses, including as a result of data privacy and security laws and regulations or security breaches.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 or strategic investments that we pursue may not be successful and could disrupt our business and harm our financial condition.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2025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have been and may continue to be adversely affected by public health issues, including epidemics or pandemics such as COVID-19.</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outbreaks, such as the global outbreak of COVID-19. The COVID-19 pandemic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in many states and communities. As a result, the demand for our products, in particular in our Consumer segment, was significantly impacted. The full impact of any widespread public health issue on our financial condition and results of operations will depend on the duration and scope of an outbreak (including any potential future waves, the emergence or re-emergence of variants and their transmissibility, and the success of vaccination programs and treatments), its impact on our consumers and our Network Partners, how quickly normal economic conditions, operations, and the demand for our services and products can resume, and any permanent behavioral changes that the pandemic may cause. The extent to which any widespread public health issue impacts our business, financial condition and results of operations, as well as our regulatory capital and liquidity ratios, will depend on future developments, which are highly uncertain and cannot be predicted.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people through the changes caused by the economic challenges, our business and results of operations could be harmed.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 reduction in our headcount as a result of both elevated turnover caused by the market as well as planned severances, which places substantial demand on remaining management and our operational infrastructure. As we manage through this change, we must effectively transition work and train, develop and motivate a large number of both existing and new employees, all while maintaining the beneficial aspects of our Company culture. If we do not manage the changing employee base effectively, the quality of our services and efficiency of our operations could suffer, which could harm our business and results of operations.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highly skilled personnel and if we are unable to attract, retain, develop and motivate well-qualified employees, or replace key personnel, our business and results of operations could be harmed. Loss of our key management and other personnel, including the recent unexpected passing our Founder, former Chairman and Chief Executive Officer, could adversely impact our business.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success has depended, continues to depend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and to develop and implement an adequate succession plan for the management team. The loss of any of our senior management or key employees could materially and adversely affect our ability to build on the efforts that they have undertaken and to execute our business plan, and we may not be able to find adequate replacements.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2025, we announced the unexpected passing of Doug Lebda, our Founder and former Chairman and Chief Executive Officer. Mr. Lebda had served as member of our board of directors and as our chief executive officer since January 2008. Following Mr. Lebda’s death, on October 13, 2025, our board of directors appointed Scott Peyree to serve as our President and Chief Executive Officer, effective immediately. Mr. Peyree will serve as our principal executive officer. Immediately prior to his appointment as our President and Chief Executive Officer, Mr. Peyree served as the Company’s Chief Operating Officer and President, LendingTree Marketplace. Our board of directors also appointed Mr. Peyree to the board of directors to fill the vacancy resulting from Mr. Lebda’s passing.</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Despite our current efforts, we cannot ensure that we will be able to retain the services of any members of our senior management or other key employees. Failure to attract, hire, develop, motivate, and retain highly qualified employee talent or failure to develop and implement an adequate succession plan for the management team could disrupt our operations and adversely affect our business and our future success.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our businesses to provide consumers with a high-quality experience depends, in part, on consumers receiving competitive levels of convenience, customer service, price and responsiveness from Network Partners participating on our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revenue is derived from one Network Partner and our results of operations could be adversely affected if we lose significant business from this Network Partner.</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one Network Partner accounted for 27% of total consolidated revenue. If this significant Network Partner were to cease purchasing consumer requests and we were unable to replace the associated demand, the loss could have a material adverse effect on our results of operations in the short term and potentially also the longer term. Also, if this Network Partner reduces its volume of consumer requests for any reason, our business could be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we may not be able to generate sufficient revenue to be profitable over the long term.</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incurred operating losses from continuing operations at times in our history and we have an accumulated deficit of $728.1 million at December 31, 2025. If we fail to maintain or grow our revenue and manage our expenses, we may incur significant losses in the future and not be able to maintain or increase our profitability.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2025 Credit Facility (as defined herein) contains financial covenants and other restrictions on our actions and it could therefore limit our operational flexibility or otherwise adversely affect our financial condition. Failure to comply with the terms of this facility could impair our rights to the assets that have been pledged as collateral under the facility.</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21, 2025, we entered into a $75.0 million revolving credit facility (the “2025 Revolving Facility”) and a $400.0 million term loan facility (the “2025 Term Loan” and together with the 2025 Revolving Facility, the “2025 Credit Facility”). The 2025 Credit Facility matures on August 21, 2030. The proceeds of the 2025 Credit Facility were used to refinance the 2021 Credit Facility and 2024 Term Loan, and can be used for working capital and general corporate purposes, and any other purpose not prohibited by the credit agreement. As of December 31, 2025, we have $399.0 million borrowings outstanding under the 2025 Term Loan.</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2025 Revolving Facility contains a restrictive financial covenant, which limits the amount of first lien consolidated debt to an EBITDA ratio. In addition, the 2025 Credit Facility contains customary affirmative and negative covenants, including, subject to certain exceptions, restrictions on our ability to, among other things:</w:t>
      </w:r>
    </w:p>
    <w:p>
      <w:pPr>
        <w:spacing w:after="0" w:line="69" w:lineRule="exact"/>
        <w:rPr>
          <w:sz w:val="20"/>
          <w:szCs w:val="20"/>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 or make certain fundamental changes;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including dividends, distributions, stock repurchases or redemptions;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transactions.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2025 Credit Facility requires us to pledge as collateral, subject to certain customary exclusions, substantially all of our assets. The obligations under this facility are unconditionally guaranteed, subject to certain customary exclusions, on a senior basis by our material domestic subsidiaries. The guaranties are secured, subject to certain customary exclusions, by substantially all of each such guarantor's assets.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If an event of default occurs or if we otherwise fail to comply with any of the negative or affirmative covenants of the 2025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2025 Credit Facility,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in the notes to the consolidated financial statements included elsewhere in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competitors, including from disintermediation,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currently operate in a highly competitive market and face competition from existing online marketing companies, new market entrants, and major technology platforms, including search engines, AI-based services, and content aggregators. Some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existing competitors have greater capital or more diversified product offerings, which they may leverage through strategic acquisitions or other means to our disadvantage. New entrants may be able to innovate or respond to consumer and Network Partner demand more quickly than we can.</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widespread adoption of AI, machine learning, and large language model-based tools presents an increasing risk of disintermediation. These technologies are enabling consumers to independently identify, compare, and apply for financial products without using a marketplace intermediary, and are facilitating direct connections between consumers and lenders. If consumers develop stronger brand loyalty to specific lenders, come to perceive comparison marketplaces as offering limited incremental value, or return directly to lenders for subsequent transactions, demand for our services could decline.</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model depends on our ability to serve as an effective intermediary between consumers and the lenders, insurers, and other financial service providers in our marketplace. If we are unable to counteract disintermediation trends through product innovation, investment in brand awareness, and expansion of our consumer value proposition, or if we are required to expend significant resources to remain competitive without success, our business, financial condition and results of operations could be materially and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and other resiliency measures in place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processing of consumer inquiries,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have occurred in the past and may occur in the future, and have in the past resulted in, and could in the future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Such claims could result in state and/or federal litigation and related financial liabilities, as well as criminal penalties or civil liabilities, regulatory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actions from state and/or federal governmental authorities, and significant fines, orders, sanctions, litigation and claims against us by consumers or third parties and related indemnification obligations. Actual or perceived security breaches or failures also have in the past caused, and may in the future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Such breaches, failures and fraudulent activity may take many forms, including check fraud, fraudulent inducement, electronic fraud, wire fraud, computer viruses, phishing, social engineering, denial or degradation of service attacks, malware, ransomware, deepfake, AI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consistent with industry standards and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business interruptions in certain jurisdictions, administrative fines or proceedings against us or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businesses by governmental agencies and/or litigation by consumers, which could materially and adversely affect our business, financial condition and results of operations and our brand.</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RESPA, and various state telemarketing and consumer protection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federal, state and in some instances, local laws regulate secured and unsecured lending, and insurance brokerage activities, which impact our marketplace, partners and consumers. These laws generally regulate the manner in which lending and lending-related activities, as well as insurance brokerage activities, are marketed or made available, including advertising and other consumer disclosures, payments for services and record-keeping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are also subject to various state, federal and/or local laws, rules and regulations limiting or prohibiting inducements, cash rebates and gifts to consumers, which impact our lead generation business,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Pursuant to the Dodd-Frank Act, the CFPB administers and enforces RESPA, and from time to time issues guidance related to various RESPA compliance topics (see e.g., CFPB Advisory Opinion “Real Estate Settlement Procedures Act (Regulation X); Digital Mortgage Comparison-Shopping Platforms and Related Payments to Operators” (February 7, 2023)). Some state authorities have also asserted enforcement rights.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applicability of referral-fee and fee-sharing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 RESPA and related regulations do, however, contain a number of provisions that allow for payments between unaffiliated entities, including market-based fees for the provision of non-referral goods, services or facilities and advertising arrangements. In addition, RESPA allows for referrals to affiliated entities, including joint ventures, when specific requirements have been met. We rely on these provisions in conducting our business activities.</w:t>
      </w:r>
    </w:p>
    <w:p>
      <w:pPr>
        <w:spacing w:after="0" w:line="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 xml:space="preserve">Violations of </w:t>
      </w:r>
      <w:r>
        <w:rPr>
          <w:rFonts w:ascii="Times New Roman" w:cs="Times New Roman" w:eastAsia="Times New Roman" w:hAnsi="Times New Roman"/>
          <w:sz w:val="18"/>
          <w:szCs w:val="18"/>
          <w:color w:val="000000"/>
        </w:rPr>
        <w:t>RESPA</w:t>
      </w:r>
      <w:r>
        <w:rPr>
          <w:rFonts w:ascii="Times New Roman" w:cs="Times New Roman" w:eastAsia="Times New Roman" w:hAnsi="Times New Roman"/>
          <w:sz w:val="18"/>
          <w:szCs w:val="18"/>
          <w:color w:val="231F20"/>
        </w:rPr>
        <w:t xml:space="preserve"> or similar state statutes can lead to claims of substantial damages, which may include (but are not limited to) fines, treble damages and attorneys' fees, government enforcement actions, civil and criminal liability, or other remedies. </w:t>
      </w:r>
      <w:r>
        <w:rPr>
          <w:rFonts w:ascii="Times New Roman" w:cs="Times New Roman" w:eastAsia="Times New Roman" w:hAnsi="Times New Roman"/>
          <w:sz w:val="18"/>
          <w:szCs w:val="18"/>
          <w:color w:val="000000"/>
        </w:rPr>
        <w:t>We diligently monitor and assess new regulatory guidance,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enforcement actions and court interpretations of RESPA as part of our ongoing compliance management program and devote substantial resources and management attention to regulatory compliance in light of such developments</w:t>
      </w:r>
      <w:r>
        <w:rPr>
          <w:rFonts w:ascii="Times New Roman" w:cs="Times New Roman" w:eastAsia="Times New Roman" w:hAnsi="Times New Roman"/>
          <w:sz w:val="18"/>
          <w:szCs w:val="18"/>
          <w:color w:val="231F20"/>
        </w:rPr>
        <w:t>.</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Various federal, state and, in some instances, local, laws also prohibit unfair, deceptive and abusive marketing and sales practices. We have adopted appropriate policies and procedures to address these requirements (such as appropriate consumer disclosures, call scripting, call monitoring and other quality assurance and compliance measures), but it is not possible to ensure that all employees comply with our policies and procedures at all times.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authorities and private plaintiffs may allege that we failed to comply with applicable laws, rules and regulations where we believe we have complied. These allegations may relate to past conduct and/or past business operations.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or use of technology such as AI,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course of our operations and the processing of consumer inquiries,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including the GLBA, that are intended to protect the privacy of personal information that is collected, used, stored, disclosed, transferred and otherwise processed in or from the governing jurisdiction. Some countries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CFPB and FTC, have adopted, or are considering adopting, laws and regulations concerning personal information and data privacy and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are subject to the GLBA, which restricts certain collection, storage, use, disclosure and other processing by covered companies of certain personal information, requires notice to individuals of privacy practices and provides individuals with certain rights to prevent the use and disclosure of certain non-public or otherwise legally protected personal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California Consumer Privacy Act (the “CCPA”), as amended by the California Privacy Rights Act ("CPRA"), requires covered companies to, among other things, provide certain disclosures to California residents and provide such residents with certain data protection and privacy rights, including the ability to opt-out of certain sales and shares of personal information. The CCPA provides for civil penalties for violations, as well as a private right of action for certain data breaches that result in the loss of certain personal information. This private right of action may increase the likelihood of, and risks associated with, data breach litigation. The CCPA contains several exemptions, including a provision to the effect that the CCPA does not apply where the personal information is collected, processed, sold or disclosed pursuant to the GLBA. It is possible that further amendments to the CCPA will be enacted, but even in their current forms it remains unclear how various provisions of the CCPA will be interpreted and enforced. Numerous other states also have enacted or are in the process of enacting state-level data privacy and security laws and regulations. In recent years, some states, including Oregon, Minnesota, and Montana have taken an approach similar to the CCPA in that their state privacy laws do not apply where the personal information is collected, processed, sold or disclosed pursuant to the GLBA. Meanwhile, a majority of states that have enacted data privacy laws have included a broader exemption by exempting entities that are subject to the GLBA. As more states take the CCPA approach by exempting only personal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subject to the GLBA, as opposed to exempting entities subject to the GLBA, compliance costs and data privacy risks may increase. Additionally, there is discussion in Congress of a new federal data protection and privacy law to which we may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regulatory and statutory requirements, both in the United States and abroad, include obligations for companies to notify individuals of data breaches involving certain personal information, which have in the past resulted from, and may in the future result from, breaches experienced by us or our external service providers. For example, laws in all 50 states require businesses to provide notice to consumers whose personal information has been disclosed as a result of a data breach. These laws are not consistent and compliance in the event of a widespread data breach is difficult and costly. Moreover, states have been frequently amending existing laws, requiring attention to changing regulatory requirements. We also may be contractually required to notify consumers or other third parties of a security breach. Although we may have contractual protections with our external service providers, actual or perceived security breaches have in the past resulted in, and may in the future result in, harm to our reputation and brand, exposure to potential liability or a need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policies and notices, and other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or our Network Partners or external service providers to comply with our posted privacy policies and notices or with any applicable federal, state or foreign laws, regulations, standards, certifications or orders relating to data privacy or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Most states require licenses to solicit, broker or make loans secured by residential mortgages and other consumer loans to residents of those states, as well as to operate real estate matching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our business and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tax legislation, effective tax rates or adverse outcomes resulting from examination of our income or other tax returns could adversely affect our operating results and financial condition.</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the changes in tax legislation or tax rates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rules or regulatory or judicial interpretations (including any attempt to tax online services such as those offered by us);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pre-tax consolidated federal net operating losses (“NOLs”) of $148.8 million. The federal NOLs do not expire and our NOLs will be available to offset taxable income subject to the limitations found in Internal Revenue Code Sections 382 and 383. In addition, we have state NOLs of approximately $423.1 million at December 31, 2025, some of which will expire at various times between 2026 and 2055. The state NOLs could expire before we are able to utilize them. If we experience one or more ownership changes in the future as a result of future transactions in our stock, our ability to utilize NOLs could be limited. Our ability to use certain of our state NOLs was limited on an annual basis in various jurisdictions by legislative updates specific to the individual jurisdictions.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2025, we maintain a partial valuation allowance on certain deferred tax assets. If we determine that it is more likely than not that some or all of our deferred tax assets will be realized, we may reduce or release our valuation allowance. Any such release could result in a significant, non-cash income tax benefit in the period recognized, which could materially affect our net income, effective tax rate, and period-to-period comparability of our results. Investors should not assume that any such benefit would be indicative of our future operating performance.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we had deferred tax assets related to stock-based compensation awards of $22.9 million. A portion of these deferred tax assets relates to stock options that are currently out-of-the-money. Realization of these deferred tax assets depends on our stock prices prior to expiration. If these options expire unexercised, the associated tax benefits will not be realized and will result in additional tax expense in the period of expiration.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or we may disagree that our products, technology or services 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Patent litigation tends to be particularly protracted and expensive. Our technologies may not be able to withstand any third-party claims against their use.</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technology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79" w:lineRule="exact"/>
        <w:rPr>
          <w:sz w:val="20"/>
          <w:szCs w:val="20"/>
          <w:color w:val="auto"/>
        </w:rPr>
      </w:pPr>
    </w:p>
    <w:p>
      <w:pPr>
        <w:ind w:left="660" w:hanging="330"/>
        <w:spacing w:after="0" w:line="28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technology or services that incorporate the intellectual property rights that we allegedly infringe, misappropriate or violate;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or rebrand the allegedly infringing products or services to avoid infringement, misappropriation or violation, which could be costly, time-consuming or impossible.</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granted one U.S. patent and from time to time we may have patent applications pending with the USPTO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legal proceedings and claims which have involved and may in the future involve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consolidated financial statements may be harmed by improper conduct by our business partners.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and security.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liability against us, claims of vicarious liability or a negative impact on our reputation and business.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states in which our businesses maintain licenses require us to collect various loan documents and loan data from our Network Partners and produce these documents and data for examination by state regulators. While our Network Partners are contractually obligated to provide these documents and data upon request, these measures may be insufficient. Failure to produce required documents and data for examination could result in fines, as well as the revocation of our licenses to operate in certain states, which could have a material and adverse effect on our business, financial condition and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consolidated financial statements for prior periods and a decline in the market price of our stock.</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current internal controls and any new controls we implement may become inadequate because of changes in conditions in our business or information technology systems or changes in the applicable laws, regulations and standards. We may, in the future, acquire or invest in companies that were not subject to the Sarbanes-Oxley regulations prior to acquisition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certain investments or our acquired companies could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increasingly use automated tools, including AI and machine learning technologies, in connection with data analysis, financial reporting processes, and internal controls. These technologies may be complex, may lack transparency, and may change over time in ways that are difficult to predict or detect. If our internal control framework does not appropriately address the design, implementation, monitoring, and change management of such technologies, or if we place undue reliance on automated outputs without sufficient human oversight, we may be unable to maintain effective internal control over financial reporting or disclosure controls and procedures. Any such failure could result in errors in our financial statements, delays in our reporting obligations, or a determination that our controls are ineffective, which could adversely affect investor confidence and our stock price.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Foreign Corrupt Practices Act (“FCPA”), which could have a material adverse effect on our business.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mobile carriers and their partners could negatively affect our business.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 Consumer use of the Internet, including use of AI in search rather than search engines, may also impact our business and pose a risk to us.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AI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along with the rescission of prior rules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quarter-to-quarter earnings and other factors may result in significant decreases in the price of our common stock.</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market price for our common stock has been volatile. From when we became a publicly-traded company to as of December 31, 2025,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74" w:lineRule="exact"/>
        <w:rPr>
          <w:sz w:val="20"/>
          <w:szCs w:val="20"/>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frequent new product introductions and evolving industry standards;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and financial results or our projected operating and financial results;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earnings estimates;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Network Partners or our industry;</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preferred or common stock we may issue in the future;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actions by stockholders, including “activist” investors;</w:t>
      </w:r>
    </w:p>
    <w:p>
      <w:pPr>
        <w:spacing w:after="0" w:line="115"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companies in our industry, including our Network Partners and competitors;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one or more large, well-established technology companies;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data center, website and internet failures, breaches and service interruptions;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including the short selling of our common stock;</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affecting our industry or enforcement of these laws and regulations, or announcements relating to these matters;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ligation;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Prior to his passing in 2025, our former Chairman and Chief Executive Officer owned a substantial portion of our outstanding common stock. His heirs and successors may exert substantial voting control over corporate matters.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Prior to his passing on October 12, 2025, our former Chairman and Chief Executive Officer beneficially owned approximately 18% of our common stock. While no single heir or successor currently claims beneficial ownership of 10% or more of our common stock, his heirs and successors collectively hold a substantial portion of our outstanding shares. Should they in the future choose to act collectively, they would have substantial voting control over corporate matters, limiting other stockholders’ ability to influence corporate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existing stockholders may cause our stock price to fall.</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stockholders to replace or remove members of our board of directors and our current management and could negatively impact the market price of our common stock.</w:t>
      </w:r>
    </w:p>
    <w:p>
      <w:pPr>
        <w:spacing w:after="0" w:line="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and restated (“bylaws”), may have the effect of delaying or preventing a change of control. These provisions could also make it difficult for stockholders to elect directors that are not nominated by the current members of our board of directors or take other corporate actions, including effecting changes in our management. Our amended and restated certificate of incorporation and/or bylaws include provisions that:</w:t>
      </w:r>
    </w:p>
    <w:p>
      <w:pPr>
        <w:spacing w:after="0" w:line="74" w:lineRule="exact"/>
        <w:rPr>
          <w:sz w:val="20"/>
          <w:szCs w:val="20"/>
          <w:color w:val="auto"/>
        </w:rPr>
      </w:pPr>
    </w:p>
    <w:p>
      <w:pPr>
        <w:ind w:left="660" w:hanging="330"/>
        <w:spacing w:after="0" w:line="280" w:lineRule="auto"/>
        <w:tabs>
          <w:tab w:leader="none" w:pos="652"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authorize our board of directors to issue, without further action by our stockholders, up to 5,000,000 shares of undesignated preferred stock, sometimes referred to as “blank check preferred”;</w:t>
      </w:r>
    </w:p>
    <w:p>
      <w:pPr>
        <w:spacing w:after="0" w:line="54"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the affirmative vote of a majority of directors then in office or by the sole remaining director;</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board of directors may change the size of our board of directors;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taking action by written consent.</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substantially all disputes between the Company and its stockholders, which could limit stockholders’ ability to obtain a favorable judicial forum for disputes with our Company or our directors, officers or employees.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sole and exclusive forum for: (i) any derivative action or proceeding brought on behalf of us, (ii) any action asserting a claim of breach of a fiduciary duty owed by any director, officer or other employee of our Company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result in increased costs to our stockholders, which may discourage such lawsuits against us and our directors, officers and other employees. Alternatively, if a court were to find our choice of forum provisions contained in our bylaws to be inapplicable or unenforceable in an action, we may incur additional costs associated with resolving such action in other jurisdictions, which could harm our business,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common stock in the foreseeable future.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not declared or paid a cash dividend on our common stock in over ten years. We have no current intention to declare or pay cash dividends on our common stock in the foreseeable future. In addition, the 2025 Credit Facility contains certain restrictions on our ability to pay dividends.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 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Several of our products are subject to seasonal trends. Products in our Home segment have seasonal trends that reflect the general patterns of the mortgage industry and housing sales, which typically peak in the spring and summer seasons and decline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1. Business—Seasonality included elsewhere in this Annual Report for more information. Any of these seasonal trends, or the combination of them, may negatively impact the price of our common stock.</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2025 Credit Facility limits our ability to incur additional indebtedness, this restriction is subject to a number of qualifications and exceptions and may be amended with the consent of our lenders. Accordingly, under certain circumstances, we may incur substantial additional debt.</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it will enhance long-term stockholder value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a plan authorized for the repurchase of our common stock, we cannot guarantee that the stock repurchase program will be fully consummated or that it will enhance long-term stockholder value. Our ability to repurchase stock is limited by our 2025 Credit Facility. The program could affect the trading price of our stock and increase volatility, and any announcement of a termination or change of this program may result in a decrease in the trading price of our stock. In addition, any purchases made under this program may diminish our cash reserves. There were no repurchases during the years ended December 31, 2025 and 2024. At December 31, 2025, $96.7 million remains authorized for share repurchase.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indefinite-lived intangible assets become impaired, we may be required to record a significant charge to earnings.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consolidated financial statements during a period in which any impairment of our goodwill or indefinite-lived intangible assets is determined, negatively impacting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may adversely affect our operating results.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or relocation expenses;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useful lives of intangible assets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or changes to, assumed contingent liabilities;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any contingent consideration;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duplicative pre-merger activities;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from expenses incurred to effect the acquisition;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the expensing of certain stock awards assumed in an acquisition.</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119"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Cybersecurity risk oversight is a top priority for management and our board of directors. Management is responsible for the day-to-day management of cybersecurity risks we face, while our board of directors, as a whole and through committees, is responsible for the oversight of risk management.</w:t>
      </w:r>
    </w:p>
    <w:p>
      <w:pPr>
        <w:spacing w:after="0" w:line="55"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Our Chief Information Security Officer (“CISO”) is responsible for the assessment and management of cybersecurity risk. The individual currently serving as our CISO has over twenty-five years of experience in cybersecurity, information security, and risk management within the financial services industry. The CISO reports to our Chief Executive Officer (“CEO”) and provides updates to him on a regular basis of any cybersecurity matters.</w:t>
      </w:r>
    </w:p>
    <w:p>
      <w:pPr>
        <w:spacing w:after="0" w:line="69" w:lineRule="exact"/>
        <w:rPr>
          <w:sz w:val="20"/>
          <w:szCs w:val="20"/>
          <w:color w:val="auto"/>
        </w:rPr>
      </w:pPr>
    </w:p>
    <w:p>
      <w:pPr>
        <w:jc w:val="both"/>
        <w:ind w:firstLine="444"/>
        <w:spacing w:after="0" w:line="256" w:lineRule="auto"/>
        <w:rPr>
          <w:sz w:val="20"/>
          <w:szCs w:val="20"/>
          <w:color w:val="auto"/>
        </w:rPr>
      </w:pPr>
      <w:r>
        <w:rPr>
          <w:rFonts w:ascii="Times New Roman" w:cs="Times New Roman" w:eastAsia="Times New Roman" w:hAnsi="Times New Roman"/>
          <w:sz w:val="18"/>
          <w:szCs w:val="18"/>
          <w:color w:val="auto"/>
        </w:rPr>
        <w:t>Our board of directors oversees the management of our risks from cybersecurity threats. The board of directors has delegated the responsibility for the oversight of our cybersecurity risks program to the Audit Committee. The CISO provides cybersecurity updates to our Audit Committee as needed but at least on a quarterly basis covering cybersecurity matters, including a security scorecard, updates on policies, significant incidents or new developments in our cybersecurity risk profile. Our incident response process contemplates that management will notify the audit committee of a material cybersecurity incident.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11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Cybersecurity is critical to our ongoing business as a provider of online marketplaces where consumers shop for financial services. Securing our business information, intellectual property, consumer, customer and employee data and technology systems is essential for the continuity of our business, meeting applicable regulatory requirements and maintaining the trust of our stakeholders.</w:t>
      </w:r>
    </w:p>
    <w:p>
      <w:pPr>
        <w:spacing w:after="0" w:line="6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To help protect the Company from a major cybersecurity incident that could have a material impact on operations or our financial results, we have implemented policies, procedures, programs and controls, including technology investments that focus on cybersecurity incident prevention, identification and mitigation. The steps we take to reduce our vulnerability to cyberattacks and to mitigate impacts from cybersecurity incidents include but are not limited to: establishing information security policies and standards, implementing information protection processes and technologies, monitoring our information technology systems for cybersecurity threats, assessing cybersecurity risk profiles of key third-parties, engaging third party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experts and implementing cybersecurity training for our employees. Our cybersecurity risk management program leverages the National Institute of Standards and Technology (“NIST”) framework, which organizes cybersecurity risks into five categories: identify, protect, detect, respond and recover. We regularly assess the threat landscape and take a holistic view of cybersecurity risks, with a layered cybersecurity strategy based on prevention, detection and mitigation.</w:t>
      </w:r>
    </w:p>
    <w:p>
      <w:pPr>
        <w:spacing w:after="0" w:line="74"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regularly test defenses by performing simulations and drills at both a technical level (including through penetration tests) and by reviewing our operational policies and procedures. At the management level, our IT security team regularly monitors alerts and meets to discuss threat levels, trends and remediation. The team also prepares a monthly cyber scorecard, regularly collects data on cybersecurity threats and risk areas and conducts an annual cybersecurity risk assessment. Further, we conduct periodic external penetration tests to assess our processes and procedures and the threat landscape. These tests and assessments are useful tools for maintaining a cybersecurity program to protect our investors, consumers, customers, employees, vendors, and intellectual property.</w:t>
      </w:r>
    </w:p>
    <w:p>
      <w:pPr>
        <w:spacing w:after="0" w:line="7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Additionally, we follow a cybersecurity incident response process that provides a framework for responding to cybersecurity incidents. The process identifies applicable requirements for incident disclosure and reporting and also provides protocols for incident evaluation, including the use of third-party service providers and partners, processes for notification and internal escalation of information to our senior management, the Board and the audit committee. It also addresses requirements for our external reporting obligations. The cybersecurity incident response process is reviewed and updated, as necessary, under the leadership of the Company’s Chief Information Security Officer and General Counsel.</w:t>
      </w:r>
    </w:p>
    <w:p>
      <w:pPr>
        <w:spacing w:after="0" w:line="7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we did not experience a material cybersecurity incident during the year ended December 31, 2025, the scope and impact of any future incident cannot be predicted. Notwithstanding the approach we take to cybersecurity, we may not be successful in preventing or mitigating a cybersecurity incident that could have a material adverse effect on our business, results of operations, or financial condition. See “Item 1A. Risk Factors” for more information on our cybersecurity-related risks.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principal executive offices are located on approximately 129,000 square feet of office space in Charlotte, North Carolina under a lease that expires in 2036.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offices in: Denver, Colorado; Seattle, Washington; Ahmedabad, India; and Hyderabad, India.</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Charlotte operations support all three of our segments: Home, Consumer and Insurance. The Consumer segment has personnel in the Ahmedabad and Hyderabad offices. The Insurance segment has personnel in the Denver and Seattle offices.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The settlement was approved by the court on September 29, 2025, and the matter was dismissed with prejudice.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Contingencies in the notes to the consolidated financial statements included elsewhere in this report for a discussion of our current and recently settled litigation.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 Holders and Dividends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ticker symbol “TREE” since August 2008.</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6, 2026, there were approximately 397 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Set forth below is a line graph, for the period from December 31, 2020 through December 31, 2025,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5417820" cy="4505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45053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Mr. Lebda’s employment agreement, in lieu of receiving cash payment in respect of Mr. Lebda’s base salary, Mr. Lebda elected to receive a portion of his 2024 base salary in Company stock. During the year ended December 31, 2025, the Company agreed to issue and Mr. Lebda agreed to accept 421 shares of the Company’s common stock. This amount represents the net (after tax withholding) amount of Mr. Lebda’s salary during a portion of the year ended December 31, 2024. The issuance of these securities was exempt from registration pursuant to Section 4(a)(2) of the Securities Act of 1933.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2025 Credit Facility limits stock repurchases. During the quarter ended December 31, 2025, no shares of common stock were repurchased under the stock repurchase program. As of December 31, 2025 and March 6, 2026, approximately $96.7 million is authorized for future share repurchases.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approved by our stockholders on June 21, 2023,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2025, 4,765 shares were purchased related to these obligations under the LendingTree 2023 Stock Plan. The withholding of those shares does not affect the dollar amount or number of shares that may be purchased under the stock repurchase program described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21"/>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4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tcPr>
          <w:p>
            <w:pPr>
              <w:jc w:val="center"/>
              <w:ind w:left="28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jc w:val="center"/>
              <w:ind w:right="221"/>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26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4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2"/>
        </w:trPr>
        <w:tc>
          <w:tcPr>
            <w:tcW w:w="2680" w:type="dxa"/>
            <w:vAlign w:val="bottom"/>
            <w:gridSpan w:val="2"/>
            <w:vMerge w:val="continue"/>
          </w:tcPr>
          <w:p>
            <w:pPr>
              <w:spacing w:after="0"/>
              <w:rPr>
                <w:sz w:val="17"/>
                <w:szCs w:val="17"/>
                <w:color w:val="auto"/>
              </w:rPr>
            </w:pPr>
          </w:p>
        </w:tc>
        <w:tc>
          <w:tcPr>
            <w:tcW w:w="208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b w:val="1"/>
                <w:bCs w:val="1"/>
                <w:color w:val="auto"/>
                <w:w w:val="99"/>
              </w:rPr>
              <w:t xml:space="preserve">Shares Purchased </w:t>
            </w:r>
            <w:r>
              <w:rPr>
                <w:rFonts w:ascii="Times New Roman" w:cs="Times New Roman" w:eastAsia="Times New Roman" w:hAnsi="Times New Roman"/>
                <w:sz w:val="18"/>
                <w:szCs w:val="18"/>
                <w:b w:val="1"/>
                <w:bCs w:val="1"/>
                <w:color w:val="auto"/>
                <w:w w:val="99"/>
                <w:vertAlign w:val="superscript"/>
              </w:rPr>
              <w:t>(1)</w:t>
            </w:r>
          </w:p>
        </w:tc>
        <w:tc>
          <w:tcPr>
            <w:tcW w:w="2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tcPr>
          <w:p>
            <w:pPr>
              <w:jc w:val="center"/>
              <w:ind w:left="288"/>
              <w:spacing w:after="0" w:line="201"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9"/>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10/1/25 - 10/31/25</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11/1/25 - 11/30/25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12/1/25 - 12/31/25</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64"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October 2025, November 2025, and December 2025, 2,144 shares, 1,983 shares, and 638 shares, respectively (totaling 4,765 shares), were purchased to satisfy federal and state withholding obligations of our employees upon the settlement of restricted stock units, all in accordance with our 2023 Stock Plan and 2023 Inducement Grant Plan, as described above.</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inflationary pressures and interest rates, and any resulting impacts on our financial position and results of operations.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2023, the challenging interest rate environment and inflationary pressures presented challenges for many of our mortgage, consumer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Our Consumer segment was also negatively impacted by economic conditions, with successive Federal Reserve rate increases having their intended effect of tightening financial conditions. The availability of credit contracted and lenders were less inclined to make loans in an environment with high inflation and significantly increased cost of capital. In our Insurance segment, demand from our carrier partners remained volatile for much of the year as they continued to deal with persistent industry headwinds. In the last months of 2023, we began to see advertising budgets from our carrier partners increase.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the challenging interest rate environment and inflationary pressures continued to present challenges for many of our mortgage lending partners. In our Home segment, mortgage rates remained relatively consistent in 2024, with the annual average mortgage rate in 2024 of 6.7% compared to 6.8% in 2023. However, these rates are more than doubled compared to the low annual average mortgage rates seen in 2021. The increased mortgage rates continued to cause reduced refinance volumes and continued to put pressure on purchase activity. Additionally, the restrictive lending conditions continued to pressure our Consumer segment. In our Insurance segment, demand from our carrier partners increased significantly in 2024.</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we continue to see high interest rates, inflationary pressures and low existing home sales negatively impacting our mortgage lending partners. In our Home segment, mortgage rates remained relatively consistent in 2025, with the annual average mortgage rate in 2025 of 6.6% compared to 6.7% in 2024, but remain significantly increased compared to the low rates seen in 2021. A shortage of in-the-money refinance borrowers persists given the current higher level of mortgage rates, and historically low existing home sales are suppressing consumer demand for purchase loans. Our Consumer segment has benefited from the recent Federal Reserve rate decreases, and our lenders are generally broadening in credit appetite. In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auto"/>
        </w:rPr>
        <w:t>Insurance segment, carriers are broadly experiencing strong automotive underwriting results following multiple quarters of premium increases and stable loss cost trends. We are optimistic about maintaining the strong performance in the Insurance segment as we head into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refinancings,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 and, accordingly, lenders receive more organic mortgage lead volume. Due to lower lender demand, our revenue earned per consumer typically decreases, but with correspondingly lower selling and marketing costs.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Freddie Mac, 30-year mortgage interest rates increased significantly during 2022, from a monthly average of 3.45% in January 2022, ending at a monthly average of 6.36% in December 2022. During 2023, 30-year mortgage interest rates reached a high of 7.62% in October. During 2024, 30-year mortgage interest rates remained relatively consistent, starting the year at a monthly average of 6.64% in January 2024 and ending at a monthly average of 6.72% in December 2024. During 2025, 30-year mortgage interest rates started the year at a monthly average of 6.96% in January 2025 and ended at a monthly average rate of 6.19% in December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full-year basis, 30-year mortgage interest rates have been in a narrow range with an average of 6.60% in 2025, 6.72% in 2024, and 6.80% in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5230495" cy="4052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3049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of total mortgage origination dollars increased to 34% in 2025 from 21% in 2024 and 15% in 2023 due to the slight easing in average mortgage rates. Total refinance origination dollars increased by 99% in 2025 over 2024 and increased 59% in 2024 over 2023. Industry-wide mortgage origination dollars increased by 22% in 2025 over 2024 and increased 16% in 2024 over 2023.</w:t>
      </w:r>
    </w:p>
    <w:p>
      <w:pPr>
        <w:spacing w:after="0" w:line="13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Looking forward, the MBA is projecting 30-year mortgage interest rates to decrease slightly in 2026 to an average of 6.1%. According to MBA projections, the mix of mortgage origination dollars is expected to remain primarily with purchase mortgages with the refinance share representing just 34% for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According to Fannie Mae data, existing home sales decreased 19% in 2023 compared to 2022 and decreased a further 1% in 2024 from 2023. Existing home sales were flat in 2025. Fannie Mae expects a 7% increase in existing home sales in 2026 compared to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Maturity</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July 15, 2025, we repaid the $95.3 million outstanding principal amount of our 0.50% Convertible Senior Notes ("2025 Notes") upon maturity in cash plus $0.2 million of accrued interest. Upon this repayment, the 2025 Notes were extinguished and repaid in full, and we have no further obligations with respect to the 2025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Credit Facility and Refinancing</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21, 2025, we entered into a $475.0 million first lien term loan facility (the "2025 Facility") consisting of a $75 million revolving credit facility (the "2025 Revolving Facility") and a $400.0 million term loan facility (the "2025 Term Loan"), both with maturities of August 21, 2030. Proceeds from the 2025 Facility were used to refinance the Credit Agreement (as defined herein) and 2024 Term Loan (as defined herein) and for working capital and general corporate purposes.</w:t>
      </w:r>
    </w:p>
    <w:p>
      <w:pPr>
        <w:spacing w:after="0" w:line="128" w:lineRule="exact"/>
        <w:rPr>
          <w:sz w:val="20"/>
          <w:szCs w:val="20"/>
          <w:color w:val="auto"/>
        </w:rPr>
      </w:pPr>
    </w:p>
    <w:p>
      <w:pPr>
        <w:ind w:right="2000"/>
        <w:spacing w:after="0" w:line="405" w:lineRule="auto"/>
        <w:rPr>
          <w:sz w:val="20"/>
          <w:szCs w:val="20"/>
          <w:color w:val="auto"/>
        </w:rPr>
      </w:pPr>
      <w:r>
        <w:rPr>
          <w:rFonts w:ascii="Times New Roman" w:cs="Times New Roman" w:eastAsia="Times New Roman" w:hAnsi="Times New Roman"/>
          <w:sz w:val="18"/>
          <w:szCs w:val="18"/>
          <w:color w:val="auto"/>
        </w:rPr>
        <w:t xml:space="preserve">For more information, see Note 13—Debt, in the notes to the consolidated financial statements included elsewhere in this report. </w:t>
      </w:r>
      <w:r>
        <w:rPr>
          <w:rFonts w:ascii="Times New Roman" w:cs="Times New Roman" w:eastAsia="Times New Roman" w:hAnsi="Times New Roman"/>
          <w:sz w:val="18"/>
          <w:szCs w:val="18"/>
          <w:b w:val="1"/>
          <w:bCs w:val="1"/>
          <w:color w:val="auto"/>
        </w:rPr>
        <w:t>Cost Reductions and Simplification of Business</w:t>
      </w: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2023, we committed to a workforce reduction plan (the “Reduction Plan”), to reduce operating costs, which included the elimination of approximately 13% of the Company’s workforce. As a result of the Reduction Plan, we incurred approximately $5.3 million in severance charges in connection with the workforce reduction. Part of this Reduction Plan included the shutdown of our LendingTree customer call center as well as our Medicare insurance agency operations within QuoteWizard. We estimate the Reduction Plan reduced annual compensation expense by approximately $14 million, comprised of $2 million in cost of revenue, $4 million in selling and marketing expense, $3 million in general and administrative expense, and $5 million in product development.</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September 2023, we completed workforce reductions of 14 employees. We incurred $0.9 million in severance charges in connection with the workforce reductions, consisting of cash expenditures for employee separation costs of approximately $0.7 million and non-cash charges for the accelerated vesting of certain equity awards of approximately $0.2 million.</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Separately, we made the decision to close our Ovation credit services business, an asset group within our Consumer segment, by mid- 2023. As a result, the Company recorded an asset impairment charge of $4.2 million in 2023 related to the write-off of certain long-term assets. Additionally, we incurred $2.1 million in severance charges in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was capital-intensive, required elevated overhead, and future prospects were becoming uncertain.</w:t>
      </w:r>
    </w:p>
    <w:p>
      <w:pPr>
        <w:spacing w:after="0" w:line="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and earnings may fluctuate from time to time as a result of changes to federal, state, and industry-based laws and regulations, or changes to standards concerning the enforcement thereof. On January 26, 2024, the U.S. Federal Communications Commission (the “FCC”) published regulations which, among other things, amended the consent requirements of the Telephone Consumer Protection Act of 1991 to close what the FCC refers to as the “lead generator loophole” by requiring “one-to-one consent” for outbound telemarketing calls or texts made using an automatic telephone dialing system or pre-recorded or artificial voice messages to wireless or residential numbers. The new “one-to-one consent” rule was scheduled to take effect on January 27, 2025.</w:t>
      </w:r>
    </w:p>
    <w:p>
      <w:pPr>
        <w:spacing w:after="0" w:line="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However, on January 24, 2025, in Insurance Marketing Coalition Limited. v. Federal Communications Commission, the United States Court of Appeals for the Eleventh Circuit ruled that the “one-to-one consent” requirement was improper, preventing its implementation.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17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 xml:space="preserve">For information on fiscal 2023 results and similar comparisons,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 Management's Discussion and Analysis of Financial Condition and Results of Operations—Results of Operations for the Years ended December 31, 2024 and 2023 of our Form 10-K for the fiscal year ended December 31, 2024.</w:t>
      </w: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2300" w:type="dxa"/>
            <w:vAlign w:val="bottom"/>
            <w:gridSpan w:val="2"/>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732"/>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tcPr>
          <w:p>
            <w:pPr>
              <w:jc w:val="right"/>
              <w:ind w:right="371"/>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812"/>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151,764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22,910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253,370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30,908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711,880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163,176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111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1,117,324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217,105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separately below)</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42,525</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6,453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812,904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176,941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112,888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45,251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16,459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1,125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15,661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11,864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1,052,511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855,592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196,919</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64,813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20,186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18,938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(57,160)</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21,024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58,408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156 %</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130,284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(134,604)</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 %</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151,308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193,012</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463 %</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in 2025 compared to 2024 due to increases in our Insurance, Consumer and Home segments.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from our Insurance segment increased $163.2 million, or 30%, to $711.9 million in 2025 from $548.7 million in 2024. The increase in revenue was due to a 22% increase volume, representing $127.0 million of the increase and a 7% increase in revenue earned per consumer, representing $36.2 million of the increase. We measure volume for our insurance product as the number of consumer request forms and in certain cases of re-engagement with a consumer, the number of subsequent consumer engagements through our platform.</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student loans, auto loans, deposit accounts, and other credit products. Many of our Consumer segment products are not individually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significant to revenue. Revenue from our Consumer segment increased $30.9 million in 2025 from 2024, or 14%, primarily due to increases in small business and personal loans, partially offset by a decrease in credit cards.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from our personal loans product increased $13.0 million, or 13%, to $114.4 million in 2025 from $101.4 million in 2024. The increase in revenue was primarily due to a 14% increase in volume, representing $13.9 million of an increase. We measure volume for our personal loans product as the number of unique consumers completing request forms.</w:t>
      </w:r>
    </w:p>
    <w:p>
      <w:pPr>
        <w:spacing w:after="0" w:line="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the periods presented, no other products in our Consumer segment represented more than 10% of revenue; however, certain other Consumer products experienced notable changes. Revenue from our small business loans product increased $33.7 million, or 60%, in 2025 compared to 2024, due to increases in the number of consumers completing request forms and revenue earned per consumer. Revenue from our credit cards product decreased $10.3 million, or 43% in 2025 compared to 2024 primarily due to a decrease in revenue earned per click and volume.</w:t>
      </w:r>
    </w:p>
    <w:p>
      <w:pPr>
        <w:spacing w:after="0" w:line="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increased $22.9 million, or 18%, in 2025 from 2024 primarily due to to an increase in revenue from our home equity loans product.</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from our home equity loans and lines of credit product increased $22.3 million, or 26%, to $109.8 million in 2025 from $87.5 million in 2024. The increase in revenue was due to a 47% increase in volume, representing an increase of $35.1 million, partially offset by a 15% decrease in revenue earned per consumer, representing a $12.8 million decrease. We measure volume for our home equity loans and lines of credit as the number of consumers completing request forms.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1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increased in 2025 compared to 2024 primarily due to an increase in compensation and benefits of $5.6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as a percentage of revenue remained consistent at 4% in 2025 and in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advertisement is first run.</w:t>
      </w:r>
    </w:p>
    <w:p>
      <w:pPr>
        <w:spacing w:after="0" w:line="7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Selling and marketing expense increased in 2025 compared to 2024 primarily due to the $174.8 million increase in advertising and promotional expense discussed below.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Pr>
          <w:p>
            <w:pPr>
              <w:spacing w:after="0"/>
              <w:rPr>
                <w:sz w:val="18"/>
                <w:szCs w:val="18"/>
                <w:color w:val="auto"/>
              </w:rPr>
            </w:pPr>
          </w:p>
        </w:tc>
        <w:tc>
          <w:tcPr>
            <w:tcW w:w="2380" w:type="dxa"/>
            <w:vAlign w:val="bottom"/>
            <w:gridSpan w:val="2"/>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4"/>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tcBorders>
          </w:tcPr>
          <w:p>
            <w:pPr>
              <w:jc w:val="right"/>
              <w:ind w:right="553"/>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766,416</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592,019</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174,397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3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4,248</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398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and promotional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770,680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595,908</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174,772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adjusted our advertising expenditures in 2025 compared to 2024 in response to changes in Network Partner demand on our marketplace. We will continue to adjust selling and marketing expenditures dynamically in response to anticipated revenue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increased in 2025 compared to 2024, primarily due to an increase in compensation and benefits of $9.0 million.</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Non-cash compensation expense, included in total compensation and benefits noted above, within general and administrative expense increased in 2025 compared to 2024 primarily due to the acceleration of non-cash compensation expense of $5.8 million on certain equity awards associated with our previous Founder and Chief Executive Officer.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Note—11-Stock-Based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10% in 2025 from 12% in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2025 and 2024, we incurred $15.2 million and $3.8 million, respectively, of expenses for litigation contingencies due to the Mantha litigation.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 Contingencies in the notes to the consolidated financial statements for additional information on litigation matters.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March 2024 and March 2025, we drew $125.0 million and $50 million, respectively, on the 2024 Term Loan (as defined herein). The incremental borrowing in 2024 and 2025 resulted in an increase of $2.5 million of interest expense in 2025 compared to 2024.</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third quarter of 2025, we refinanced our Credit Agreement (as defined herein) and 2024 Term Loan, which collectively had $402.8 million outstanding, with proceeds from the $400.0 million 2025 Term Loan (as defined herein) and cash on hand at par plus accrued and unpaid interest. As a result of the refinancing, we recognized a loss on the extinguishment of $7.9 million due to the write-off of unamortized debt issuance costs and original issue discount costs which are included in interest expense, net in the consolidated statement of operations and comprehensive income.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which is included in interest expense, net in the consolidated statement of operations and comprehensive income.</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third quarter of 2024, we repurchased approximately $7.6 million in principal amount of our 2025 Notes for $7.2 million and in the second quarter of 2024, we repurchased approximately $161.3 million in principal amount of our 2025 Notes for $151.7 million. As a result of these repurchases, we recognized a gain on the extinguishment of $10.1 million and a loss on the write-off of unamortized debt issuance costs of $1.1 million, both of which are included in interest expense, net in the consolidated statements of operations and comprehensive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13—Debt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an impairment charge of $58.4 million in 2024 related to our investments in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7—Equity Investments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130,284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(4,320)</w:t>
            </w:r>
          </w:p>
        </w:tc>
      </w:tr>
      <w:tr>
        <w:trPr>
          <w:trHeight w:val="228"/>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(619.7)%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(11.6)%</w:t>
            </w:r>
          </w:p>
        </w:tc>
      </w:tr>
    </w:tbl>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2025, the effective tax rate varied from the federal statutory rate of 21% primarily due to the $149.5 million tax benefit to reduce the valuation allowance against our net deferred tax assets. For 2024, the effective tax rate varied from the federal statutory rate of 21% primarily due to the change in the valuation allowance, net of the current period change in tax effected net indefinite-lived intangibles.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Note—12 Income Taxes in the notes to the consolidated financial statements included elsewhere in this report for additional information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allowance.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2080" w:type="dxa"/>
            <w:vAlign w:val="bottom"/>
            <w:gridSpan w:val="2"/>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652"/>
              <w:spacing w:after="0" w:line="171"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952"/>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22,910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14,463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32%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30,908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11,997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18,911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tcPr>
          <w:p>
            <w:pPr>
              <w:spacing w:after="0"/>
              <w:rPr>
                <w:sz w:val="19"/>
                <w:szCs w:val="19"/>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51%</w:t>
            </w:r>
          </w:p>
        </w:tc>
        <w:tc>
          <w:tcPr>
            <w:tcW w:w="34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711,880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163,176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147,989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15,187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177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1,117,324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217,105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765,277</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590,651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174,626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352,047</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309,568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42,479</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rPr>
                <w:sz w:val="1"/>
                <w:szCs w:val="1"/>
                <w:color w:val="auto"/>
              </w:rPr>
            </w:pPr>
          </w:p>
        </w:tc>
      </w:tr>
      <w:tr>
        <w:trPr>
          <w:trHeight w:val="22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tcPr>
          <w:p>
            <w:pPr>
              <w:spacing w:after="0"/>
              <w:rPr>
                <w:sz w:val="19"/>
                <w:szCs w:val="19"/>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32%</w:t>
            </w:r>
          </w:p>
        </w:tc>
        <w:tc>
          <w:tcPr>
            <w:tcW w:w="34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32955" cy="2647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left="140" w:right="200"/>
        <w:spacing w:after="0" w:line="213"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Segment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19— Segment Information in the notes to the consolidated financial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20"/>
        <w:spacing w:after="0" w:line="373" w:lineRule="auto"/>
        <w:rPr>
          <w:sz w:val="20"/>
          <w:szCs w:val="20"/>
          <w:color w:val="auto"/>
        </w:rPr>
      </w:pPr>
      <w:r>
        <w:rPr>
          <w:rFonts w:ascii="Times New Roman" w:cs="Times New Roman" w:eastAsia="Times New Roman" w:hAnsi="Times New Roman"/>
          <w:sz w:val="18"/>
          <w:szCs w:val="18"/>
          <w:color w:val="auto"/>
        </w:rPr>
        <w:t xml:space="preserve">statements included elsewhere in this report for additional information on segments and a reconciliation of segment profit to pre-tax income (loss). </w:t>
      </w:r>
      <w:r>
        <w:rPr>
          <w:rFonts w:ascii="Times New Roman" w:cs="Times New Roman" w:eastAsia="Times New Roman" w:hAnsi="Times New Roman"/>
          <w:sz w:val="18"/>
          <w:szCs w:val="18"/>
          <w:b w:val="1"/>
          <w:bCs w:val="1"/>
          <w:color w:val="auto"/>
        </w:rPr>
        <w:t>HOME</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Home segment revenue increased 18% to $151.8 million in 2025 compared to 2024 and segment profit increased to $48.3 million in 2025, an increase of 21% compared to 2024. Our Home segment margin, which is segment profit divided by segment revenue, increased slightly to 32% in 2025 compared to 31% in 2024.</w:t>
      </w:r>
    </w:p>
    <w:p>
      <w:pPr>
        <w:spacing w:after="0" w:line="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Revenue from our home equity loan product of $109.8 million in 2025 increased 26% compared to 2024. As longer-term rates have remained relatively stable and higher than most existing first mortgages, second lien products offer an attractively priced source of capital for homeowners.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Home, our core mortgage business generated revenue of $42.0 million in 2025, down 1% compared to 2024. 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 which we participate. Our mortgage business continues to see headwinds from a lack of in-the-money refinance borrowers given the current higher level of mortgage rates, and subdued home sales have pressured the volume of consumers searching for purchase loans. According to Freddie Mac, the 30-year mortgage interest rates have remained elevated with a yearly average of 6.6% in 2025 compared to 6.7% in 2024.</w:t>
      </w:r>
    </w:p>
    <w:p>
      <w:pPr>
        <w:spacing w:after="0" w:line="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Mortgage Bankers Association expects overall mortgage originations to increase 7% in 2026. The forecast calls for total loan originations of $2.2 trillion and purchase loans are expected to account for 66% of origination volume.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Revenue in our Consumer segment increased 14% to $253.4 million in 2025 from 2024 with segment profit of $129.4 million in 2025, an increase of 17% from 2024. Our Consumer segment margin increased slightly to 51% in 2025 compared to 50% in 2024.</w:t>
      </w:r>
    </w:p>
    <w:p>
      <w:pPr>
        <w:spacing w:after="0" w:line="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Revenue from our personal loan product of $114.4 million increased 13% in 2025 compared to 2024. We saw a broadening in the credit appetite from our lender partners that led to a meaningful increase in close rates for our consumers.</w:t>
      </w:r>
    </w:p>
    <w:p>
      <w:pPr>
        <w:spacing w:after="0" w:line="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Small business revenue increased 60% in 2025 compared to 2024. This increase in revenue was driven by the deliberate investment in our concierge sales team, which provides a high-touch service option for business owners working through the complex loan shopping process. We continue to invest in growing this team to power further small business growth in 2026.</w:t>
      </w:r>
    </w:p>
    <w:p>
      <w:pPr>
        <w:spacing w:after="0" w:line="66" w:lineRule="exact"/>
        <w:rPr>
          <w:sz w:val="20"/>
          <w:szCs w:val="20"/>
          <w:color w:val="auto"/>
        </w:rPr>
      </w:pPr>
    </w:p>
    <w:p>
      <w:pPr>
        <w:ind w:right="2140"/>
        <w:spacing w:after="0" w:line="367"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declines in product revenues within the Consumer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INSURANCE</w:t>
      </w:r>
    </w:p>
    <w:p>
      <w:pPr>
        <w:jc w:val="both"/>
        <w:spacing w:after="0" w:line="264" w:lineRule="auto"/>
        <w:rPr>
          <w:sz w:val="20"/>
          <w:szCs w:val="20"/>
          <w:color w:val="auto"/>
        </w:rPr>
      </w:pPr>
      <w:r>
        <w:rPr>
          <w:rFonts w:ascii="Times New Roman" w:cs="Times New Roman" w:eastAsia="Times New Roman" w:hAnsi="Times New Roman"/>
          <w:sz w:val="18"/>
          <w:szCs w:val="18"/>
          <w:color w:val="auto"/>
        </w:rPr>
        <w:t>Insurance revenue of $711.9 million in 2025 increased 30% from 2024, while segment profit of $174.4 million in 2025 increased 10% from 2024. Insurance carriers are broadly enjoying very strong automotive underwriting results following multiple quarters of premium increases and stable loss cost trends, and are aggressively pursing new customers.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Insurance segment margin decreased to 25% in 2025 compared to 29% in 2024. The increased demand has created a competitive market to acquire customers seeking an auto policy, which has led to strong growth in both revenue as well as associated media costs. Our strategy is to capture the maximum level of carrier advertising budgets when we have an opportunity to drive incremental segment profit and take share from competitors. These incremental dollars have pressured overall segment margin while simultaneously contributing to robust segment profit.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We provide and encourage investors to examine the reconciling adjustments between the GAAP and non-GAAP measures discussed below.</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6"/>
                <w:szCs w:val="16"/>
                <w:color w:val="auto"/>
              </w:rPr>
            </w:pPr>
          </w:p>
        </w:tc>
      </w:tr>
      <w:tr>
        <w:trPr>
          <w:trHeight w:val="234"/>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1,117,324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900,219</w:t>
            </w:r>
          </w:p>
        </w:tc>
      </w:tr>
      <w:tr>
        <w:trPr>
          <w:trHeight w:val="228"/>
        </w:trPr>
        <w:tc>
          <w:tcPr>
            <w:tcW w:w="8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770,680</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595,908</w:t>
            </w:r>
          </w:p>
        </w:tc>
      </w:tr>
      <w:tr>
        <w:trPr>
          <w:trHeight w:val="229"/>
        </w:trPr>
        <w:tc>
          <w:tcPr>
            <w:tcW w:w="8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346,644</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304,311</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r>
      <w:tr>
        <w:trPr>
          <w:trHeight w:val="234"/>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812,904</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635,963</w:t>
            </w:r>
          </w:p>
        </w:tc>
      </w:tr>
      <w:tr>
        <w:trPr>
          <w:trHeight w:val="228"/>
        </w:trPr>
        <w:tc>
          <w:tcPr>
            <w:tcW w:w="8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(42,224)</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(40,055)</w:t>
            </w:r>
          </w:p>
        </w:tc>
      </w:tr>
      <w:tr>
        <w:trPr>
          <w:trHeight w:val="229"/>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770,680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595,908</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GAAP measure, to variable marketing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r>
      <w:tr>
        <w:trPr>
          <w:trHeight w:val="23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151,308</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r>
      <w:tr>
        <w:trPr>
          <w:trHeight w:val="215"/>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42,525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36,072</w:t>
            </w:r>
          </w:p>
        </w:tc>
      </w:tr>
      <w:tr>
        <w:trPr>
          <w:trHeight w:val="228"/>
        </w:trPr>
        <w:tc>
          <w:tcPr>
            <w:tcW w:w="852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42,224</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112,888</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108,705</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45,251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16,459</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5,190</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1,633</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46,787</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54,162</w:t>
            </w:r>
          </w:p>
        </w:tc>
      </w:tr>
      <w:tr>
        <w:trPr>
          <w:trHeight w:val="228"/>
        </w:trPr>
        <w:tc>
          <w:tcPr>
            <w:tcW w:w="8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(130,284)</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2"/>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346,644</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304,311</w:t>
            </w:r>
          </w:p>
        </w:tc>
      </w:tr>
    </w:tbl>
    <w:p>
      <w:pPr>
        <w:spacing w:after="0" w:line="277" w:lineRule="exact"/>
        <w:rPr>
          <w:sz w:val="20"/>
          <w:szCs w:val="20"/>
          <w:color w:val="auto"/>
        </w:rPr>
      </w:pPr>
    </w:p>
    <w:p>
      <w:pPr>
        <w:ind w:left="400" w:right="100" w:hanging="252"/>
        <w:spacing w:after="0" w:line="236"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Taxes, Depreciation and Amortization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certain stock options or vesting of restricted stock awards, the awards may be settled, on a net basis, with us remitting the required tax withholding amount from our current funds.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the most directly comparable GAAP measure,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151,308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5,190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16,459</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1,633</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58,376</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29,202</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28,579</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15,661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46,787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(130,284)</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132,887</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104,113</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fiscal 2023 results and similar comparisons,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 Management's Discussion and Analysis of Financial Condition and Results of Operations—Financial Position, Liquidity and Capital Resources of our Form 10-K for the fiscal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December 31, 2025, we had $81.1 million of cash and cash equivalents, compared to $106.6 million of cash and cash equivalents as of December 31, 2024.</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first quarter of 2025, we repurchased approximately $20.0 million in principal amount of our 2025 Notes for $19.7 million resulting in a gain on the extinguishment of $0.3 million which is included in interest expense, net in the consolidated statement of operations and comprehensive income. On July 15, 2025, the remaining $95.3 million outstanding 2025 Notes were fully repaid using cash on hand.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2025 and 2024, we drew $50.0 million and $125.0 million, respectively, on the 2024 Term Loan.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third quarter of 2025, we refinanced our 2021 Credit Agreement and 2024 Term Loan, which collectively had $402.8 million outstanding, with proceeds from the $400.0 million 2025 Term Loan and cash on hand at par plus accrued and unpaid interest. As a result of the refinancing, we recognized a loss on the extinguishment of $7.9 million due to the write-off of unamortized debt issuance costs and original issue discount costs which are included in interest expense, net in the consolidated statement of operations and comprehensive income.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2024, we repurchased approximately $7.6 million in principal amount of our 2025 Notes for $7.2 million. In the second quarter of 2024, we repurchased approximately $161.3 million in principal amount of our 2025 Notes for $151.7 million plus accrued and unpaid interest of approximately $0.3 million. As a result of these repurchases, we recognized a gain on the extinguishment of $10.1 million and a loss on the write-off of unamortized debt issuance costs of $1.1 million, both of which are included in interest expense, net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and cash equivalents and cash flows from operations to be sufficient to fund our operating needs for the next twelve months and beyond.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monitor the impact of current economic conditions, including interest rates and inflation on our liquidity and capital resources.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13—Debt, in Part I. Item 1</w:t>
      </w:r>
      <w:r>
        <w:rPr>
          <w:rFonts w:ascii="Times New Roman" w:cs="Times New Roman" w:eastAsia="Times New Roman" w:hAnsi="Times New Roman"/>
          <w:sz w:val="18"/>
          <w:szCs w:val="18"/>
          <w:i w:val="1"/>
          <w:iCs w:val="1"/>
          <w:color w:val="auto"/>
        </w:rPr>
        <w:t xml:space="preserve"> Financial Statements</w:t>
      </w:r>
      <w:r>
        <w:rPr>
          <w:rFonts w:ascii="Times New Roman" w:cs="Times New Roman" w:eastAsia="Times New Roman" w:hAnsi="Times New Roman"/>
          <w:sz w:val="18"/>
          <w:szCs w:val="18"/>
          <w:color w:val="auto"/>
        </w:rPr>
        <w:t>,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July 2024, we entered into an Equity Distribution Agreement in connection with the establishment of an ATM Equity Program under which we may sell up to an aggregate of $50.0 million of shares of the common stock. No sales were made under the Equity Distribution Agreement during 2025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15, 2021, we entered into a Credit Agreement (the “Credit Agreement”), consisting of a $200.0 million Revolving Facility (the “Revolving Facility”), which was set to mature on September 15, 2026, and a $250.0 million delayed draw Term Loan Facility (the “2021 Term Loan” and together with the Revolving Facility, the “Credit Facility”), which was set to mature on September 15, 2028. We borrowed $250.0 million under the delayed draw term loan on May 31, 2022 and used $170.2 million of the proceeds to settle the our 0.625% Convertible Senior Notes due June 1, 2022.</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27, 2024, we entered a first lien term loan facility (the “2024 Term Loan”), consisting of $175.0 million which was set to mature on March 27, 2031. We drew $125.0 million of the 2024 Term Loan upon closing and drew the remaining $50.0 million on March 27, 2025. The proceeds of the 2024 Term Loan were used to pay fees and expenses incurred in connection with the closing of the 2024 Term Loan and delayed draw term loan and was used for working capital and general corporate purposes, including the repayment of our 2025 Notes on July 15, 2025.</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August 21, 2025, we entered into a $475.0 million first lien term loan facility, consisting of a $75 million revolving credit facility and a $400.0 million term loan facility, both with maturities of August 21, 2030. Proceeds from the 2025 Facility were used to refinance the Credit Agreement and 2024 Term Loan, mentioned above, and for working capital and general corporate purposes.</w:t>
      </w:r>
    </w:p>
    <w:p>
      <w:pPr>
        <w:spacing w:after="0" w:line="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March 9, 2026, we had $399.0 million borrowings outstanding under the 2025 Term Loan. As of March 9, 2026, we have $75.0 million available for borrowing under the 2025 Revolving Facility.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13—Debt, in Part I. Item 1</w:t>
      </w:r>
      <w:r>
        <w:rPr>
          <w:rFonts w:ascii="Times New Roman" w:cs="Times New Roman" w:eastAsia="Times New Roman" w:hAnsi="Times New Roman"/>
          <w:sz w:val="18"/>
          <w:szCs w:val="18"/>
          <w:i w:val="1"/>
          <w:iCs w:val="1"/>
          <w:color w:val="auto"/>
        </w:rPr>
        <w:t xml:space="preserve"> Financial Statements</w:t>
      </w:r>
      <w:r>
        <w:rPr>
          <w:rFonts w:ascii="Times New Roman" w:cs="Times New Roman" w:eastAsia="Times New Roman" w:hAnsi="Times New Roman"/>
          <w:sz w:val="18"/>
          <w:szCs w:val="18"/>
          <w:color w:val="auto"/>
        </w:rPr>
        <w:t>,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operating lease obligations associated with office space in various cities across the country and office equipment. Our principal executive office is located in Charlotte, North Carolina under an approximate 15-year lease that commenced in the second quarter of 2021. We anticipate cash payments under operating lease obligations of $8.2 million in 2026.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9—Leases in the notes to the consolidated financial statements included elsewhere in this report for more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73,103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6"/>
              </w:rPr>
              <w:t>62,258</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215"/>
              <w:spacing w:after="0"/>
              <w:rPr>
                <w:sz w:val="20"/>
                <w:szCs w:val="20"/>
                <w:color w:val="auto"/>
              </w:rPr>
            </w:pPr>
            <w:r>
              <w:rPr>
                <w:rFonts w:ascii="Times New Roman" w:cs="Times New Roman" w:eastAsia="Times New Roman" w:hAnsi="Times New Roman"/>
                <w:sz w:val="18"/>
                <w:szCs w:val="18"/>
                <w:color w:val="auto"/>
              </w:rPr>
              <w:t>(11,218)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(88,698)</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(56,502)</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increased in 2025 from 2024 primarily due to increases in revenue, partially offset by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Net cash used in investing activities in 2025 and 2024 consisted of capital expenditures primarily related to internally developed software of $12.4 million and $11.2 million, respectively, partially offset by proceeds from the sale of fixed assets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cash used in financing activities in 2025 of $88.7 million consisted primarily of the repurchase of the 2025 Notes for $115.0 million, term loan repayments of $410.4 million and $2.8 million in withholding taxes paid upon surrender of shares to satisfy obligations on equity awards, net of proceeds from the exercise of stock options, partially offset by net proceeds from term loans of $439.5 million.</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cash used in financing activities in 2024 of $56.5 million consisted primarily of the repurchase of the 2025 Notes for $158.8 million, term loan repayments of $12.5 million and $2.2 million in withholding taxes paid upon surrender of shares to satisfy obligations on equity awards, net of proceeds from the employee stock purchase plan and the exercise of stock options offset by $117.6 million net proceeds from the 2024 Term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disclosure is provided to supplement the description of our accounting policies contained in Note 2—Significant Accounting Policies in the notes to the consolidated financial statements included elsewhere in this report regarding significant areas of judgment.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of current and deferred income taxes and the significant items giving rise to the deferred assets and liabilities are shown in Note 12—Income Taxes in the notes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and/or state tax authorities, as well as actual operating results that may vary significantly from anticipated results.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2025, we recorded tax benefit of $149.5 million to reduce the valuation allowance we established in 2022 against our net deferred tax assets. Management determined upon review of the deferred tax assets for recoverability that sufficient positive evidence existed to conclude a substantial portion of the valuation allowance was no longer needed. Based on sustained profitability, improved forecasts of future taxable income, and the reversal of existing temporary differences, we concluded that it is more likely than not that we will be able to utilize the deferred tax assets. The ultimate realization of deferred tax assets is dependent upon the generation of future taxable income. We maintain a valuation allowance of $18.0 million primarily related to certain states for which we estimate the net operating losses will expire prior to being utilized and other deferred tax assets related to equity investments for which it is not more likely than not that the deferred tax assets will be realized. Should there be a change in the valuation allowance in the future, the income tax provision would increase or decrease in the period in which the allowance is changed.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December 31, 2025, 2024 and 2023, we maintained a valuation allowance of $18.0 million, $167.5 million and $162.5 million, respectively, against our net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forms of stock-based awards granted to our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our current or former Chief Executive Officer. The value of RSUs is measured at their grant dates as the fair value of common stock and amortized ratably as non-cash compensation expense over the vesting term. The value of stock options issued and Employee Stock Purchase Rights are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11—Stock-Based Compensation in the notes to the consolidated financial statements included elsewhere in this report for additional information on assumptions and inputs to the fair value determination of stock-based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Goodwill Impairment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Performing the quantitative test for goodwill impairment that compares the reporting unit fair value with its carrying value using a discounted cash flow and market analysis requires the exercise of significant judgments, including judgments about appropriate discount rates, revenue growth rates, marketing spend, direct operating expenses, the amount and timing of expected future cash flows, and market multiples. If the carrying amount of a reporting unit exceeds its fair value, an impairment loss is recognized in an amount equal to that excess.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our market capitalization declined significantly compared to the second quarter of 2023. The closing stock price on September 29, 2023 was $15.50 reflecting a market capitalization below our book value. In addition, the effects of the challenging interest rate environment, low for-sale home inventories and the rise in home prices in the Home reporting unit and consumer price inflation negatively impacting carrier underwriting in the Insurance reporting unit continue to provide revenue headwinds. Based on these factors, we concluded that a triggering event had occurred and an interim quantitative impairment test was performed as of September 30, 2023. Upon completing the quantitative goodwill impairment test, we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will continue to monitor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goodwill subject to assessment for impairment at December 31, 2025 is $381.5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Recoverability of 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Capitalized implementation costs incurred in a hosting arrangement that is a service contract are also allocated to and included within long-lived asset groups tested for recoverability.</w:t>
      </w:r>
    </w:p>
    <w:p>
      <w:pPr>
        <w:spacing w:after="0" w:line="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combined value of long-lived assets and capitalized implementation costs incurred in a hosting arrangement that is a service contract subject to assessment for impairment is $98.0 million at December 31,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investments do not have a readily determinable fair value and, upon acquisition, we elected the measurement alternative to value these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(expense) income in the consolidated statement of operations and comprehensive income.</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incurred impairment charges of $1.2 million, $58.4 million and $114.5 million on our investments in equity securities during 2025, 2024 and 2023, respectively.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7—Equity Investments in the notes to the consolidated financial statements included elsewhere in this report for additional information. The carrying value of our equity investments at December 31, 2025 is $0.5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2—Significant Accounting Policies in the notes to the consolidated financial statements included elsewhere in this report for a description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as a result of changes to interest rates.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our 2025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$4.0 million annual effect on the interest paid on borrowings under the 2025 Term Loan. As of March 9, 2026, we had $399.0 million outstanding on our 2025 Term Loan, and there were no outstanding borrowings under our 2025 Revolving Facility.</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3"/>
        </w:trPr>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6"/>
        </w:trPr>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LENDINGTREE, INC. AND SUBSIDIARIES:</w:t>
            </w:r>
          </w:p>
        </w:tc>
        <w:tc>
          <w:tcPr>
            <w:tcW w:w="1520" w:type="dxa"/>
            <w:vAlign w:val="bottom"/>
          </w:tcPr>
          <w:p>
            <w:pPr>
              <w:spacing w:after="0"/>
              <w:rPr>
                <w:sz w:val="17"/>
                <w:szCs w:val="17"/>
                <w:color w:val="auto"/>
              </w:rPr>
            </w:pPr>
          </w:p>
        </w:tc>
      </w:tr>
      <w:tr>
        <w:trPr>
          <w:trHeight w:val="197"/>
        </w:trPr>
        <w:tc>
          <w:tcPr>
            <w:tcW w:w="9660" w:type="dxa"/>
            <w:vAlign w:val="bottom"/>
            <w:gridSpan w:val="8"/>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rPr>
              <w:t xml:space="preserve">Report of Independent Registered Public Accounting Firm (PCAOB ID </w:t>
            </w:r>
            <w:r>
              <w:rPr>
                <w:rFonts w:ascii="Times New Roman" w:cs="Times New Roman" w:eastAsia="Times New Roman" w:hAnsi="Times New Roman"/>
                <w:sz w:val="18"/>
                <w:szCs w:val="18"/>
                <w:b w:val="1"/>
                <w:bCs w:val="1"/>
                <w:i w:val="1"/>
                <w:iCs w:val="1"/>
                <w:color w:val="000000"/>
              </w:rPr>
              <w:t>238</w:t>
            </w:r>
            <w:r>
              <w:rPr>
                <w:rFonts w:ascii="Times New Roman" w:cs="Times New Roman" w:eastAsia="Times New Roman" w:hAnsi="Times New Roman"/>
                <w:sz w:val="18"/>
                <w:szCs w:val="18"/>
                <w:b w:val="1"/>
                <w:bCs w:val="1"/>
                <w:i w:val="1"/>
                <w:iCs w:val="1"/>
                <w:u w:val="single" w:color="auto"/>
                <w:color w:val="0000FF"/>
              </w:rPr>
              <w:t>)</w:t>
            </w:r>
          </w:p>
        </w:tc>
        <w:tc>
          <w:tcPr>
            <w:tcW w:w="15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0000FF"/>
                <w:w w:val="99"/>
              </w:rPr>
              <w:t>54</w:t>
            </w:r>
          </w:p>
        </w:tc>
      </w:tr>
      <w:tr>
        <w:trPr>
          <w:trHeight w:val="455"/>
        </w:trPr>
        <w:tc>
          <w:tcPr>
            <w:tcW w:w="5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34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r>
      <w:tr>
        <w:trPr>
          <w:trHeight w:val="197"/>
        </w:trPr>
        <w:tc>
          <w:tcPr>
            <w:tcW w:w="400" w:type="dxa"/>
            <w:vAlign w:val="bottom"/>
          </w:tcPr>
          <w:p>
            <w:pPr>
              <w:spacing w:after="0"/>
              <w:rPr>
                <w:sz w:val="17"/>
                <w:szCs w:val="17"/>
                <w:color w:val="auto"/>
              </w:rPr>
            </w:pPr>
          </w:p>
        </w:tc>
        <w:tc>
          <w:tcPr>
            <w:tcW w:w="9260" w:type="dxa"/>
            <w:vAlign w:val="bottom"/>
            <w:gridSpan w:val="7"/>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rPr>
              <w:t>Consolidated Balance Sheets</w:t>
            </w:r>
          </w:p>
        </w:tc>
        <w:tc>
          <w:tcPr>
            <w:tcW w:w="15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8"/>
        </w:trPr>
        <w:tc>
          <w:tcPr>
            <w:tcW w:w="400" w:type="dxa"/>
            <w:vAlign w:val="bottom"/>
          </w:tcPr>
          <w:p>
            <w:pPr>
              <w:spacing w:after="0"/>
              <w:rPr>
                <w:sz w:val="18"/>
                <w:szCs w:val="18"/>
                <w:color w:val="auto"/>
              </w:rPr>
            </w:pPr>
          </w:p>
        </w:tc>
        <w:tc>
          <w:tcPr>
            <w:tcW w:w="5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Operations and Comprehensive Income (Loss)</w:t>
            </w:r>
          </w:p>
        </w:tc>
        <w:tc>
          <w:tcPr>
            <w:tcW w:w="3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8"/>
        </w:trPr>
        <w:tc>
          <w:tcPr>
            <w:tcW w:w="400" w:type="dxa"/>
            <w:vAlign w:val="bottom"/>
          </w:tcPr>
          <w:p>
            <w:pPr>
              <w:spacing w:after="0"/>
              <w:rPr>
                <w:sz w:val="18"/>
                <w:szCs w:val="18"/>
                <w:color w:val="auto"/>
              </w:rPr>
            </w:pPr>
          </w:p>
        </w:tc>
        <w:tc>
          <w:tcPr>
            <w:tcW w:w="3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Shareholders' Equity</w:t>
            </w:r>
          </w:p>
        </w:tc>
        <w:tc>
          <w:tcPr>
            <w:tcW w:w="5620" w:type="dxa"/>
            <w:vAlign w:val="bottom"/>
            <w:gridSpan w:val="3"/>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8"/>
        </w:trPr>
        <w:tc>
          <w:tcPr>
            <w:tcW w:w="400" w:type="dxa"/>
            <w:vAlign w:val="bottom"/>
          </w:tcPr>
          <w:p>
            <w:pPr>
              <w:spacing w:after="0"/>
              <w:rPr>
                <w:sz w:val="18"/>
                <w:szCs w:val="18"/>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Cash Flows</w:t>
            </w:r>
          </w:p>
        </w:tc>
        <w:tc>
          <w:tcPr>
            <w:tcW w:w="6320" w:type="dxa"/>
            <w:vAlign w:val="bottom"/>
            <w:gridSpan w:val="5"/>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8"/>
        </w:trPr>
        <w:tc>
          <w:tcPr>
            <w:tcW w:w="400" w:type="dxa"/>
            <w:vAlign w:val="bottom"/>
          </w:tcPr>
          <w:p>
            <w:pPr>
              <w:spacing w:after="0"/>
              <w:rPr>
                <w:sz w:val="18"/>
                <w:szCs w:val="18"/>
                <w:color w:val="auto"/>
              </w:rPr>
            </w:pPr>
          </w:p>
        </w:tc>
        <w:tc>
          <w:tcPr>
            <w:tcW w:w="9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0000FF"/>
              </w:rPr>
              <w:t>Notes to Consolidated Financial Statements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LendingTree,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LendingTree, Inc. and its subsidiaries (the "Company") as of December 31, 2025 and 2024, and the related consolidated statements of operations and comprehensive income (loss),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0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 The Company recognized revenue of $1.1 billion for the year ended December 31, 2025.</w:t>
      </w:r>
    </w:p>
    <w:p>
      <w:pPr>
        <w:spacing w:after="0" w:line="21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certain revenue transactions by either (a) testing the issuance and settlement of invoices and credit memos, tracing transactions not settled to a detailed listing of accounts receivable, and testing the completeness and accuracy of certain data provided by management or (b) on a sample basis, by obtaining and inspecting source documents, such as contracts, evidence of satisfaction of the performance obligation, and payment receipts; and (ii) confirming outstanding customer invoice balances as of December 31, 2025, on a sample basis, and for confirmations not returned, obtaining and inspecting source documents, such as invoices, evidence of satisfaction of the performance obligation, and subsequent payment receipts.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13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jc w:val="right"/>
              <w:ind w:right="330"/>
              <w:spacing w:after="0" w:line="128"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w:t>
            </w:r>
          </w:p>
        </w:tc>
      </w:tr>
      <w:tr>
        <w:trPr>
          <w:trHeight w:val="195"/>
        </w:trPr>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i w:val="1"/>
                <w:iCs w:val="1"/>
                <w:color w:val="auto"/>
              </w:rPr>
              <w:t>and share amounts)</w:t>
            </w:r>
          </w:p>
        </w:tc>
      </w:tr>
      <w:tr>
        <w:trPr>
          <w:trHeight w:val="23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81,073</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106,594</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$1,322 and $1,407, respectively)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110,582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97,790</w:t>
            </w:r>
          </w:p>
        </w:tc>
      </w:tr>
      <w:tr>
        <w:trPr>
          <w:trHeight w:val="228"/>
        </w:trPr>
        <w:tc>
          <w:tcPr>
            <w:tcW w:w="8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38,053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34,078</w:t>
            </w:r>
          </w:p>
        </w:tc>
      </w:tr>
      <w:tr>
        <w:trPr>
          <w:trHeight w:val="22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229,708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238,462</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$28,387 and $33,375, respectively)</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32,834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42,780</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31,655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52,557</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381,539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38,092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124,867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(Note 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8"/>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855,692</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767,674</w:t>
            </w:r>
          </w:p>
        </w:tc>
      </w:tr>
      <w:tr>
        <w:trPr>
          <w:trHeight w:val="255"/>
        </w:trPr>
        <w:tc>
          <w:tcPr>
            <w:tcW w:w="8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3,926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124,931</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6,735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r>
      <w:tr>
        <w:trPr>
          <w:trHeight w:val="228"/>
        </w:trPr>
        <w:tc>
          <w:tcPr>
            <w:tcW w:w="8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126,803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107,185</w:t>
            </w:r>
          </w:p>
        </w:tc>
      </w:tr>
      <w:tr>
        <w:trPr>
          <w:trHeight w:val="22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137,464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240,476</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387,694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344,124</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43,597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69,238</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8"/>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2"/>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568,895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658,853</w:t>
            </w:r>
          </w:p>
        </w:tc>
      </w:tr>
      <w:tr>
        <w:trPr>
          <w:trHeight w:val="22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14 and 15)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w w:val="99"/>
              </w:rPr>
              <w:t>Common stock $.01 par value; 50,000,000 shares authorized; 17,124,837 and 16,746,556 shares issued, respectively,</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2"/>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13,769,371 and 13,391,090 shares outstanding, respectively</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1,280,903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1,254,239</w:t>
            </w: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(879,407)</w:t>
            </w:r>
          </w:p>
        </w:tc>
      </w:tr>
      <w:tr>
        <w:trPr>
          <w:trHeight w:val="22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2"/>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286,797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108,821</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855,692</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767,674</w:t>
            </w: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4"/>
            <w:shd w:val="clear" w:color="auto" w:fill="CCEEFF"/>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shd w:val="clear" w:color="auto" w:fill="CCEEFF"/>
          </w:tcPr>
          <w:p>
            <w:pPr>
              <w:spacing w:after="0"/>
              <w:rPr>
                <w:sz w:val="19"/>
                <w:szCs w:val="19"/>
                <w:color w:val="auto"/>
              </w:rPr>
            </w:pPr>
          </w:p>
        </w:tc>
      </w:tr>
      <w:tr>
        <w:trPr>
          <w:trHeight w:val="207"/>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83"/>
        </w:trPr>
        <w:tc>
          <w:tcPr>
            <w:tcW w:w="7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gridSpan w:val="4"/>
            <w:shd w:val="clear" w:color="auto" w:fill="CCEEFF"/>
          </w:tcPr>
          <w:p>
            <w:pPr>
              <w:jc w:val="center"/>
              <w:ind w:left="432"/>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amounts)</w:t>
            </w:r>
          </w:p>
        </w:tc>
        <w:tc>
          <w:tcPr>
            <w:tcW w:w="800" w:type="dxa"/>
            <w:vAlign w:val="bottom"/>
            <w:shd w:val="clear" w:color="auto" w:fill="CCEEFF"/>
          </w:tcPr>
          <w:p>
            <w:pPr>
              <w:spacing w:after="0"/>
              <w:rPr>
                <w:sz w:val="15"/>
                <w:szCs w:val="15"/>
                <w:color w:val="auto"/>
              </w:rPr>
            </w:pPr>
          </w:p>
        </w:tc>
      </w:tr>
      <w:tr>
        <w:trPr>
          <w:trHeight w:val="22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1,117,324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672,502</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42,525</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36,072</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38,758</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812,904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635,963</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433,588</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112,888</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108,705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45,251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46,358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47,197</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16,459</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18,300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5,190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28"/>
        </w:trPr>
        <w:tc>
          <w:tcPr>
            <w:tcW w:w="7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15,661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3,797</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2"/>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1,052,511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855,592</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713,113</w:t>
            </w:r>
          </w:p>
        </w:tc>
      </w:tr>
      <w:tr>
        <w:trPr>
          <w:trHeight w:val="222"/>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64,813</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44,627</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(40,611)</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r>
      <w:tr>
        <w:trPr>
          <w:trHeight w:val="228"/>
        </w:trPr>
        <w:tc>
          <w:tcPr>
            <w:tcW w:w="7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(105,993)</w:t>
            </w:r>
          </w:p>
        </w:tc>
      </w:tr>
      <w:tr>
        <w:trPr>
          <w:trHeight w:val="222"/>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21,024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(124,919)</w:t>
            </w:r>
          </w:p>
        </w:tc>
      </w:tr>
      <w:tr>
        <w:trPr>
          <w:trHeight w:val="228"/>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130,284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151,308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(122,404)</w:t>
            </w:r>
          </w:p>
        </w:tc>
      </w:tr>
      <w:tr>
        <w:trPr>
          <w:trHeight w:val="255"/>
        </w:trPr>
        <w:tc>
          <w:tcPr>
            <w:tcW w:w="7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13,584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13,269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14,062</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13,269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8"/>
        </w:trPr>
        <w:tc>
          <w:tcPr>
            <w:tcW w:w="7260" w:type="dxa"/>
            <w:vAlign w:val="bottom"/>
            <w:tcBorders>
              <w:bottom w:val="single" w:sz="8" w:color="999999"/>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999999"/>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999999"/>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10.78</w:t>
            </w:r>
          </w:p>
        </w:tc>
        <w:tc>
          <w:tcPr>
            <w:tcW w:w="340" w:type="dxa"/>
            <w:vAlign w:val="bottom"/>
            <w:tcBorders>
              <w:bottom w:val="single" w:sz="8" w:color="999999"/>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00" w:type="dxa"/>
            <w:vAlign w:val="bottom"/>
            <w:tcBorders>
              <w:bottom w:val="single" w:sz="8" w:color="999999"/>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bl>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207,940</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16,167</w:t>
            </w:r>
          </w:p>
        </w:tc>
        <w:tc>
          <w:tcPr>
            <w:tcW w:w="86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1,189,255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(715,299)</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(122,404)</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(122,404)</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39,682</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39,682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9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restricted stock awards and restricted stock</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(1,087)</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 net of withholding taxes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124,132</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16,397</w:t>
            </w:r>
          </w:p>
        </w:tc>
        <w:tc>
          <w:tcPr>
            <w:tcW w:w="8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1,227,849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(837,703)</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(41,704)</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(41,704)</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28,579</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28,579</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restricted stock awards and restricted stock</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(2,186)</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8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net of withholding taxes</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108,821</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16,747</w:t>
            </w:r>
          </w:p>
        </w:tc>
        <w:tc>
          <w:tcPr>
            <w:tcW w:w="8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1,254,239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(879,407)</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and comprehensive loss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151,308</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151,308</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29,457</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29,457</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employee stock purchase plan, restricted stock</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awards and restricted stock units, net of</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(2,789)</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w:t>
            </w:r>
          </w:p>
        </w:tc>
        <w:tc>
          <w:tcPr>
            <w:tcW w:w="8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286,797</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17,125</w:t>
            </w:r>
          </w:p>
        </w:tc>
        <w:tc>
          <w:tcPr>
            <w:tcW w:w="86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171</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1,280,903</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(728,099)</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5"/>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(loss) and comprehensive income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151,308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(41,704)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(122,404)</w:t>
            </w:r>
          </w:p>
        </w:tc>
      </w:tr>
      <w:tr>
        <w:trPr>
          <w:trHeight w:val="20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loss on impairments and disposal of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19,070</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39,682</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(129,751)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Reduction in carrying amount of ROU asset, offset by change in operating lease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settlement of convertible debt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(48,562)</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impairment of equity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58,376</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114,504</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impairment of goodwill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repayment of term loans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(43,007)</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27,706</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and other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44,581</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5"/>
        </w:trPr>
        <w:tc>
          <w:tcPr>
            <w:tcW w:w="7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r>
      <w:tr>
        <w:trPr>
          <w:trHeight w:val="195"/>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73,103</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62,258</w:t>
            </w: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67,571</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(12,528)</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sale of fixed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(9,926)</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(11,218)</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(12,478)</w:t>
            </w: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related to net-share settlement of stock-based compensation, net of proceeds from exercise of stock options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term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(410,375)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and repurchase of 0.50% Convertible Senior Notes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(158,839)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(237,464)</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revolver issuance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original issue discount on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(88,698)</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(56,502)</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(242,006)</w:t>
            </w:r>
          </w:p>
        </w:tc>
      </w:tr>
      <w:tr>
        <w:trPr>
          <w:trHeight w:val="195"/>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restricted cash and restricted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(25,521)</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(5,462)</w:t>
            </w: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(186,913)</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at beginning of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106,594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112,056</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298,969</w:t>
            </w:r>
          </w:p>
        </w:tc>
      </w:tr>
      <w:tr>
        <w:trPr>
          <w:trHeight w:val="208"/>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restricted cash, and restricted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81,073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106,594</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112,056</w:t>
            </w:r>
          </w:p>
        </w:tc>
      </w:tr>
      <w:tr>
        <w:trPr>
          <w:trHeight w:val="202"/>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capital expenditures included in accounts payable and accrued expenses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38,203</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23,685</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payments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r>
      <w:tr>
        <w:trPr>
          <w:trHeight w:val="186"/>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refunds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consideration is included in revenue if it is probable that a significant future reversal of cumulative revenue under the contract will not occur.</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and approval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fees and subscription fees.</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The current portion of the contract asset is recorded within prepaid expenses and other current assets and the non-current portion is recorded within other non-current assets on the consolidated balance sheets based on the expected timing of future closed loans or approvals by issuers. The closing fee on an original loan and approval estimate is based on the Company's historical closing rates and historical time between when a consumer request for a loan or credit card is delivered to the lender or card issuer and when the loan is closed by the lender or approved by the card issuer. The closing fee on a renewal loan is estimated using historical renewal and commission rates. The time between satisfaction of the Company's performance obligation and when the Company's right to consideration becomes unconditional varies across products but is generally less than 90 days for auto loans, personal loans, and credit card approvals. The time between satisfaction of the Company's performance obligation and when the Company's right to consideration becomes unconditional for small business loans is approximately 5 years.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payment terms vary by customer and services offered. The term between invoicing and when payment is due is generally 30 days or less.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include cash and short-term, highly liquid money market investments with original maturities of three months or less.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escrowed or contractually restricted for a specific purpose is designated as restricted cash.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28"/>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(986)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28"/>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8"/>
        </w:trPr>
        <w:tc>
          <w:tcPr>
            <w:tcW w:w="6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2"/>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1,322</w:t>
            </w:r>
          </w:p>
        </w:tc>
        <w:tc>
          <w:tcPr>
            <w:tcW w:w="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1,407</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Property and equipment, including internally-developed software and significant improvements, are recorded at cost less accumulated depreciation. Due to the rapid advancements in technology and evolution of company products, all internally-developed software is written off at the end of its useful life. Repairs and maintenance and any gains or losses on dispositions are recognized as incurred in current operations.</w:t>
      </w:r>
    </w:p>
    <w:p>
      <w:pPr>
        <w:spacing w:after="0" w:line="6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5520" w:type="dxa"/>
            <w:vAlign w:val="bottom"/>
            <w:tcBorders>
              <w:bottom w:val="single" w:sz="8" w:color="auto"/>
            </w:tcBorders>
          </w:tcPr>
          <w:p>
            <w:pPr>
              <w:jc w:val="center"/>
              <w:ind w:left="1573"/>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5520" w:type="dxa"/>
            <w:vAlign w:val="bottom"/>
            <w:shd w:val="clear" w:color="auto" w:fill="CCEEFF"/>
          </w:tcPr>
          <w:p>
            <w:pPr>
              <w:jc w:val="center"/>
              <w:ind w:left="1573"/>
              <w:spacing w:after="0"/>
              <w:rPr>
                <w:sz w:val="20"/>
                <w:szCs w:val="20"/>
                <w:color w:val="auto"/>
              </w:rPr>
            </w:pPr>
            <w:r>
              <w:rPr>
                <w:rFonts w:ascii="Times New Roman" w:cs="Times New Roman" w:eastAsia="Times New Roman" w:hAnsi="Times New Roman"/>
                <w:sz w:val="18"/>
                <w:szCs w:val="18"/>
                <w:color w:val="auto"/>
                <w:w w:val="98"/>
              </w:rPr>
              <w:t>1 to 5 years</w:t>
            </w:r>
          </w:p>
        </w:tc>
      </w:tr>
      <w:tr>
        <w:trPr>
          <w:trHeight w:val="22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20" w:type="dxa"/>
            <w:vAlign w:val="bottom"/>
          </w:tcPr>
          <w:p>
            <w:pPr>
              <w:jc w:val="center"/>
              <w:ind w:left="1573"/>
              <w:spacing w:after="0"/>
              <w:rPr>
                <w:sz w:val="20"/>
                <w:szCs w:val="20"/>
                <w:color w:val="auto"/>
              </w:rPr>
            </w:pPr>
            <w:r>
              <w:rPr>
                <w:rFonts w:ascii="Times New Roman" w:cs="Times New Roman" w:eastAsia="Times New Roman" w:hAnsi="Times New Roman"/>
                <w:sz w:val="18"/>
                <w:szCs w:val="18"/>
                <w:color w:val="auto"/>
                <w:w w:val="99"/>
              </w:rPr>
              <w:t>Lesser of asset life or life of lease</w:t>
            </w:r>
          </w:p>
        </w:tc>
      </w:tr>
      <w:tr>
        <w:trPr>
          <w:trHeight w:val="228"/>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5520" w:type="dxa"/>
            <w:vAlign w:val="bottom"/>
            <w:tcBorders>
              <w:bottom w:val="single" w:sz="8" w:color="auto"/>
            </w:tcBorders>
            <w:shd w:val="clear" w:color="auto" w:fill="CCEEFF"/>
          </w:tcPr>
          <w:p>
            <w:pPr>
              <w:jc w:val="center"/>
              <w:ind w:left="1553"/>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Hosting Arrangement that is a Service Contract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Goodwill acquired in business combinations is assigned to the reporting units that are expected to benefit from the combination as of the acquisition date. Goodwill and indefinite-lived intangible assets, consisting of certain trade names and trademarks, are not amortized. Rather, these assets are tested annually for impairment as of October 1, or more frequently upon the occurrence of certain events or substantive changes in circumstances.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and market analysis requires the exercise of significant judgments, including judgments about appropriate discount rates, revenue growth rates, marketing spend, direct operating expenses, the amount and timing of expected future cash flows, and market multiples. If the fair value of a reporting unit exceeds its carrying amount, goodwill of the reporting unit is not impaired. If the carrying amount of a reporting unit exceeds its fair value, an impairment loss is recognized in an amount equal to that excess.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Results of the October 1, 2025, 2024 and 2023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and Intangible Assets with Definite Lives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Capitalized implementation costs incurred in a hosting arrangement that is a service contract are also allocated to and included within long-lived asset groups tested for recoverability.</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w:t>
      </w:r>
    </w:p>
    <w:p>
      <w:pPr>
        <w:spacing w:after="0" w:line="7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At December 31, 2025 and 2024, the Company performed its review of impairment triggering events for long-lived asset groups and determined that a triggering event had not occurred.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assets or disposal groups to be sold as held for sale in the period in which all of the following criteria are met:</w:t>
      </w:r>
    </w:p>
    <w:p>
      <w:pPr>
        <w:spacing w:after="0" w:line="115" w:lineRule="exact"/>
        <w:rPr>
          <w:sz w:val="20"/>
          <w:szCs w:val="20"/>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 or disposal group;</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available for immediate sale in its present condition subject only to terms that are usual and customary for sales of such assets or disposal groups;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program to locate a buyer and other actions required to complete the plan to sell the asset or disposal group have been initiated;</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being actively marketed for sale at a price that is reasonable in relation to its current fair value;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hanging="310"/>
        <w:spacing w:after="0"/>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required to complete the plan indicate that it is unlikely that significant changes to the plan will be made or that the plan will be withdrawn.</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long-lived asset or disposal group that is classified as held for sale is initially measured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(expense) income in the consolidated statement of operations and comprehensive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51" w:lineRule="exact"/>
        <w:rPr>
          <w:sz w:val="20"/>
          <w:szCs w:val="20"/>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1</w:t>
      </w:r>
      <w:r>
        <w:rPr>
          <w:rFonts w:ascii="Times New Roman" w:cs="Times New Roman" w:eastAsia="Times New Roman" w:hAnsi="Times New Roman"/>
          <w:sz w:val="18"/>
          <w:szCs w:val="18"/>
          <w:color w:val="auto"/>
        </w:rPr>
        <w:t>: Observable inputs, such as quoted prices for identical assets and liabilities in active markets obtained from independent sources.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2</w:t>
      </w:r>
      <w:r>
        <w:rPr>
          <w:rFonts w:ascii="Times New Roman" w:cs="Times New Roman" w:eastAsia="Times New Roman" w:hAnsi="Times New Roman"/>
          <w:sz w:val="18"/>
          <w:szCs w:val="18"/>
          <w:color w:val="auto"/>
        </w:rPr>
        <w:t>: Other inputs that are observable directly or indirectly, such as quoted prices for similar assets or liabilities in active markets,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and inputs that are derived principally from or corroborated by observable market data.</w:t>
      </w:r>
    </w:p>
    <w:p>
      <w:pPr>
        <w:spacing w:after="0" w:line="61" w:lineRule="exact"/>
        <w:rPr>
          <w:rFonts w:ascii="Times New Roman" w:cs="Times New Roman" w:eastAsia="Times New Roman" w:hAnsi="Times New Roman"/>
          <w:sz w:val="18"/>
          <w:szCs w:val="18"/>
          <w:color w:val="auto"/>
        </w:rPr>
      </w:pPr>
    </w:p>
    <w:p>
      <w:pPr>
        <w:ind w:left="660" w:right="20" w:hanging="330"/>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3</w:t>
      </w:r>
      <w:r>
        <w:rPr>
          <w:rFonts w:ascii="Times New Roman" w:cs="Times New Roman" w:eastAsia="Times New Roman" w:hAnsi="Times New Roman"/>
          <w:sz w:val="18"/>
          <w:szCs w:val="18"/>
          <w:color w:val="auto"/>
        </w:rPr>
        <w:t>: Unobservable inputs for which there is little or no market data and which require the Company to develop its own assumptions,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best information available under the circumstances, about the assumptions market participants would use in pricing the asset or liability.</w:t>
      </w:r>
    </w:p>
    <w:p>
      <w:pPr>
        <w:spacing w:after="0" w:line="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 At December 31, 2025, the Company had no outstanding contingent consideration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as well as third-party labor costs that are not capitalized, for employees and consultants engaged in the design, development, testing and enhancement of technology.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Promotional Expense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Advertising and promotional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and promotional expense was $770.7 million, $595.9 million and $391.6 million for the years ended December 31, 2025, 2024 and 2023, respectively, and is included in selling and marketing expense on the consolidated statements of operations and comprehensive income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liability method and deferred tax assets and liabilities are recognized for the future tax consequences attributable to differences between the consolidated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w:t>
      </w:r>
    </w:p>
    <w:p>
      <w:pPr>
        <w:spacing w:after="0" w:line="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forms of stock-based awards granted to LendingTree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the Company's current or former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LendingTree recognizes as expense non-cash compensation for all stock-based awards for which vesting is considered probable. Forfeitures are recognized when they occur.</w:t>
      </w:r>
    </w:p>
    <w:p>
      <w:pPr>
        <w:spacing w:after="0" w:line="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service-based awards, non-cash compensation is measured at fair value on the grant date and expensed ratably over the vesting term. The fair value of stock option awards without a market condition and Employee Stock Purchase Rights are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 comprehensive income (loss), and are classified as a component of operating cash flows within the consolidated statements of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December 31, 2025,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2025, one network partner accounted for 27% of total consolidated revenue, all of which was recorded within the Insurance segment. For the year December 31, 2024, two network partners accounted for 22% and 11%, respectively, of total consolidated revenue, all of which was recorded within the Insurance segment. For the year ended December 31, 2023 there were no network partners accounting for more than 10% of total revenue.</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An entity should adopt the guidance as of the beginning of the earliest period presented. The Company adopted this ASU on December 31,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19—Segment Information for further information.</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The Company adopted this ASU on December 31, 2025 and elected to apply the guidance on a prospective basis.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12—Income Taxes for further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July 2025, the FASB issued ASU 2025-05 which provides a practical expedient permitting an entity to assume that conditions at the balance sheet date do not change for the remaining life of the asset when estimating expected credit losses for current classified accounts receivable and contract assets. This ASU is effective for annual reporting periods beginning after December 15, 2025, including interim periods within those fiscal years. Early adoption is permitted in both interim and annual reporting periods in which financial statements have not yet been issued or made available for issuance. The guidance in this ASU is to be applied on a prospective basis. The Company is currently evaluating the impact this ASU will have on its consolidated financial statements.</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September 2025, the FASB issued ASU 2025-06 for targeted improvements to the accounting for internal-use software. The amendments modernize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December 2025, the FASB issued ASU No. 2025-11 which clarifies interim disclosure requirements in order to improve the consistency, clarity and navigability of interim financial statements. This ASU is effective for interim reporting periods within annual reporting periods beginning after December 15, 2027. Early adoption is permitted. The guidance in this ASU can be applied either on a prospective or a retrospective basis.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151,764</w:t>
            </w:r>
          </w:p>
        </w:tc>
        <w:tc>
          <w:tcPr>
            <w:tcW w:w="5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128,854</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143,753</w:t>
            </w:r>
          </w:p>
        </w:tc>
      </w:tr>
      <w:tr>
        <w:trPr>
          <w:trHeight w:val="22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Personal loans</w:t>
            </w:r>
          </w:p>
        </w:tc>
        <w:tc>
          <w:tcPr>
            <w:tcW w:w="420" w:type="dxa"/>
            <w:vAlign w:val="bottom"/>
          </w:tcPr>
          <w:p>
            <w:pPr>
              <w:spacing w:after="0"/>
              <w:rPr>
                <w:sz w:val="19"/>
                <w:szCs w:val="19"/>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114,441</w:t>
            </w:r>
          </w:p>
        </w:tc>
        <w:tc>
          <w:tcPr>
            <w:tcW w:w="50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101,412</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100,124</w:t>
            </w:r>
          </w:p>
        </w:tc>
      </w:tr>
      <w:tr>
        <w:trPr>
          <w:trHeight w:val="22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138,929</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121,050</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178,821</w:t>
            </w:r>
          </w:p>
        </w:tc>
      </w:tr>
      <w:tr>
        <w:trPr>
          <w:trHeight w:val="22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420" w:type="dxa"/>
            <w:vAlign w:val="bottom"/>
          </w:tcPr>
          <w:p>
            <w:pPr>
              <w:spacing w:after="0"/>
              <w:rPr>
                <w:sz w:val="19"/>
                <w:szCs w:val="19"/>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253,370</w:t>
            </w:r>
          </w:p>
        </w:tc>
        <w:tc>
          <w:tcPr>
            <w:tcW w:w="50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222,462</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278,945</w:t>
            </w: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711,880</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548,704</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249,605</w:t>
            </w:r>
          </w:p>
        </w:tc>
      </w:tr>
      <w:tr>
        <w:trPr>
          <w:trHeight w:val="228"/>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1,117,324</w:t>
            </w:r>
          </w:p>
        </w:tc>
        <w:tc>
          <w:tcPr>
            <w:tcW w:w="5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672,502</w:t>
            </w:r>
          </w:p>
        </w:tc>
      </w:tr>
    </w:tbl>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total contract asset related to estimated variable consideration was $33.5 million and $20.5 million on December 31, 2025 and 2024, respectively. At December 31, 2025, $22.5 million was included in prepaid and other current assets on the consolidated balance sheet.</w:t>
      </w:r>
    </w:p>
    <w:p>
      <w:pPr>
        <w:spacing w:after="0" w:line="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the contract liability was in the Ovation business that was closed during 2023, there is no contract liability in the accompanying balance sheets. During 2023, the Company recognized revenue of $0.9 million that was included in the contract liability balance at December 31, 2022.</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an increase for closing and approval fees of $0.4 million to such revenue from prior periods in 2025, an increase of $0.4 million to such revenue in 2024, and an immaterial increase to such revenue from prior periods in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4—PROPERTY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balance of property and equipment,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24,052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Projects in progress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1,938</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property and equipment</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61,221</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76,155</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32,834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42,780</w:t>
            </w:r>
          </w:p>
        </w:tc>
      </w:tr>
    </w:tbl>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Unamortized capitalized software development costs recorded in property and equipment, whether in service or under development, are $13.7 million and $15.1 million at December 31, 2025 and 2024, respectively. Capitalized software development depreciation expense was $12.3 million, $13.5 million and $13.4 million for the years ended December 31, 2025, 2024 and 2023,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located outside the United States, the Company's country of domicile, were immaterial at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5—HOSTING ARRANGEMENTS</w:t>
      </w:r>
    </w:p>
    <w:p>
      <w:pPr>
        <w:spacing w:after="0" w:line="2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The balance of capitalized implementation costs incurred in a hosting arrangement that is a service contract, which are recorded within prepaid and other current assets and other non-current assets,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82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Current portion</w:t>
            </w:r>
          </w:p>
        </w:tc>
        <w:tc>
          <w:tcPr>
            <w:tcW w:w="260" w:type="dxa"/>
            <w:vAlign w:val="bottom"/>
          </w:tcPr>
          <w:p>
            <w:pPr>
              <w:spacing w:after="0"/>
              <w:rPr>
                <w:sz w:val="13"/>
                <w:szCs w:val="13"/>
                <w:color w:val="auto"/>
              </w:rPr>
            </w:pPr>
          </w:p>
        </w:tc>
        <w:tc>
          <w:tcPr>
            <w:tcW w:w="1240" w:type="dxa"/>
            <w:vAlign w:val="bottom"/>
          </w:tcPr>
          <w:p>
            <w:pPr>
              <w:jc w:val="center"/>
              <w:ind w:right="133"/>
              <w:spacing w:after="0" w:line="155" w:lineRule="exact"/>
              <w:rPr>
                <w:sz w:val="20"/>
                <w:szCs w:val="20"/>
                <w:color w:val="auto"/>
              </w:rPr>
            </w:pPr>
            <w:r>
              <w:rPr>
                <w:rFonts w:ascii="Times New Roman" w:cs="Times New Roman" w:eastAsia="Times New Roman" w:hAnsi="Times New Roman"/>
                <w:sz w:val="16"/>
                <w:szCs w:val="16"/>
                <w:b w:val="1"/>
                <w:bCs w:val="1"/>
                <w:color w:val="auto"/>
              </w:rPr>
              <w:t>Non-current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Current portion</w:t>
            </w:r>
          </w:p>
        </w:tc>
        <w:tc>
          <w:tcPr>
            <w:tcW w:w="260" w:type="dxa"/>
            <w:vAlign w:val="bottom"/>
          </w:tcPr>
          <w:p>
            <w:pPr>
              <w:spacing w:after="0"/>
              <w:rPr>
                <w:sz w:val="13"/>
                <w:szCs w:val="13"/>
                <w:color w:val="auto"/>
              </w:rPr>
            </w:pPr>
          </w:p>
        </w:tc>
        <w:tc>
          <w:tcPr>
            <w:tcW w:w="122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6"/>
                <w:szCs w:val="16"/>
                <w:b w:val="1"/>
                <w:bCs w:val="1"/>
                <w:color w:val="auto"/>
              </w:rPr>
              <w:t>Non-current</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Projects in progress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3,150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3,101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6,685</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1,910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Amortization expense included within general and administrative expense on the consolidated statement of operations and comprehensive income (loss) associated with these capitalized implementation costs was $3.6 million, $3.8 million and $3.5 million for the years ended December 31, 2025,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balance of goodwill,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Pr>
          <w:p>
            <w:pPr>
              <w:spacing w:after="0"/>
              <w:rPr>
                <w:sz w:val="13"/>
                <w:szCs w:val="13"/>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3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0" w:type="dxa"/>
            <w:vAlign w:val="bottom"/>
          </w:tcPr>
          <w:p>
            <w:pPr>
              <w:spacing w:after="0"/>
              <w:rPr>
                <w:sz w:val="1"/>
                <w:szCs w:val="1"/>
                <w:color w:val="auto"/>
              </w:rPr>
            </w:pPr>
          </w:p>
        </w:tc>
      </w:tr>
      <w:tr>
        <w:trPr>
          <w:trHeight w:val="195"/>
        </w:trPr>
        <w:tc>
          <w:tcPr>
            <w:tcW w:w="6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0" w:type="dxa"/>
            <w:vAlign w:val="bottom"/>
          </w:tcPr>
          <w:p>
            <w:pPr>
              <w:spacing w:after="0"/>
              <w:rPr>
                <w:sz w:val="1"/>
                <w:szCs w:val="1"/>
                <w:color w:val="auto"/>
              </w:rPr>
            </w:pPr>
          </w:p>
        </w:tc>
      </w:tr>
      <w:tr>
        <w:trPr>
          <w:trHeight w:val="457"/>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balance of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27,950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38,092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43,283</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Company's goodwill at December 31, 2025 consists of $59.3 million associated with the Home reporting unit, $166.1 million associated with the Consumer reporting unit, and $156.1 million associated with the Insurance reporting unit.</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the Company’s market capitalization declined significantly compared to the second quarter of 2023. The closing stock price on September 29, 2023 was $15.50 reflecting a market capitalization below the Company's book value. In addition, the effects of the challenging interest rate environment, low for-sale home inventories and the rise in home prices in the Home reporting unit and consumer price inflation negatively impacting carrier underwriting in the Insurance reporting unit continued to provide revenue headwinds. Based on these factors, it was concluded that a triggering event had occurred and an interim quantitative impairment test was performed as of September 30, 2023. Upon completing the quantitative goodwill impairment test, the Company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will continue to monitor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60" w:type="dxa"/>
            <w:vAlign w:val="bottom"/>
          </w:tcPr>
          <w:p>
            <w:pPr>
              <w:spacing w:after="0"/>
              <w:rPr>
                <w:sz w:val="13"/>
                <w:szCs w:val="13"/>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13.7 years</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69,100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69,100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(41,150)</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w:t>
            </w:r>
          </w:p>
        </w:tc>
        <w:tc>
          <w:tcPr>
            <w:tcW w:w="0" w:type="dxa"/>
            <w:vAlign w:val="bottom"/>
          </w:tcPr>
          <w:p>
            <w:pPr>
              <w:spacing w:after="0"/>
              <w:rPr>
                <w:sz w:val="1"/>
                <w:szCs w:val="1"/>
                <w:color w:val="auto"/>
              </w:rPr>
            </w:pPr>
          </w:p>
        </w:tc>
      </w:tr>
      <w:tr>
        <w:trPr>
          <w:trHeight w:val="363"/>
        </w:trPr>
        <w:tc>
          <w:tcPr>
            <w:tcW w:w="5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60" w:type="dxa"/>
            <w:vAlign w:val="bottom"/>
          </w:tcPr>
          <w:p>
            <w:pPr>
              <w:spacing w:after="0"/>
              <w:rPr>
                <w:sz w:val="24"/>
                <w:szCs w:val="24"/>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24"/>
                <w:szCs w:val="24"/>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13.6 years</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69,700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69,700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a customer list became fully amortized, reducing the cost and accumulated amortization in the table above.</w:t>
      </w:r>
    </w:p>
    <w:p>
      <w:pPr>
        <w:spacing w:after="0" w:line="1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fourth quarter of 2024, the Company made the decision to cease offering its student loan products. An impairment charge of $1.4 million was recorded in the fourth quarter of 2024 associated with student loan customer list intangible assets with an original cost of $6.4 million</w:t>
      </w:r>
    </w:p>
    <w:p>
      <w:pPr>
        <w:spacing w:after="0" w:line="1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December 31, 2025,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5"/>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8"/>
        </w:trPr>
        <w:tc>
          <w:tcPr>
            <w:tcW w:w="9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29"/>
        </w:trPr>
        <w:tc>
          <w:tcPr>
            <w:tcW w:w="9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27,950</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7—EQUITY INVESTMENTS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28, 2020, the Company acquired an equity interest in Stash Financial, Inc. (“Stash”) for $80.0 million. On January 6, 2021, the Company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18, 2021, the Company entered into a stock transfer agreement with third parties to sell a portion of its Stash equity securities for $46.3 million with a cost basis of $18.4 million. The Company recorded a realized gain of $27.9 million based on the sale of Stash equity securities under the stock transfer agreement. In 2021, the Company recorded a net unrealized gain on the investment in Stash of $95.4 million as a result of an adjustment to the fair value of the Stash equity securities based on observable market events.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determined there was an impairment indicator related to its Stash investment and performed a valuation of the investment. Based on the valuation, the Company determined the estimated fair value was below the carrying value of the investment and recorded an impairment charge of $113.1 million. The Company determined the fair value by using a market approach and a DCF analysis. Determining the fair value using a DCF analysis and a market analysis requires the exercise of significant judgments, including judgments about the appropriate discount rate, perpetual growth rates, including short-term revenue and EBITDA, the amount and timing of expected future cash flows, and the revenue exit multiple.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third quarter of 2024, the Company was informed that Stash executed a term sheet for additional funding. As a result, the Company determined there was an impairment indicator related to its Stash investment and performed a valuation of the investment. The Company determined the fair value by predominately modeling its value of the investment based on the new funding terms utilizing an option pricing model. Based on the valuation of the Stash investment, the Company determined the estimated fair value was below the carrying value of the investment and recorded an impairment charge of $43.4 million. Determining the fair value using the new funding terms requires the exercise of significant judgments, including judgments about the appropriate volatility, risk-free rate of return, time to expiration and liquidation preferences.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2025, the Company recorded an impairment of $1.2 million on its investment in Stash.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carrying value of the Company’s investment in Stash was $0.5 million.</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January 2022, the Company acquired an equity interest in EarnUp Inc. (“EarnUp”) for $15.0 million. EarnUp is a consumer-first mortgage payment platform that intelligently automates loan payment scheduling and helps consumers better manage their money and improve their financial well-being.</w:t>
      </w:r>
    </w:p>
    <w:p>
      <w:pPr>
        <w:spacing w:after="0" w:line="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third quarter of 2024, the Company determined there was an impairment indicator related to its EarnUp investment and recorded an impairment charge of $15.0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2023, the Company recorded an impairment charge of $1.4 million on one of its investment in equity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impairments are included within other income on the consolidated statement of operations and comprehensive income.</w:t>
      </w:r>
    </w:p>
    <w:p>
      <w:pPr>
        <w:spacing w:after="0" w:line="219" w:lineRule="exact"/>
        <w:rPr>
          <w:sz w:val="20"/>
          <w:szCs w:val="20"/>
          <w:color w:val="auto"/>
        </w:rPr>
      </w:pPr>
    </w:p>
    <w:p>
      <w:pPr>
        <w:ind w:right="510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NOTE 8—ACCRUED EXPENSES AND OTHER CURRENT LIABILITIES </w:t>
      </w:r>
      <w:r>
        <w:rPr>
          <w:rFonts w:ascii="Times New Roman" w:cs="Times New Roman" w:eastAsia="Times New Roman" w:hAnsi="Times New Roman"/>
          <w:sz w:val="17"/>
          <w:szCs w:val="17"/>
          <w:color w:val="auto"/>
        </w:rPr>
        <w:t xml:space="preserve">Accrued expenses and other current liabilities consist of the following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69,250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25,707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8,114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contingencies</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13,001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5,196</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126,803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107,185</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9—LEASES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right-of-use assets totaled $31.7 million and lease liabilities, the current portion of which is included in accrued expenses and other current liabilities in the accompanying balance sheet, totaled $48.0 million. At December 31, 2024, right-of-use assets totaled $52.6 million and lease liabilities totaled $75.0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 xml:space="preserve">Lease expense, which is included in general and administrative expense on the accompanying consolidated statements of operations and comprehensive income (loss),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7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5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8,515</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r>
      <w:tr>
        <w:trPr>
          <w:trHeight w:val="228"/>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2"/>
        </w:trPr>
        <w:tc>
          <w:tcPr>
            <w:tcW w:w="5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8,023</w:t>
            </w:r>
          </w:p>
        </w:tc>
        <w:tc>
          <w:tcPr>
            <w:tcW w:w="5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8,556</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9,532</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operating leases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years</w:t>
            </w: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11.1 years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 years</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r>
      <w:tr>
        <w:trPr>
          <w:trHeight w:val="640"/>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Supplemental cash flow information related to leases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4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8"/>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5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shd w:val="clear" w:color="auto" w:fill="CCEEFF"/>
          </w:tcPr>
          <w:p>
            <w:pPr>
              <w:spacing w:after="0"/>
              <w:rPr>
                <w:sz w:val="19"/>
                <w:szCs w:val="19"/>
                <w:color w:val="auto"/>
              </w:rPr>
            </w:pPr>
          </w:p>
        </w:tc>
      </w:tr>
      <w:tr>
        <w:trPr>
          <w:trHeight w:val="659"/>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Maturities of lease liabilities as of December 31, 2025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4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5"/>
        </w:trPr>
        <w:tc>
          <w:tcPr>
            <w:tcW w:w="5780" w:type="dxa"/>
            <w:vAlign w:val="bottom"/>
            <w:tcBorders>
              <w:bottom w:val="single" w:sz="8" w:color="CCEEFF"/>
            </w:tcBorders>
            <w:gridSpan w:val="2"/>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40" w:type="dxa"/>
            <w:vAlign w:val="bottom"/>
          </w:tcPr>
          <w:p>
            <w:pPr>
              <w:spacing w:after="0"/>
              <w:rPr>
                <w:sz w:val="19"/>
                <w:szCs w:val="19"/>
                <w:color w:val="auto"/>
              </w:rPr>
            </w:pP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40" w:type="dxa"/>
            <w:vAlign w:val="bottom"/>
          </w:tcPr>
          <w:p>
            <w:pPr>
              <w:spacing w:after="0"/>
              <w:rPr>
                <w:sz w:val="19"/>
                <w:szCs w:val="19"/>
                <w:color w:val="auto"/>
              </w:rPr>
            </w:pP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40" w:type="dxa"/>
            <w:vAlign w:val="bottom"/>
          </w:tcPr>
          <w:p>
            <w:pPr>
              <w:spacing w:after="0"/>
              <w:rPr>
                <w:sz w:val="19"/>
                <w:szCs w:val="19"/>
                <w:color w:val="auto"/>
              </w:rPr>
            </w:pPr>
          </w:p>
        </w:tc>
      </w:tr>
      <w:tr>
        <w:trPr>
          <w:trHeight w:val="22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73,022</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40" w:type="dxa"/>
            <w:vAlign w:val="bottom"/>
          </w:tcPr>
          <w:p>
            <w:pPr>
              <w:spacing w:after="0"/>
              <w:rPr>
                <w:sz w:val="19"/>
                <w:szCs w:val="19"/>
                <w:color w:val="auto"/>
              </w:rPr>
            </w:pPr>
          </w:p>
        </w:tc>
      </w:tr>
      <w:tr>
        <w:trPr>
          <w:trHeight w:val="229"/>
        </w:trPr>
        <w:tc>
          <w:tcPr>
            <w:tcW w:w="5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47,991</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10—EARNINGS PER SHARE and SHAREHOLDERS' EQUITY</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Basic net income (loss) per share attributable to common shareholders is calculated by dividing net income (loss) by the weighted-average number of shares of common stock outstanding for the period. Diluted net income (loss) per share is calculated by dividing net income (loss), adjusted on an if-converted basis for the period, by the weighted-average number of shares outstanding and potentially dilutive common stock outstanding during the period.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the calculation of basic and diluted net income (loss) per share for the periods presented </w:t>
      </w:r>
      <w:r>
        <w:rPr>
          <w:rFonts w:ascii="Times New Roman" w:cs="Times New Roman" w:eastAsia="Times New Roman" w:hAnsi="Times New Roman"/>
          <w:sz w:val="18"/>
          <w:szCs w:val="18"/>
          <w:i w:val="1"/>
          <w:iCs w:val="1"/>
          <w:color w:val="auto"/>
        </w:rPr>
        <w:t>(in thousands, except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amounts)</w:t>
      </w:r>
      <w:r>
        <w:rPr>
          <w:rFonts w:ascii="Times New Roman" w:cs="Times New Roman" w:eastAsia="Times New Roman" w:hAnsi="Times New Roman"/>
          <w:sz w:val="18"/>
          <w:szCs w:val="18"/>
          <w:color w:val="auto"/>
        </w:rPr>
        <w: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151,308</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(41,704)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(122,404)</w:t>
            </w:r>
          </w:p>
        </w:tc>
      </w:tr>
      <w:tr>
        <w:trPr>
          <w:trHeight w:val="175"/>
        </w:trPr>
        <w:tc>
          <w:tcPr>
            <w:tcW w:w="69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Add back interest expense, net of tax attributable to assumed conversion of convertible senior</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151,542</w:t>
            </w:r>
          </w:p>
        </w:tc>
        <w:tc>
          <w:tcPr>
            <w:tcW w:w="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(41,704)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(122,404)</w:t>
            </w:r>
          </w:p>
        </w:tc>
      </w:tr>
      <w:tr>
        <w:trPr>
          <w:trHeight w:val="249"/>
        </w:trPr>
        <w:tc>
          <w:tcPr>
            <w:tcW w:w="6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48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13,269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8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assumed conversion of convertible senior notes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48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13,269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69"/>
        </w:trPr>
        <w:tc>
          <w:tcPr>
            <w:tcW w:w="6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bl>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2025 the weighted average shares that were anti-dilutive included options to purchase 0.8 million shares of common stock and an immaterial amount of restricted stock units.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had a net loss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year ended December 31, 2024 because their inclusion would have been anti-dilutive. For the year ended December 31, 2024 the weighted average shares that were anti-dilutive included options to purchase 0.9 million shares of common stock and an immaterial amount of restricted stock units.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the Company had a net loss and, as a result, no potentially dilutive securities were included in the denominator for computing diluted loss per share, because the impact would have been anti-dilutive. Accordingly, the weighted average basic shares outstanding was used to compute loss per share. An immaterial amount of shares related to potentially dilutive securities were excluded from the calculation of diluted loss per share for the year ended December 31, 2023 because their inclusion would have been anti-dilutive. For the year ended December 31, 2023, the weighted average shares that were anti-dilutive, and therefore excluded from the calculation of diluted income per share, included options to purchase 1.2 million shares of common stock and 0.5 million restricted stock units.</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The convertible notes and the warrants issued by the Company could have been converted into the Company’s common stock, subject to certain contingencies. These convertible notes were settled in 2025 and the warrants have expired and are no longer outstanding.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13—Debt for additional information. The if-converted method is used for diluted net income per share calculation of our convertible notes.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0.6 million shares related to the potentially dilutive shares of the Company's common stock associated with the 0.50% Convertible Senior Notes due July 15, 2025 were excluded from the calculation of diluted loss per share for the year ended December 31, 2024 because their inclusion would have been anti-dilutive. Approximately 1.2 million shares related to the potentially dilutive shares of the Company's common stock associated with the 0.50% Convertible Senior Notes due July 15, 2025 were excluded from the calculation of diluted loss per share for the year ended December 31, 2023 because their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inclusion would have been anti-dilutive. Shares of the Company's stock associated with warrants issued by the Company in 2020 were excluded from the calculation of diluted income (loss) per share for the years ended December 31, 2025, 2024, and 2023 because their inclusion would have been anti-dilutive.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11—Stock-Based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July 2024, the Company entered into an Equity Distribution Agreement in connection with the establishment of an ATM Equity Program under which the Company may sell up to an aggregate of $50.0 million of shares of the Company's common stock. No sales were made under the Equity Distribution Agreement during the years ended December 31,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The Company did not purchase shares of its common stock during the years ended December 31, 2025, 2024, and 2023. At December 31, 2025, $96.7 million remains authorized for share repurchase.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has two active plans; the LendingTree 2023 Stock Plan (the “Equity Award Plan”) and the LendingTree 2023 Inducement Grant Plan (the "Inducement Plan"), under which future awards may be granted. The Equity Award Plan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3.1 million and 0.1 million, respectively, of LendingTree shares of common stock to employees, and, under the Equity Plan only, to non-employee consultants and directors.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Award Plan and Inducement Plan each have a stated term of ten years and provides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2,637</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23,672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20,478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2,720</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4,501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28"/>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2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29,457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28,579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39,682</w:t>
            </w:r>
          </w:p>
        </w:tc>
      </w:tr>
    </w:tbl>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2025, non-cash compensation within general and administrative expense includes $5.8 million of expense due to the acceleration of certain equity awards associated with our previous Founder and Chief Executive Officer.</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$3.4 million, $4.7 million, and $7.4 million, respectively, of income tax benefit, including state taxes, related to non-cash compensation. Additionally, for the year ended December 31, 2025, 2024, and 2023 the Company recognized excess tax expense of $0.9 million, $4.4 million, and $7.8 million,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vMerge w:val="restart"/>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ind w:right="35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ind w:right="4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00" w:type="dxa"/>
            <w:vAlign w:val="bottom"/>
          </w:tcPr>
          <w:p>
            <w:pPr>
              <w:spacing w:after="0"/>
              <w:rPr>
                <w:sz w:val="12"/>
                <w:szCs w:val="12"/>
                <w:color w:val="auto"/>
              </w:rPr>
            </w:pPr>
          </w:p>
        </w:tc>
        <w:tc>
          <w:tcPr>
            <w:tcW w:w="1380" w:type="dxa"/>
            <w:vAlign w:val="bottom"/>
          </w:tcPr>
          <w:p>
            <w:pPr>
              <w:jc w:val="center"/>
              <w:ind w:right="338"/>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6"/>
              </w:rPr>
              <w:t>Value</w:t>
            </w:r>
            <w:r>
              <w:rPr>
                <w:rFonts w:ascii="Times New Roman" w:cs="Times New Roman" w:eastAsia="Times New Roman" w:hAnsi="Times New Roman"/>
                <w:sz w:val="9"/>
                <w:szCs w:val="9"/>
                <w:b w:val="1"/>
                <w:bCs w:val="1"/>
                <w:color w:val="auto"/>
                <w:w w:val="96"/>
              </w:rPr>
              <w:t>(a)</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371,386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144.89</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359,477</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228.86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359,477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228.86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59"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$53.09 on the last trading day of 2025 and the exercise price, multiplied by the number of shares covered by in-the-money options) that would have been received by the option holder had the option holder exercised these options on December 31, 2025. The intrinsic value changes based on the market value of the Company's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unrecognized compensation cost related to stock options.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2025 and 2023, there were no stock options exercised. During the year ended December 31, 2024, the total intrinsic value of stock options that were exercised was $4.2 million. Cash received from stock option exercises was $1.4 million and there was no related actual tax benefit realized due to the valuation allowance against net deferred tax assets for the year ended December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there were no stock options granted.</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2025, 2024 and 2023, the total grant date fair value of options vested was $5.7 million, $6.0 million and $11.9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vMerge w:val="restart"/>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338"/>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280" w:type="dxa"/>
            <w:vAlign w:val="bottom"/>
          </w:tcPr>
          <w:p>
            <w:pPr>
              <w:spacing w:after="0"/>
              <w:rPr>
                <w:sz w:val="12"/>
                <w:szCs w:val="12"/>
                <w:color w:val="auto"/>
              </w:rPr>
            </w:pPr>
          </w:p>
        </w:tc>
        <w:tc>
          <w:tcPr>
            <w:tcW w:w="1360" w:type="dxa"/>
            <w:vAlign w:val="bottom"/>
          </w:tcPr>
          <w:p>
            <w:pPr>
              <w:jc w:val="center"/>
              <w:ind w:right="338"/>
              <w:spacing w:after="0" w:line="148"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2"/>
              <w:spacing w:after="0" w:line="201"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33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699,312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227.74</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(217,643)</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300.00</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660" w:hanging="330"/>
        <w:spacing w:after="0" w:line="264"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$53.09 on the last trading day of 2025 and the exercise price, multiplied by the number of shares covered by in-the-money options) that would have been received by the option holder had the option holder exercised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options on December 31, 2025. The intrinsic value changes based on the market value of the Company's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no unrecognized compensation cost related to stock options with market conditions.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with market conditions were granted in 2023, 2024 or 2025.</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December 2020, the Company granted graded-vesting stock options with a market condition to its former Chairman and Chief Executive Officer at a premium exercise price of $300, representing an approximate 25% premium over the closing market price of LendingTree's common stock on the date of grant. The performance measurement period ended on March 31, 2025 and the target number of shares expired, as reflected in the table above.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additional performance-based nonqualified stock options with a market condition had been earned.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nonvested RSUs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jc w:val="center"/>
              <w:ind w:right="18"/>
              <w:spacing w:after="0" w:line="130"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7580" w:type="dxa"/>
            <w:vAlign w:val="bottom"/>
          </w:tcPr>
          <w:p>
            <w:pPr>
              <w:spacing w:after="0"/>
              <w:rPr>
                <w:sz w:val="12"/>
                <w:szCs w:val="12"/>
                <w:color w:val="auto"/>
              </w:rPr>
            </w:pPr>
          </w:p>
        </w:tc>
        <w:tc>
          <w:tcPr>
            <w:tcW w:w="18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tcPr>
          <w:p>
            <w:pPr>
              <w:spacing w:after="0"/>
              <w:rPr>
                <w:sz w:val="12"/>
                <w:szCs w:val="12"/>
                <w:color w:val="auto"/>
              </w:rPr>
            </w:pPr>
          </w:p>
        </w:tc>
        <w:tc>
          <w:tcPr>
            <w:tcW w:w="166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1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569,460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(a)</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561,615</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(369,294)</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(41,321)</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2025</w:t>
            </w: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720,460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grant date fair value per share of the RSUs is calculated as the closing market price of LendingTree's common stock at the time of grant.</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2025, there was approximately $19.6 million of unrecognized compensation cost related to RSUs. These costs are expected to be recognized over a weighted-average period of approximately 1.7 years.</w:t>
      </w:r>
    </w:p>
    <w:p>
      <w:pPr>
        <w:spacing w:after="0" w:line="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total fair value of RSUs that vested during the years ended December 31, 2025, 2024, and 2023 was $16.3 million, $10.8 million and $6.9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market conditions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3660" w:type="dxa"/>
            <w:vAlign w:val="bottom"/>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RSUs with Market Conditions (a)</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580" w:type="dxa"/>
            <w:vAlign w:val="bottom"/>
          </w:tcPr>
          <w:p>
            <w:pPr>
              <w:spacing w:after="0"/>
              <w:rPr>
                <w:sz w:val="11"/>
                <w:szCs w:val="11"/>
                <w:color w:val="auto"/>
              </w:rPr>
            </w:pPr>
          </w:p>
        </w:tc>
        <w:tc>
          <w:tcPr>
            <w:tcW w:w="18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57"/>
              <w:spacing w:after="0" w:line="130"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3"/>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1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145,000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(60,527)</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2025</w:t>
            </w: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79,000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55"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Company granted RSUs with market conditions that will vest if the Company's 90 trading day average closing stock prices equals or exceeds certain price hurdles ($60.00, $75.00 and $90.00) during the performance period of March 10, 2025 to March 10, 2029, and granted RSUs with market conditions that will vest if the Company's 90 trading day average closing stock prices equals or exceeds certain price hurdles ($75.00 and $90.00) during the performance period of December 31, 2025 to December 31, 2028. Upon achievement of each price hurdle, one-half of the awards will vest upon the later of the achievement date or the one-year anniversary of the grant date, and the other half of the awards will vest on the first anniversary of the achievement date.</w:t>
      </w:r>
    </w:p>
    <w:p>
      <w:pPr>
        <w:spacing w:after="0" w:line="77" w:lineRule="exact"/>
        <w:rPr>
          <w:rFonts w:ascii="Times New Roman" w:cs="Times New Roman" w:eastAsia="Times New Roman" w:hAnsi="Times New Roman"/>
          <w:sz w:val="18"/>
          <w:szCs w:val="18"/>
          <w:color w:val="auto"/>
        </w:rPr>
      </w:pPr>
    </w:p>
    <w:p>
      <w:pPr>
        <w:ind w:left="660" w:right="2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5780" w:type="dxa"/>
            <w:vAlign w:val="bottom"/>
            <w:shd w:val="clear" w:color="auto" w:fill="CCEEFF"/>
          </w:tcPr>
          <w:p>
            <w:pPr>
              <w:spacing w:after="0"/>
              <w:rPr>
                <w:sz w:val="19"/>
                <w:szCs w:val="19"/>
                <w:color w:val="auto"/>
              </w:rPr>
            </w:pPr>
          </w:p>
        </w:tc>
        <w:tc>
          <w:tcPr>
            <w:tcW w:w="4040" w:type="dxa"/>
            <w:vAlign w:val="bottom"/>
            <w:tcBorders>
              <w:bottom w:val="single" w:sz="8" w:color="auto"/>
            </w:tcBorders>
            <w:gridSpan w:val="2"/>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578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23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3.00 - 4.00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r>
      <w:tr>
        <w:trPr>
          <w:trHeight w:val="228"/>
        </w:trPr>
        <w:tc>
          <w:tcPr>
            <w:tcW w:w="57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2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74.09% - 75.11%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w:t>
            </w:r>
          </w:p>
        </w:tc>
      </w:tr>
      <w:tr>
        <w:trPr>
          <w:trHeight w:val="228"/>
        </w:trPr>
        <w:tc>
          <w:tcPr>
            <w:tcW w:w="5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23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3.52% - 3.91%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30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23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bl>
    <w:p>
      <w:pPr>
        <w:spacing w:after="0" w:line="93" w:lineRule="exact"/>
        <w:rPr>
          <w:sz w:val="20"/>
          <w:szCs w:val="20"/>
          <w:color w:val="auto"/>
        </w:rPr>
      </w:pPr>
    </w:p>
    <w:p>
      <w:pPr>
        <w:ind w:left="980" w:hanging="328"/>
        <w:spacing w:after="0" w:line="280" w:lineRule="auto"/>
        <w:tabs>
          <w:tab w:leader="none" w:pos="9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the respective performance period plus any time-based vesting requirement.</w:t>
      </w:r>
    </w:p>
    <w:p>
      <w:pPr>
        <w:spacing w:after="0" w:line="54" w:lineRule="exact"/>
        <w:rPr>
          <w:rFonts w:ascii="Times New Roman" w:cs="Times New Roman" w:eastAsia="Times New Roman" w:hAnsi="Times New Roman"/>
          <w:sz w:val="18"/>
          <w:szCs w:val="18"/>
          <w:color w:val="auto"/>
        </w:rPr>
      </w:pPr>
    </w:p>
    <w:p>
      <w:pPr>
        <w:ind w:left="960" w:hanging="30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69" w:lineRule="exact"/>
        <w:rPr>
          <w:rFonts w:ascii="Times New Roman" w:cs="Times New Roman" w:eastAsia="Times New Roman" w:hAnsi="Times New Roman"/>
          <w:sz w:val="18"/>
          <w:szCs w:val="18"/>
          <w:color w:val="auto"/>
        </w:rPr>
      </w:pPr>
    </w:p>
    <w:p>
      <w:pPr>
        <w:ind w:left="980" w:right="20" w:hanging="328"/>
        <w:spacing w:after="0" w:line="280" w:lineRule="auto"/>
        <w:tabs>
          <w:tab w:leader="none" w:pos="9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8" w:lineRule="exact"/>
        <w:rPr>
          <w:rFonts w:ascii="Times New Roman" w:cs="Times New Roman" w:eastAsia="Times New Roman" w:hAnsi="Times New Roman"/>
          <w:sz w:val="18"/>
          <w:szCs w:val="18"/>
          <w:color w:val="auto"/>
        </w:rPr>
      </w:pPr>
    </w:p>
    <w:p>
      <w:pPr>
        <w:ind w:left="980" w:hanging="328"/>
        <w:spacing w:after="0" w:line="280" w:lineRule="auto"/>
        <w:tabs>
          <w:tab w:leader="none" w:pos="9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stock options, resulting in a zero expected dividend rate.</w:t>
      </w:r>
    </w:p>
    <w:p>
      <w:pPr>
        <w:spacing w:after="0" w:line="1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2025, there was approximately $2.6 million of unrecognized compensation cost related to RSUs with market conditions. These costs are expected to be recognized over a weighted-average period of approximately 2.6 years.</w:t>
      </w:r>
    </w:p>
    <w:p>
      <w:pPr>
        <w:spacing w:after="0" w:line="1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total fair value of RSUs with market conditions that vested during the years ended December 31, 2025 and 2024 was $3.5 million and $1.2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an employee stock purchase plan (“ESPP”), under which a total of 262,731 shares of the Company's common stock were reserved for issuance. The ESPP is a tax-qualified plan under Section 423 of the Internal Revenue Code. Under the terms of the ESPP, eligible employees are granted options to purchase shares of the Company's common stock at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85% of the lesser of (1) the fair market value at time of grant or (2) the fair market value at time of exercise. The offering periods and purchase periods are typically 6-month periods ending on June 30 and December 31 of each year.</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42,270 shares were purchased under the ESPP at a weighted average purchase price of $31.97 per share, resulting in cash proceeds of $1.4 million. During the year ended December 31, 2024, 45,690 shares were purchased under the ESPP at a weighted average purchase price of $28.10 per share, resulting in cash proceeds of $1.3 million. During the year ended December 31, 2023, 64,549 shares were purchased under the ESPP at a weighted average price of $19.03 per share, resulting in cash proceeds of $1.2 million. As of December 31, 2025 and 2024, 74,304 and 116,574 shares, respectively, were available for issuance under the ESPP.</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granted Employee Stock Purchase Rights to certain employees with a weighted average grant date fair value per share of $14.00, $12.68 and $8.51,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200" w:lineRule="exact"/>
        <w:rPr>
          <w:sz w:val="20"/>
          <w:szCs w:val="20"/>
          <w:color w:val="auto"/>
        </w:rPr>
      </w:pPr>
    </w:p>
    <w:p>
      <w:pPr>
        <w:spacing w:after="0" w:line="26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2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61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2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0.50 years</w:t>
            </w: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0.50 years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8"/>
        </w:trPr>
        <w:tc>
          <w:tcPr>
            <w:tcW w:w="61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2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20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71% - 79%</w:t>
            </w: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78% - 82%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8"/>
        </w:trPr>
        <w:tc>
          <w:tcPr>
            <w:tcW w:w="6120" w:type="dxa"/>
            <w:vAlign w:val="bottom"/>
            <w:tcBorders>
              <w:bottom w:val="single" w:sz="8" w:color="999999"/>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2000" w:type="dxa"/>
            <w:vAlign w:val="bottom"/>
            <w:tcBorders>
              <w:bottom w:val="single" w:sz="8" w:color="999999"/>
            </w:tcBorders>
          </w:tcPr>
          <w:p>
            <w:pPr>
              <w:jc w:val="right"/>
              <w:ind w:right="232"/>
              <w:spacing w:after="0"/>
              <w:rPr>
                <w:sz w:val="20"/>
                <w:szCs w:val="20"/>
                <w:color w:val="auto"/>
              </w:rPr>
            </w:pPr>
            <w:r>
              <w:rPr>
                <w:rFonts w:ascii="Times New Roman" w:cs="Times New Roman" w:eastAsia="Times New Roman" w:hAnsi="Times New Roman"/>
                <w:sz w:val="18"/>
                <w:szCs w:val="18"/>
                <w:color w:val="auto"/>
              </w:rPr>
              <w:t>4.24% - 4.29%</w:t>
            </w:r>
          </w:p>
        </w:tc>
        <w:tc>
          <w:tcPr>
            <w:tcW w:w="1720" w:type="dxa"/>
            <w:vAlign w:val="bottom"/>
            <w:tcBorders>
              <w:bottom w:val="single" w:sz="8" w:color="999999"/>
            </w:tcBorders>
          </w:tcPr>
          <w:p>
            <w:pPr>
              <w:jc w:val="right"/>
              <w:ind w:right="232"/>
              <w:spacing w:after="0"/>
              <w:rPr>
                <w:sz w:val="20"/>
                <w:szCs w:val="20"/>
                <w:color w:val="auto"/>
              </w:rPr>
            </w:pPr>
            <w:r>
              <w:rPr>
                <w:rFonts w:ascii="Times New Roman" w:cs="Times New Roman" w:eastAsia="Times New Roman" w:hAnsi="Times New Roman"/>
                <w:sz w:val="18"/>
                <w:szCs w:val="18"/>
                <w:color w:val="auto"/>
              </w:rPr>
              <w:t>5.28% - 5.33%</w:t>
            </w:r>
          </w:p>
        </w:tc>
        <w:tc>
          <w:tcPr>
            <w:tcW w:w="14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4.76% - 5.50%</w:t>
            </w:r>
          </w:p>
        </w:tc>
      </w:tr>
    </w:tbl>
    <w:p>
      <w:pPr>
        <w:spacing w:after="0" w:line="237" w:lineRule="exact"/>
        <w:rPr>
          <w:sz w:val="20"/>
          <w:szCs w:val="20"/>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6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the income tax expense (benefit)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5"/>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422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3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8"/>
              </w:rPr>
              <w:t>1,155</w:t>
            </w:r>
          </w:p>
        </w:tc>
      </w:tr>
      <w:tr>
        <w:trPr>
          <w:trHeight w:val="228"/>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8"/>
              </w:rPr>
              <w:t>1,022</w:t>
            </w:r>
          </w:p>
        </w:tc>
      </w:tr>
      <w:tr>
        <w:trPr>
          <w:trHeight w:val="222"/>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(benefit) expense</w:t>
            </w:r>
          </w:p>
        </w:tc>
        <w:tc>
          <w:tcPr>
            <w:tcW w:w="3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1,527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2,177</w:t>
            </w:r>
          </w:p>
        </w:tc>
      </w:tr>
      <w:tr>
        <w:trPr>
          <w:trHeight w:val="22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(100,510)</w:t>
            </w:r>
          </w:p>
        </w:tc>
        <w:tc>
          <w:tcPr>
            <w:tcW w:w="34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19"/>
                <w:szCs w:val="19"/>
                <w:color w:val="auto"/>
              </w:rPr>
            </w:pPr>
          </w:p>
        </w:tc>
        <w:tc>
          <w:tcPr>
            <w:tcW w:w="92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8"/>
              </w:rPr>
              <w:t>(3,383)</w:t>
            </w:r>
          </w:p>
        </w:tc>
      </w:tr>
      <w:tr>
        <w:trPr>
          <w:trHeight w:val="228"/>
        </w:trPr>
        <w:tc>
          <w:tcPr>
            <w:tcW w:w="4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1,846</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8"/>
              </w:rPr>
              <w:t>(1,309)</w:t>
            </w:r>
          </w:p>
        </w:tc>
      </w:tr>
      <w:tr>
        <w:trPr>
          <w:trHeight w:val="222"/>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(benefit) expense</w:t>
            </w:r>
          </w:p>
        </w:tc>
        <w:tc>
          <w:tcPr>
            <w:tcW w:w="3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(129,751)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2,793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(4,692)</w:t>
            </w:r>
          </w:p>
        </w:tc>
      </w:tr>
      <w:tr>
        <w:trPr>
          <w:trHeight w:val="229"/>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34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(130,284)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4,320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b w:val="1"/>
                <w:bCs w:val="1"/>
                <w:color w:val="auto"/>
                <w:w w:val="98"/>
              </w:rPr>
              <w:t>(2,515)</w:t>
            </w:r>
          </w:p>
        </w:tc>
      </w:tr>
      <w:tr>
        <w:trPr>
          <w:trHeight w:val="995"/>
        </w:trPr>
        <w:tc>
          <w:tcPr>
            <w:tcW w:w="4220" w:type="dxa"/>
            <w:vAlign w:val="bottom"/>
          </w:tcPr>
          <w:p>
            <w:pPr>
              <w:spacing w:after="0"/>
              <w:rPr>
                <w:sz w:val="24"/>
                <w:szCs w:val="24"/>
                <w:color w:val="auto"/>
              </w:rPr>
            </w:pPr>
          </w:p>
        </w:tc>
        <w:tc>
          <w:tcPr>
            <w:tcW w:w="31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4"/>
        </w:trPr>
        <w:tc>
          <w:tcPr>
            <w:tcW w:w="42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Upon adoption of ASU 2023-09, Improvements to Income Tax Disclosures, as described in Note 2—Significant Accounting Policies, the reconciliation of the income tax expense (benefit) to the amounts computed by applying the statutory federal income tax rate to income (loss) before income taxes is shown as follows </w:t>
      </w:r>
      <w:r>
        <w:rPr>
          <w:rFonts w:ascii="Times New Roman" w:cs="Times New Roman" w:eastAsia="Times New Roman" w:hAnsi="Times New Roman"/>
          <w:sz w:val="18"/>
          <w:szCs w:val="18"/>
          <w:i w:val="1"/>
          <w:iCs w:val="1"/>
          <w:color w:val="auto"/>
        </w:rPr>
        <w:t>(in thousands, except for percentages)</w:t>
      </w:r>
      <w:r>
        <w:rPr>
          <w:rFonts w:ascii="Times New Roman" w:cs="Times New Roman" w:eastAsia="Times New Roman" w:hAnsi="Times New Roman"/>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r>
      <w:tr>
        <w:trPr>
          <w:trHeight w:val="25"/>
        </w:trPr>
        <w:tc>
          <w:tcPr>
            <w:tcW w:w="8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8"/>
        </w:trPr>
        <w:tc>
          <w:tcPr>
            <w:tcW w:w="8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6"/>
                <w:szCs w:val="16"/>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effect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 %</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 inclusion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experimentation tax credit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(546.9) %</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nontaxable or nondeductible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(130,284)</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r>
    </w:tbl>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 and local income taxes, net of federal benefit decreased the effective tax rate by 112.8% for the year ended December 31, 2025. The decrease was primarily due to the releases of valuation allowances against deferred tax assets in multiple state jurisdictions where the Company concluded it is more likely than not that certain deferred tax assets will be realized. Valuation allowances remain in place where realization of deferred tax assets is not considered more likely than not. The most significant impacts related to California and Illinois, which together represented more than 50% of the total state tax benefit. The remaining decrease was attributable to a combination of several other state jurisdictions.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reconciliation of the income tax expense (benefit) to the amounts computed by applying the statutory federal income tax rate to income (loss) before income taxes for the years ended December 31, 2024 and 2023 in accordance with the guidance prior to the adoption of ASU 2023-09 was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2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22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tax credit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5,045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state deferred tax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state net operating loss carryforwards</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inclusion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8"/>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4,320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1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The tax effects of cumulative temporary differences that give rise to significant portions of the deferred tax assets and deferred tax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11,991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r>
      <w:tr>
        <w:trPr>
          <w:trHeight w:val="228"/>
        </w:trPr>
        <w:tc>
          <w:tcPr>
            <w:tcW w:w="826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45,032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38,746</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16,577</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35,861</w:t>
            </w:r>
          </w:p>
        </w:tc>
      </w:tr>
      <w:tr>
        <w:trPr>
          <w:trHeight w:val="228"/>
        </w:trPr>
        <w:tc>
          <w:tcPr>
            <w:tcW w:w="826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22,931</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23,953</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24,641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16,538</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19,659</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16,995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161,054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179,543</w:t>
            </w:r>
          </w:p>
        </w:tc>
      </w:tr>
      <w:tr>
        <w:trPr>
          <w:trHeight w:val="228"/>
        </w:trPr>
        <w:tc>
          <w:tcPr>
            <w:tcW w:w="8260" w:type="dxa"/>
            <w:vAlign w:val="bottom"/>
            <w:tcBorders>
              <w:bottom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Less: valuation allowance </w:t>
            </w:r>
            <w:r>
              <w:rPr>
                <w:rFonts w:ascii="Times New Roman" w:cs="Times New Roman" w:eastAsia="Times New Roman" w:hAnsi="Times New Roman"/>
                <w:sz w:val="23"/>
                <w:szCs w:val="23"/>
                <w:color w:val="auto"/>
                <w:vertAlign w:val="superscript"/>
              </w:rPr>
              <w:t>(c)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(167,549)</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 of the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143,046</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11,994</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(18,179)</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124,867</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(4,884)</w:t>
            </w:r>
          </w:p>
        </w:tc>
      </w:tr>
    </w:tbl>
    <w:p>
      <w:pPr>
        <w:spacing w:after="0" w:line="183" w:lineRule="exact"/>
        <w:rPr>
          <w:sz w:val="20"/>
          <w:szCs w:val="20"/>
          <w:color w:val="auto"/>
        </w:rPr>
      </w:pPr>
    </w:p>
    <w:p>
      <w:pPr>
        <w:jc w:val="both"/>
        <w:ind w:left="660" w:hanging="330"/>
        <w:spacing w:after="0" w:line="259" w:lineRule="auto"/>
        <w:tabs>
          <w:tab w:leader="none" w:pos="657"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December 31, 2025, the Company had pre-tax consolidated federal net operating losses (“NOLs”) of $148.8 million. The federal NOLs no longer expire under the Tax Cuts and Jobs Act. The Company's NOLs will be available to offset taxable income, subject to the Internal Revenue Code Section 382 annual limitation. In addition, the Company has state NOLs of approximately $423.1 million at December 31, 2025, a portion of which will expire at various times between 2026 and 2055.</w:t>
      </w:r>
    </w:p>
    <w:p>
      <w:pPr>
        <w:spacing w:after="0" w:line="73" w:lineRule="exact"/>
        <w:rPr>
          <w:rFonts w:ascii="Times New Roman" w:cs="Times New Roman" w:eastAsia="Times New Roman" w:hAnsi="Times New Roman"/>
          <w:sz w:val="17"/>
          <w:szCs w:val="17"/>
          <w:b w:val="1"/>
          <w:bCs w:val="1"/>
          <w:color w:val="auto"/>
        </w:rPr>
      </w:pPr>
    </w:p>
    <w:p>
      <w:pPr>
        <w:ind w:left="660" w:hanging="330"/>
        <w:spacing w:after="0" w:line="280" w:lineRule="auto"/>
        <w:tabs>
          <w:tab w:leader="none" w:pos="653"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Certain out-of-the-money stock options are expected to expire unexercised, and as a result may be required to reverse the related deferred tax asset for share-based compensation, which could increase income tax expense and our effective tax rate in a future period.</w:t>
      </w:r>
    </w:p>
    <w:p>
      <w:pPr>
        <w:spacing w:after="0" w:line="52"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valuation allowance is related to items for which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tax benefit will not be realized.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Deferred income taxes are presented in the accompanying consolidated balance sheets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124,867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124,867</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 As of each reporting date, management considers both positive and negative evidence regarding the likelihood of future realization of the deferred tax assets.</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2025, the Company recorded a tax benefit of $149.5 million to reduce the valuation allowance the Company established in 2022 against its net deferred tax assets. Management determined upon review of the deferred tax assets for recoverability that sufficient positive evidence existed to conclude a substantial portion of the valuation allowance was no longer needed. Based on sustained profitability, improved forecasts of future taxable income, and the reversal of existing temporary differences, management concluded that it is more likely than not that we will be able to utilize the deferred tax assets. The ultimate realization of deferred tax assets is dependent upon the generation of future taxable income. The Company maintains a valuation allowance of $18.0 million primarily related to certain states for which it estimates the net operating losses will expire prior to being utilized and other deferred tax assets related to equity investments for which it is not more likely than not that the deferred tax assets will be realized. In determining the amount of the remaining valuation allowance, the Company considered the scheduled reversal of deferred tax liabilities. Should there be a change in the valuation allowance in the future, the income tax provision would increase or decrease in the period in which the allowance is changed.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deferred tax valuation allowance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167,549</w:t>
            </w:r>
          </w:p>
        </w:tc>
        <w:tc>
          <w:tcPr>
            <w:tcW w:w="4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162,504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145,401</w:t>
            </w:r>
          </w:p>
        </w:tc>
      </w:tr>
      <w:tr>
        <w:trPr>
          <w:trHeight w:val="228"/>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Charges to earnings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(149,541)</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5,045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w:t>
            </w:r>
          </w:p>
        </w:tc>
      </w:tr>
      <w:tr>
        <w:trPr>
          <w:trHeight w:val="222"/>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18,008</w:t>
            </w:r>
          </w:p>
        </w:tc>
        <w:tc>
          <w:tcPr>
            <w:tcW w:w="4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167,549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162,504</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amounts of unrecognized tax benefits, excluding interest and penalties,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4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3,721</w:t>
            </w:r>
          </w:p>
        </w:tc>
        <w:tc>
          <w:tcPr>
            <w:tcW w:w="10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of the current period</w:t>
            </w:r>
          </w:p>
        </w:tc>
        <w:tc>
          <w:tcPr>
            <w:tcW w:w="9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(subtractions) based on tax positions of the prior period</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3,953</w:t>
            </w:r>
          </w:p>
        </w:tc>
        <w:tc>
          <w:tcPr>
            <w:tcW w:w="10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r>
    </w:tbl>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and, if applicable, penalties are recognized related to unrecognized tax benefits in income tax expense. Interest and penalties on unrecognized tax benefits included in income tax expense of an immaterial amount has been recognized for the tax years ended December 31, 2024 and 2023. For the year ended December 31, 2025 interest is not currently required to be recorded, as there have been no tax attributes included in income tax returns filed for those tax periods to require consideration of interest expense.</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December 31, 2025 and 2024, the accrual for unrecognized tax benefits, including interest, was $4.0 million and $3.7 million, respectively, which would benefit the effective tax rate if recognized.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2—Significant Accounting Policies, cash paid for income taxes, net of refunds, during the year ended December 31, 2025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U.S. state and local</w:t>
            </w:r>
          </w:p>
        </w:tc>
        <w:tc>
          <w:tcPr>
            <w:tcW w:w="3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 India</w:t>
            </w:r>
          </w:p>
        </w:tc>
        <w:tc>
          <w:tcPr>
            <w:tcW w:w="3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 paid, net of refunds received</w:t>
            </w:r>
          </w:p>
        </w:tc>
        <w:tc>
          <w:tcPr>
            <w:tcW w:w="36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19"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2025, the Company is subject to a federal income tax examination for the tax years 2015 through 2024. In addition, the Company is subject to state and local tax examinations for the tax years 2020 through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Notes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24, 2020, the Company issued $575.0 million aggregate principal amount of its 0.50% Convertible Senior Notes due July 15, 2025 (the “2025 Notes”) in a private placement. The 2025 Notes matured on July 15, 2025. The initial conversion rate of the 2025 Notes was 2.1683 shares of the Company's common stock per $1,000 principal amount of 2025 Notes (which is equivalent to an initial conversion price of approximately $461.19 per share).</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July 15, 2025, the Company repaid the $95.3 million outstanding principal amount of the 2025 Notes upon maturity in cash plus $0.2 million of accrued interest. Upon this repayment, the 2025 Notes were extinguished and repaid in full and the Company has no further obligations with respect to the 2025 Notes.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first quarter of 2025, the Company repurchased approximately $20.0 million of its 2025 Notes, through individual privately-negotiated transactions with certain holders of the 2025 Notes, for $19.7 million in cash plus an immaterial amount of accrued and unpaid interest. The repurchase resulted in a $0.3 million gain on the extinguishment of debt which is included in interest expense, net in the consolidated statement of operations and comprehensive income.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2024, the Company repurchased approximately $161.3 million in principal amount of the 2025 Notes for $151.7 million plus accrued and unpaid interest of approximately $0.3 million. In the third quarter of 2024, the Company repurchased approximately $7.6 million in principal amount of the 2025 Notes for $7.2 million. During the year ended December 31, 2024, the Company recognized a gain on the extinguishment of debt of $10.1 million and a loss on the write-off of unamortized debt issuance costs of $1.1 million, both of which are included in interest (expense) income, net in the consolidated statements of operations and comprehensive income.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first quarter of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fourth quarter of 2023, the Company repurchased approximately $100.2 million in principal amount of its 2025 Notes, through individual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 write-off of unamortized debt issuance costs of $3.2 million and incurred debt repayment costs of $1.6 million, all of which are included in interest (expense) income, net in the consolidated statements of operations and comprehensive income.</w:t>
      </w:r>
    </w:p>
    <w:p>
      <w:pPr>
        <w:spacing w:after="0" w:line="13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During 2025, the Company recorded interest expense on the 2025 Notes of $0.6 million which consisted of $0.3 million associated with the 0.50% coupon rate and $0.3 million associated with the amortization of the debt issuance costs. During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2024, the Company recorded interest expense on the 2025 Notes of $1.9 million which consisted of $0.9 million associated with the 0.50% coupon rate and $1.0 million associated with the amortization of the debt issuance costs. During 2023, the Company recorded interest expense on the 2025 Notes of $4.3 million which consisted of $2.1 million associated with the 0.50% coupon rate and $2.2 million associated with the amortization of the debt issuance costs.</w:t>
      </w:r>
    </w:p>
    <w:p>
      <w:pPr>
        <w:spacing w:after="0" w:line="3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 summary of the gross carrying amount and debt issuance costs of the 2025 Notes, all of which is recorded as a current liability in the December 31, 2024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49"/>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9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115,307</w:t>
            </w:r>
          </w:p>
        </w:tc>
      </w:tr>
      <w:tr>
        <w:trPr>
          <w:trHeight w:val="228"/>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9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114,976</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Hedge and Warrants</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July 24, 2020, in connection with the issuance of the 2025 Notes, the Company entered into Convertible Note Hedge (the “2020 Hedge”) and warrant transactions with respect to the Company’s common stock.</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2020 Hedge transactions cover 1.2 million shares of the Company’s common stock, the same number of shares initially underlying the 2025 Notes. The 2020 Hedge transactions were expected generally to reduce the potential dilution to the Company's common stock upon conversion of the 2025 Notes and/or offset any cash payments the Company could have been required to make in excess of the principal amount of the converted 2025 Notes, as the case may be, in the event that the market price per share of common stock, as measured under the terms of the 2020 Hedge transactions, was greater than the strike price of the 2020 Hedge transactions, which initially corresponds to the initial conversion price of the 2025 Notes, or approximately $461.19 per share of common stock. The 2020 Hedge transactions expired on July 15, 2025 upon the maturity of the 2025 Notes.</w:t>
      </w:r>
    </w:p>
    <w:p>
      <w:pPr>
        <w:spacing w:after="0" w:line="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exceeded the strike price of the 2020 Warrants, the 2020 Warrants could have had a dilutive effect. The 2020 Warrants expired on February 11,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Credit Facility</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August 21, 2025, the Company entered into a credit agreement (the “2025 Credit Agreement”), consisting of a $75.0 million revolving credit facility (the “2025 Revolving Facility”), which matures on August 21, 2030, and a $400.0 million term loan facility (the “2025 Term Loan” and together with the 2025 Revolving Facility, the “2025 Credit Facility”), which matures on August 21, 2030. The proceeds of the 2025 Credit Facility was used to refinance the 2021 Credit Facility and 2024 Term Loan (defined below), and will be used for working capital and general corporate purposes, and any other purpose not prohibited by the credit agreement. As of December 31, 2025, the Company had $399.0 million borrowings outstanding under the 2025 Term Loan bearing interest based on the Secured Overnight Financing Rate ("SOFR") of 8.22% and had no borrowings under the 2025 Revolving Facility. As of December 31, 2025, borrowings of $4.0 million under the 2025 Term Loan Facility are recorded as current portion of long-term debt on the consolidated balance sheet.</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full amount of the 2025 Revolving Facility will be available on a same-day basis, with respect to base rate loans and upon advance notice with respect to SOFR rate loans, subject to customary terms and conditions. Under certain conditions, the Company will be permitted to add one or more term loans and/or increase revolving or term loan commitments under the Credit Facility by an amount set at the greater of $58.0 million and 50% of consolidated EBITDA (subject to adjustments for certain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prepayments), plus an unlimited amount provided that the first lien net leverage ratio does not exceed 3.10 to 1.00. Additionally, up to $30.0 million of the 2025 Revolving Facility will be available for the issuance of letters of credit.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borrowings under the 2025 Credit Facility bear interest at annual rates that, at the Company’s option, will be either:</w:t>
      </w:r>
    </w:p>
    <w:p>
      <w:pPr>
        <w:spacing w:after="0" w:line="169" w:lineRule="exact"/>
        <w:rPr>
          <w:sz w:val="20"/>
          <w:szCs w:val="20"/>
          <w:color w:val="auto"/>
        </w:rPr>
      </w:pPr>
    </w:p>
    <w:p>
      <w:pPr>
        <w:jc w:val="both"/>
        <w:ind w:left="660" w:hanging="330"/>
        <w:spacing w:after="0" w:line="25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Bank of America, (b) the federal funds effective rate plus 0.5% and (c) the Benchmark rate (defined below) on a daily basis applicable for an interest period of one month plus 1.0% and (ii) an applicable percentage of 2.00% to 2.50% for loans under the 2025 Revolving Facility and 3.50% for loans under the 2025 Term Loan Facility (3.25% upon achievement of a corporate family rating of B2 (stable) or better from Moody’s which was achieved in January 2026), in each case, based on a first lien net leverage ratio; or</w:t>
      </w:r>
    </w:p>
    <w:p>
      <w:pPr>
        <w:spacing w:after="0" w:line="132"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Benchmark rate generally defined as the sum of (i) Term SOFR and (ii) an applicable percentage of 3.00% to 3.50% for loans under the 2025 Revolving Facility and 4.50% for loans under the 2025 Term Loan Facility (4.25% upon achievement of a corporate family rating of B2 (stable) or better from Moody’s which was achieved in January 2026), in each case, based on a first lien net leverage ratio.</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Interest on the Company’s borrowings is payable quarterly in arrears for base rate loans and on the last day of each interest rate period (but not less often than three months) for SOFR rate loans.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2025 Credit Facility contains a restrictive financial covenant, which is set at a first lien net leverage ratio of 5.00 to 1.00. The financial covenant will be tested only if the loans and certain other obligations under the 2025 Revolving Facility exceed $20.0 million as of the last date of any fiscal quarter. In addition, the 2025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2025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2025 Credit Agreement, in whole or in part, at any time without premium or penalty, subject to certain limitations and a 1.0% soft call premium applicable during the first 6 months following the closing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covenants at December 31, 2025.</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2025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2025 Credit Facility are unconditionally guaranteed on a senior basis by the Company's material domestic subsidiaries, which guaranties are secured by the collateral.</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2025 Revolving Facility, the Company is required to pay an unused commitment fee quarterly in arrears on the difference between committed amounts and amounts actually borrowed under the 2025 Revolving Facility equal to an applicable percentage of 0.25% to 0.38%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3.0% to 3.5% based on a first lien net leverage ratio. The letter of credit fronting fee is 0.125% per annum on the face amount of each letter of credit.</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remaining unamortized debt issuance costs associated with the 2021 Credit Facility, debt issuance costs of $1.4 million related to the 2025 Revolving Facility are being amortized to interest expense over the life of the 2025 Revolving Facility. With respect to the 2025 Term Loan Facility, the Company incurred financing costs of $8.6 million upon closing of which approximately $0.8 million was expensed. The remaining $3.9 million of debt issuance costs related to the 2025 Term Loan Facility and $3.9 million of the original issue discount paid on the 2025 Term Loan Facility are being amortized to interest expense over the life of the term loan.</w:t>
      </w:r>
    </w:p>
    <w:p>
      <w:pPr>
        <w:spacing w:after="0" w:line="13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2025, the Company recorded interest expense related to its 2025 Revolving Facility of $0.2 million which consisted of an $0.1 million amount in unused commitment fees and $0.1 million associated with the amortization of the debt issuance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costs. During 2025, the Company recorded interest expense related to the 2025 Term Loan of $13.2 million which consisted of $12.7 million associated with borrowings bearing interest based on the SOFR rate, $0.3 million associated with the amortization of debt issuance costs, and $0.2 million associated with the accretion of the original issue discount.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Credit Facility</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September 15, 2021, the Company entered into a credit agreement (the “Credit Agreement”), consisting of a $200.0 million revolving credit facility (the “Revolving Facility”), which was set to mature on September 15, 2026, and a $250.0 million delayed draw term loan facility (the “2021 Term Loan” and together with the Revolving Facility, the “Credit Facility”), which was set to mature on September 15, 2028.</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August 21, 2025, the Company repaid the $242.5 million outstanding principal amount of the 2021 Term Loan in cash plus $1.2 million of accrued interest. The repayment resulted in a $0.4 million loss on the extinguishment of debt which is included in interest expense, net in the consolidated statement of operations and comprehensive income. The Company also terminated the Revolving Facility on August 21, 2025.</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2025, the Company recorded interest expense related to its Revolving Facility of $1.3 million which consisted of $0.7 million in unused commitment fees and $0.6 million associated with the amortization of the debt issuance costs. During 2025, the Company recorded interest expense related to the 2021 Term Loan of $13.2 million associated with borrowings bearing interest at the SOFR option rate.</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2024, the Company recorded interest expense related to its Revolving Facility of $1.8 million which consisted of $0.9 million in unused commitment fees and $0.9 million associated with the amortization of the debt issuance costs. During 2024, the Company recorded interest expense related to the 2021 Term Loan of $22.8 million associated with borrowings bearing interest at the SOFR option rate.</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2023, the Company recorded interest expense related to its revolving facilities of $1.5 million which consisted of $0.6 million in unused commitment fees and $0.9 million associated with the amortization of the debt issuance costs. During 2023, the Company recorded interest expense related to the 2021 Term Loan of $22.2 million associated with borrowings bearing interest at the LIBO rate during the first six months of 2023 and the SOFR option rate during the last six months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Term Loan</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March 27, 2024, the Company entered into a $175.0 million first lien term loan facility (the “2024 Term Loan”), which was set to mature on March 27, 2031. The Company drew $125.0 million of the 2024 Term Loan upon closing and drew the remaining $50.0 million on March 27, 2025.</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August 21, 2025, the Company repaid the $160.3 million outstanding principal amount of the 2024 Term Loan in cash plus $0.9 million of accrued interest. The repayment resulted in a $6.7 million loss on the extinguishment of debt which is included in interest expense, net in the consolidated statement of operations and income.</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2025, the Company recorded interest expense related to the 2024 Term Loan of $10.3 million which consisted of $9.4 million associated with borrowings bearing interest based on the SOFR rate, $0.2 million associated with unused commitment fees, $0.4 million associated with the amortization of debt issuance costs, and $0.3 million associated with the accretion of the original issue discount.</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2024, the Company recorded interest expense related to the 2024 Term Loan of $11.5 million which consisted of $10.3 million associated with borrowings bearing interest based on the SOFR rate, $0.6 million associated with unused commitment fees, $0.3 million associated with the amortization of debt issuance costs, and $0.3 million associated with the accretion of the original issue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 summary of the gross carrying amount, debt issuance costs, original issue discount, and net carrying value of the Credit Facilities in the December 31, 2025 consolidated balance sheet,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8"/>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9,955</w:t>
            </w:r>
          </w:p>
        </w:tc>
      </w:tr>
      <w:tr>
        <w:trPr>
          <w:trHeight w:val="22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349,062</w:t>
            </w:r>
          </w:p>
        </w:tc>
      </w:tr>
      <w:tr>
        <w:trPr>
          <w:trHeight w:val="22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28"/>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29"/>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344,124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11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 xml:space="preserve">The Company has funding commitments that could potentially require performance in the event of demands by third parties or contingent events,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center"/>
              <w:ind w:left="797"/>
              <w:spacing w:after="0"/>
              <w:rPr>
                <w:sz w:val="20"/>
                <w:szCs w:val="20"/>
                <w:color w:val="auto"/>
              </w:rPr>
            </w:pPr>
            <w:r>
              <w:rPr>
                <w:rFonts w:ascii="Times New Roman" w:cs="Times New Roman" w:eastAsia="Times New Roman" w:hAnsi="Times New Roman"/>
                <w:sz w:val="16"/>
                <w:szCs w:val="16"/>
                <w:b w:val="1"/>
                <w:bCs w:val="1"/>
                <w:color w:val="auto"/>
              </w:rPr>
              <w:t>Commitments Due By Period</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1220" w:type="dxa"/>
            <w:vAlign w:val="bottom"/>
          </w:tcPr>
          <w:p>
            <w:pPr>
              <w:jc w:val="center"/>
              <w:ind w:right="177"/>
              <w:spacing w:after="0" w:line="15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340" w:type="dxa"/>
            <w:vAlign w:val="bottom"/>
          </w:tcPr>
          <w:p>
            <w:pPr>
              <w:spacing w:after="0"/>
              <w:rPr>
                <w:sz w:val="13"/>
                <w:szCs w:val="13"/>
                <w:color w:val="auto"/>
              </w:rPr>
            </w:pPr>
          </w:p>
        </w:tc>
        <w:tc>
          <w:tcPr>
            <w:tcW w:w="1580" w:type="dxa"/>
            <w:vAlign w:val="bottom"/>
            <w:vMerge w:val="restart"/>
          </w:tcPr>
          <w:p>
            <w:pPr>
              <w:jc w:val="center"/>
              <w:ind w:right="595"/>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22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Surety bonds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3,243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3,243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1"/>
        <w:spacing w:after="0" w:line="259" w:lineRule="auto"/>
        <w:tabs>
          <w:tab w:leader="none" w:pos="4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The Company maintains surety bonds in all states requiring them in the event of a claim.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15, unless otherwise indicated, the Company is unable to estimate the possible loss or range of losses that could potentially result from the application of such non-monetary remedies.</w:t>
      </w:r>
    </w:p>
    <w:p>
      <w:pPr>
        <w:spacing w:after="0" w:line="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recovered in such matters may be subject to insurance coverage.</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and 2024, the Company had litigation settlement accruals of $13.0 million and $3.9 million, respectively. The litigation settlement accruals relate to litigation matters that were either settled or a firm offer for settlement was extended or an estimated settlement range has been determined, thereby establishing an accrual amount that is both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for $19 million. The settlement was approved by the court on September 29, 2025, and the matter was dismissed with prejudice. A liability of $12.6 million for this matter is included in the accompanying consolidated balance sheet as of December 31, 2025. The settlement is scheduled to be paid over three equal installments. The first payment was made in October 2025, the second payment was made in January 2026 and the final payment is due in the second quarter of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Other than the equity investments, the carrying amounts of the Company's financial instruments are equal to fair value at December 31, 2025.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Equity Investments in the notes to the consolidated financial statements included elsewhere in this report for additional information on the equity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the fourth quarter of 2022, the Company's Board of Directors approved an additional $0.5 million contribution to the LendingTree Foundation that the Company paid in 2023. Officers of the Company serve as officers of the LendingTree Foundation.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18—BENEFIT PLANS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($23,500 for 2025, $23,000 for 2024, and $22,500 for 2023).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$2.6 million, $2.3 million and $2.2 million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19—SEGMENT INFORMATION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the Company’s Chief Executive Officer, for the purpose of assessing performance and allocating resources.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The Consumer segment includes the following products: credit cards, personal loans, small business loans, auto loans, deposit accounts, and other credit products such as credit repair and debt settlement. The credit repair business was closed at the end of the second quarter of 2023. In the fourth quarter of 2024, the Company made the decision to cease offering its student loan products. The Insurance segment consists of insurance quote products and sales of insurance policies in our agency businesses. The insurance agency business was closed in the second quarter of 2025.</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711,880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1,117,324</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123,922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537,463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765,277</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48,343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129,448</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174,417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352,047</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42,525</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47,627</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45,251</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16,459</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64,813</w:t>
            </w:r>
          </w:p>
        </w:tc>
      </w:tr>
      <w:tr>
        <w:trPr>
          <w:trHeight w:val="21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(46,787)</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r>
      <w:tr>
        <w:trPr>
          <w:trHeight w:val="23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21,024</w:t>
            </w:r>
          </w:p>
        </w:tc>
      </w:tr>
      <w:tr>
        <w:trPr>
          <w:trHeight w:val="392"/>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548,704</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900,219</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88,958</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111,925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389,474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590,651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39,896</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110,537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159,230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309,568</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36,072</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45,312</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108,705</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44,627</w:t>
            </w:r>
          </w:p>
        </w:tc>
      </w:tr>
      <w:tr>
        <w:trPr>
          <w:trHeight w:val="21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(27,849)</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(54,162)</w:t>
            </w:r>
          </w:p>
        </w:tc>
      </w:tr>
      <w:tr>
        <w:trPr>
          <w:trHeight w:val="21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249,605</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672,502</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95,871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140,068</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146,101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color w:val="auto"/>
              </w:rPr>
              <w:t>708</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382,748</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47,882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138,877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103,504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rPr>
              <w:t>(509)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289,754</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47,197</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(40,611)</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21,685</w:t>
            </w:r>
          </w:p>
        </w:tc>
      </w:tr>
      <w:tr>
        <w:trPr>
          <w:trHeight w:val="215"/>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(105,993)</w:t>
            </w:r>
          </w:p>
        </w:tc>
      </w:tr>
      <w:tr>
        <w:trPr>
          <w:trHeight w:val="218"/>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(124,919)</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20—RESTRUCTURING ACTIVITIES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September 2023, the Company initiated workforce reductions of 14 employees. The Company incurred approximately $0.9 million in severance charges in connection with the workforce reductions, consisting of cash expenditures for employee separation costs of approximately $0.7 million and non-cash charges for the accelerated vesting of certain equity awards of approximately $0.2 million. The cash payments were completed by the third quarter of 2024.</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6, 2023, the Company made the decision to close the Ovation credit services business ( the "Ovation Closure".) The Ovation Closure includes the elimination of approximately 197 employees, or 18%, of the Company's workforce. As a result of the Ovation Closure, the Company incurred $2.1 million in restructuring expense in connection with cash expenditures for employee separation costs. In connection with the Ovation Closure, in the first quarter of 2023, the Company recorded asset impairment charges of $4.2 million, of which $2.1 million related to intangible assets, $1.7 million related to property and equipment, and $0.4 million related to an operating lease right-of-use asset. The cash payments for the Ovation Closure were completed in the first quarter of 2024.</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24, 2023, the Company committed to a workforce reduction plan (the “Reduction Plan”), to reduce operating costs. The Reduction Plan includes the elimination of approximately 162 employees, or 13%, of the Company’s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Reduction Plan, including cash payments, was completed by the end of the third quarter of 2024.</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116"/>
              <w:spacing w:after="0" w:line="150"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16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Income Statement Impact</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ind w:left="60"/>
              <w:spacing w:after="0" w:line="150"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0" w:type="dxa"/>
            <w:vAlign w:val="bottom"/>
          </w:tcPr>
          <w:p>
            <w:pPr>
              <w:spacing w:after="0"/>
              <w:rPr>
                <w:sz w:val="1"/>
                <w:szCs w:val="1"/>
                <w:color w:val="auto"/>
              </w:rPr>
            </w:pPr>
          </w:p>
        </w:tc>
      </w:tr>
      <w:tr>
        <w:trPr>
          <w:trHeight w:val="193"/>
        </w:trPr>
        <w:tc>
          <w:tcPr>
            <w:tcW w:w="4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Q3 2023 action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Q2 2023 action</w:t>
            </w: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Q1 2023 action</w:t>
            </w: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76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of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December 31,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assessed the effectiveness of our internal control over financial reporting as of December 31, 2025.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2025. The effectiveness of our internal control over financial reporting as of December 31, 2025 has been audited by PricewaterhouseCoopers LLP, an independent registered public accounting firm, as stated in their attestation report appearing under “Item 8. Financial Statements and Supplementary Data” included elsewhere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the Exchange Act, Rules 13a-15(f)) that occurred during the quarter ended December 31, 2025 that has materially affected, or is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During the fiscal quarter ended December 31, 2025, none of the Company's directors or executive officers adopted or terminated any contract, instruction or written plan for the purchase or sale of Company securities that was intended to satisfy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line="280" w:lineRule="auto"/>
        <w:rPr>
          <w:sz w:val="20"/>
          <w:szCs w:val="20"/>
          <w:color w:val="auto"/>
        </w:rPr>
      </w:pPr>
      <w:r>
        <w:rPr>
          <w:rFonts w:ascii="Times New Roman" w:cs="Times New Roman" w:eastAsia="Times New Roman" w:hAnsi="Times New Roman"/>
          <w:sz w:val="18"/>
          <w:szCs w:val="18"/>
          <w:color w:val="auto"/>
        </w:rPr>
        <w:t>the affirmative defense conditions of Rule 10b5-1(c) or any "non-Rule 10b5-1 trading arrangement." Further, during the fiscal quarter ended December 31, 2025 the Company did not adopt or terminate a Rule 10b5-1 trading arrangement.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set forth below, the information required by Part III (Items 10, 11, 12, 13 and 14) is incorporated herein by reference to the Company's definitive proxy statement to be used in connection with its 2026 Annual Meeting of Stockholders and which will be filed with the Securities and Exchange Commission not later than 120 days after the end of the Company's fiscal year ended December 31, 2025 (the “2026 Proxy Statement”), in accordance with General Instruction G(3) of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10 will be contained in, and is hereby incorporated by reference to, the 2026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 will be contained in, and is hereby incorporated by reference to, the 2026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12 will be contained in, and is hereby incorporated by reference to, the 2026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13 will be contained in, and is hereby incorporated by reference to, the 2026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14 will be contained in, and is hereby incorporated by reference to, the 2026 Proxy Statement.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  List of documents filed as part of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 of LendingTree,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PricewaterhouseCoopers LLP.</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2025, 2024 and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2025, 2024 and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 of LendingTree, Inc.</w:t>
      </w:r>
    </w:p>
    <w:p>
      <w:pPr>
        <w:spacing w:after="0" w:line="16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All consolidated financial statements and schedules have been omitted since the required information is included in the consolidated financial statements or the notes thereto, or is not applicable or required.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or incorporated herein by reference to the location indicated below.</w:t>
      </w:r>
    </w:p>
    <w:tbl>
      <w:tblPr>
        <w:tblLayout w:type="fixed"/>
        <w:tblInd w:w="0" w:type="dxa"/>
        <w:tblCellMar>
          <w:top w:w="0" w:type="dxa"/>
          <w:left w:w="0" w:type="dxa"/>
          <w:bottom w:w="0" w:type="dxa"/>
          <w:right w:w="0" w:type="dxa"/>
        </w:tblCellMar>
      </w:tblPr>
      <w:tr>
        <w:trPr>
          <w:trHeight w:val="189"/>
        </w:trPr>
        <w:tc>
          <w:tcPr>
            <w:tcW w:w="120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1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7"/>
            <w:vMerge w:val="continue"/>
          </w:tcPr>
          <w:p>
            <w:pPr>
              <w:spacing w:after="0"/>
              <w:rPr>
                <w:sz w:val="20"/>
                <w:szCs w:val="20"/>
                <w:color w:val="auto"/>
              </w:rPr>
            </w:pPr>
          </w:p>
        </w:tc>
        <w:tc>
          <w:tcPr>
            <w:tcW w:w="4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5400" w:type="dxa"/>
            <w:vAlign w:val="bottom"/>
            <w:gridSpan w:val="21"/>
            <w:shd w:val="clear" w:color="auto" w:fill="CCEEFF"/>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Equity Distribution Agreement by and among the Company, BofA</w:t>
              </w:r>
            </w:hyperlink>
          </w:p>
        </w:tc>
        <w:tc>
          <w:tcPr>
            <w:tcW w:w="4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Exhibit 1.1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0000FF"/>
              <w:bottom w:val="single" w:sz="8" w:color="0000FF"/>
            </w:tcBorders>
            <w:gridSpan w:val="8"/>
            <w:shd w:val="clear" w:color="auto" w:fill="CCEEFF"/>
          </w:tcPr>
          <w:p>
            <w:pPr>
              <w:spacing w:after="0" w:line="168"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Securities, Inc. and Citigroup Global Markets Inc., dated July 30, 2024.</w:t>
              </w:r>
            </w:hyperlink>
          </w:p>
        </w:tc>
        <w:tc>
          <w:tcPr>
            <w:tcW w:w="1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4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July 31, 2024</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Separation and Distribution Agreement among IAC/InterActiveCorp,</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2.1 to the Registrant's Registration Statement on Form S-</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60" w:type="dxa"/>
            <w:vAlign w:val="bottom"/>
            <w:tcBorders>
              <w:top w:val="single" w:sz="8" w:color="0000FF"/>
            </w:tcBorders>
            <w:gridSpan w:val="19"/>
          </w:tcPr>
          <w:p>
            <w:pPr>
              <w:spacing w:after="0" w:line="16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HSN, Inc., Interval Leisure Group, Inc., Ticketmaster and Tree.com,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1 (No. 333-152700), filed August 1,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Inc., dated August 20,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Tax  Sharing  Agreement  among  IAC/InterActiveCorp,  HSN,  Inc.,</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10.2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Interval Leisure Group, Inc., Ticketmaster and Tree.com, Inc., dated</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August 20, 2008.</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Employee Matters Agreement among IAC/InterActiveCorp, HSN, Inc.,</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10.3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8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Interval Leisure Group, Inc., Ticketmaster and Tree.com, Inc., dated</w:t>
              </w:r>
            </w:hyperlink>
          </w:p>
        </w:tc>
        <w:tc>
          <w:tcPr>
            <w:tcW w:w="20" w:type="dxa"/>
            <w:vAlign w:val="bottom"/>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August 20, 2008.</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Transition Services Agreement among IAC/InterActiveCorp, HSN,</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10.4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20" w:type="dxa"/>
            <w:vAlign w:val="bottom"/>
            <w:tcBorders>
              <w:top w:val="single" w:sz="8" w:color="0000FF"/>
            </w:tcBorders>
            <w:gridSpan w:val="17"/>
            <w:shd w:val="clear" w:color="auto" w:fill="CCEEFF"/>
          </w:tcPr>
          <w:p>
            <w:pPr>
              <w:spacing w:after="0" w:line="16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 Interval Leisure Group, Inc., Ticketmaster and Tree.com, Inc.,</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dated August 20, 2008.</w:t>
              </w:r>
            </w:hyperlink>
          </w:p>
        </w:tc>
        <w:tc>
          <w:tcPr>
            <w:tcW w:w="34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6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Spinco   Assignment   and   Assumption   Agreement   among</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10.6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00" w:type="dxa"/>
            <w:vAlign w:val="bottom"/>
            <w:tcBorders>
              <w:top w:val="single" w:sz="8" w:color="0000FF"/>
            </w:tcBorders>
            <w:gridSpan w:val="11"/>
          </w:tcPr>
          <w:p>
            <w:pPr>
              <w:spacing w:after="0" w:line="16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IAC/InterActiveCorp, Tree.com, Inc., Liberty Media Corporation and</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Liberty USA Holdings, LLC, dated August 20, 2008.</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5400" w:type="dxa"/>
            <w:vAlign w:val="bottom"/>
            <w:tcBorders>
              <w:bottom w:val="single" w:sz="8" w:color="0000FF"/>
            </w:tcBorders>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Asset Purchase Agreement among Home Loan Center, Inc., First</w:t>
              </w:r>
            </w:hyperlink>
          </w:p>
        </w:tc>
        <w:tc>
          <w:tcPr>
            <w:tcW w:w="46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2.1 to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400" w:type="dxa"/>
            <w:vAlign w:val="bottom"/>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Residential Mortgage Network, Inc. dba SurePoint Lending, and the</w:t>
              </w:r>
            </w:hyperlink>
          </w:p>
        </w:tc>
        <w:tc>
          <w:tcPr>
            <w:tcW w:w="46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November 16, 2010</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shareholders of First Residential Mortgage Network named therein,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dated November 15, 2010.</w:t>
              </w:r>
            </w:hyperlink>
          </w:p>
        </w:tc>
        <w:tc>
          <w:tcPr>
            <w:tcW w:w="32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6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First Amendment to Asset Purchase Agreement among HLC, SurePoint</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2.1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60" w:type="dxa"/>
            <w:vAlign w:val="bottom"/>
            <w:tcBorders>
              <w:top w:val="single" w:sz="8" w:color="0000FF"/>
            </w:tcBorders>
            <w:gridSpan w:val="19"/>
          </w:tcPr>
          <w:p>
            <w:pPr>
              <w:spacing w:after="0" w:line="16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and the shareholders party thereto, dated March 14, 2011.</w:t>
              </w:r>
            </w:hyperlink>
          </w:p>
        </w:tc>
        <w:tc>
          <w:tcPr>
            <w:tcW w:w="40" w:type="dxa"/>
            <w:vAlign w:val="bottom"/>
            <w:gridSpan w:val="2"/>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March 21, 2011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Second  Amendment  to  Asset  Purchase  Agreement  among  HLC,</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2.2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tcBorders>
            <w:shd w:val="clear" w:color="auto" w:fill="CCEEFF"/>
          </w:tcPr>
          <w:p>
            <w:pPr>
              <w:spacing w:after="0"/>
              <w:rPr>
                <w:sz w:val="16"/>
                <w:szCs w:val="16"/>
                <w:color w:val="auto"/>
              </w:rPr>
            </w:pPr>
          </w:p>
        </w:tc>
        <w:tc>
          <w:tcPr>
            <w:tcW w:w="5340" w:type="dxa"/>
            <w:vAlign w:val="bottom"/>
            <w:tcBorders>
              <w:top w:val="single" w:sz="8" w:color="0000FF"/>
            </w:tcBorders>
            <w:gridSpan w:val="18"/>
            <w:shd w:val="clear" w:color="auto" w:fill="CCEEFF"/>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SurePoint and the shareholders party thereto, dated March 15, 2011.</w:t>
              </w:r>
            </w:hyperlink>
          </w:p>
        </w:tc>
        <w:tc>
          <w:tcPr>
            <w:tcW w:w="60" w:type="dxa"/>
            <w:vAlign w:val="bottom"/>
            <w:tcBorders>
              <w:top w:val="single" w:sz="8" w:color="CCEEFF"/>
            </w:tcBorders>
            <w:gridSpan w:val="3"/>
            <w:shd w:val="clear" w:color="auto" w:fill="CCEEFF"/>
          </w:tcPr>
          <w:p>
            <w:pPr>
              <w:spacing w:after="0"/>
              <w:rPr>
                <w:sz w:val="16"/>
                <w:szCs w:val="16"/>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March 21, 2011</w:t>
            </w:r>
          </w:p>
        </w:tc>
        <w:tc>
          <w:tcPr>
            <w:tcW w:w="0" w:type="dxa"/>
            <w:vAlign w:val="bottom"/>
          </w:tcPr>
          <w:p>
            <w:pPr>
              <w:spacing w:after="0"/>
              <w:rPr>
                <w:sz w:val="1"/>
                <w:szCs w:val="1"/>
                <w:color w:val="auto"/>
              </w:rPr>
            </w:pPr>
          </w:p>
        </w:tc>
      </w:tr>
      <w:tr>
        <w:trPr>
          <w:trHeight w:val="860"/>
        </w:trPr>
        <w:tc>
          <w:tcPr>
            <w:tcW w:w="1200" w:type="dxa"/>
            <w:vAlign w:val="bottom"/>
            <w:tcBorders>
              <w:top w:val="single" w:sz="8" w:color="CCEEFF"/>
            </w:tcBorders>
          </w:tcPr>
          <w:p>
            <w:pPr>
              <w:spacing w:after="0"/>
              <w:rPr>
                <w:sz w:val="24"/>
                <w:szCs w:val="24"/>
                <w:color w:val="auto"/>
              </w:rPr>
            </w:pPr>
          </w:p>
        </w:tc>
        <w:tc>
          <w:tcPr>
            <w:tcW w:w="4880" w:type="dxa"/>
            <w:vAlign w:val="bottom"/>
            <w:tcBorders>
              <w:top w:val="single" w:sz="8" w:color="0000FF"/>
            </w:tcBorders>
            <w:gridSpan w:val="7"/>
          </w:tcPr>
          <w:p>
            <w:pPr>
              <w:ind w:left="434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34"/>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50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34"/>
            <w:vMerge w:val="continue"/>
          </w:tcPr>
          <w:p>
            <w:pPr>
              <w:spacing w:after="0"/>
              <w:rPr>
                <w:sz w:val="21"/>
                <w:szCs w:val="21"/>
                <w:color w:val="auto"/>
              </w:rPr>
            </w:pPr>
          </w:p>
        </w:tc>
        <w:tc>
          <w:tcPr>
            <w:tcW w:w="4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5540" w:type="dxa"/>
            <w:vAlign w:val="bottom"/>
            <w:gridSpan w:val="39"/>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Asset Purchase Agreement among Tree.com, Inc., Home Loan Center,</w:t>
              </w:r>
            </w:hyperlink>
          </w:p>
        </w:tc>
        <w:tc>
          <w:tcPr>
            <w:tcW w:w="4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Inc., LendingTree, LLC, HLC Escrow, Inc. and Discover Bank,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May 16, 2011</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420" w:type="dxa"/>
            <w:vAlign w:val="bottom"/>
            <w:gridSpan w:val="33"/>
          </w:tcPr>
          <w:p>
            <w:pPr>
              <w:spacing w:after="0" w:line="16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May 12, 2011**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Asset Purchase Agreement among LendingTree, LLC, RealEstate.com,</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4180" w:type="dxa"/>
            <w:vAlign w:val="bottom"/>
            <w:tcBorders>
              <w:top w:val="single" w:sz="8" w:color="0000FF"/>
              <w:bottom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Inc. and Market Leader, Inc., dated September 15, 2011**</w:t>
              </w:r>
            </w:hyperlink>
          </w:p>
        </w:tc>
        <w:tc>
          <w:tcPr>
            <w:tcW w:w="126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5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September 21, 2011</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to Asset Purchase Agreement among Home Loan Center,</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Inc., HLC Escrow, Inc., LendingTree, LLC, Tree.com, Inc., Discover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February 8, 2012</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20" w:type="dxa"/>
            <w:vAlign w:val="bottom"/>
            <w:gridSpan w:val="23"/>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Bank and Discover Financial Services, dated February 7,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2.12</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Membership Interest Purchase Agreement, dated as of November 16,</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2016, by and among LendingTree, LLC, Iron Horse Holdings, LLC, all</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November 22, 2016</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5180" w:type="dxa"/>
            <w:vAlign w:val="bottom"/>
            <w:tcBorders>
              <w:top w:val="single" w:sz="8" w:color="0000FF"/>
              <w:bottom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of the members of Iron Horse Holdings, LLC and Christopher J.</w:t>
              </w:r>
            </w:hyperlink>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5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Mettler. **</w:t>
              </w:r>
            </w:hyperlink>
          </w:p>
        </w:tc>
        <w:tc>
          <w:tcPr>
            <w:tcW w:w="4460" w:type="dxa"/>
            <w:vAlign w:val="bottom"/>
            <w:tcBorders>
              <w:bottom w:val="single" w:sz="8" w:color="CCEEFF"/>
            </w:tcBorders>
            <w:gridSpan w:val="2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Assignment and Assumption Agreement, dated November 2, 2017, by</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99.7(D) to the Registrant's Current Report on Form SC</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40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and  among  General  Communication,  Inc.,  Liberty  Interactive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13D/A filed November 3, 2017</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Corporation, Liberty USA Holdings, LLC, Ventures Holdco, LLC,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80" w:type="dxa"/>
            <w:vAlign w:val="bottom"/>
            <w:gridSpan w:val="31"/>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LendingTree, Inc.</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2.14</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Unit Purchase Agreement dated as of October 4, 2018 by and among</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2.1 to the Registrant’s Current Report on Form 8-K/A</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460" w:type="dxa"/>
            <w:vAlign w:val="bottom"/>
            <w:tcBorders>
              <w:top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LendingTree, LLC, QuoteWizard.com, LLC, all of the members of</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October 12, 2018</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40" w:type="dxa"/>
            <w:vAlign w:val="bottom"/>
            <w:tcBorders>
              <w:top w:val="single" w:sz="8" w:color="0000FF"/>
            </w:tcBorders>
            <w:gridSpan w:val="29"/>
            <w:shd w:val="clear" w:color="auto" w:fill="CCEEFF"/>
          </w:tcPr>
          <w:p>
            <w:pPr>
              <w:spacing w:after="0" w:line="16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QuoteWizard.com, LLC, and Scott Peyree as the Securityholders</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Representative. **</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Stock Purchase Agreement dated as of December 20, 2018 by and</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among LendingTree, LLC, Value Holding Inc., all of the shareholders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December 27, 2018</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500" w:type="dxa"/>
            <w:vAlign w:val="bottom"/>
            <w:gridSpan w:val="37"/>
          </w:tcPr>
          <w:p>
            <w:pPr>
              <w:spacing w:after="0" w:line="16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of Value Holding Inc., and Jonathan Wu as the Sellers’ Representative.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3"/>
              </w:rPr>
            </w:pPr>
            <w:hyperlink r:id="rId130">
              <w:r>
                <w:rPr>
                  <w:rFonts w:ascii="Times New Roman" w:cs="Times New Roman" w:eastAsia="Times New Roman" w:hAnsi="Times New Roman"/>
                  <w:sz w:val="17"/>
                  <w:szCs w:val="17"/>
                  <w:color w:val="0000FF"/>
                  <w:w w:val="93"/>
                </w:rPr>
                <w:t>**</w:t>
              </w:r>
            </w:hyperlink>
          </w:p>
        </w:tc>
        <w:tc>
          <w:tcPr>
            <w:tcW w:w="6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Certificate   of   Incorporation   of</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3.1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LendingTree, Inc.</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August 25, 2008</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Fifth </w:t>
            </w:r>
            <w:hyperlink r:id="rId132">
              <w:r>
                <w:rPr>
                  <w:rFonts w:ascii="Times New Roman" w:cs="Times New Roman" w:eastAsia="Times New Roman" w:hAnsi="Times New Roman"/>
                  <w:sz w:val="18"/>
                  <w:szCs w:val="18"/>
                  <w:color w:val="0000FF"/>
                </w:rPr>
                <w:t>Amended and Restated By-laws of LendingTree, Inc.</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3.1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November 21, 2025</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Restricted Share Grant and Shareholders'</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10.8  to  the  Registrant's  Registration  Statement  on</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480" w:type="dxa"/>
            <w:vAlign w:val="bottom"/>
            <w:tcBorders>
              <w:top w:val="single" w:sz="8" w:color="0000FF"/>
            </w:tcBorders>
            <w:gridSpan w:val="36"/>
            <w:shd w:val="clear" w:color="auto" w:fill="CCEEFF"/>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Agreement,  among  Forest  Merger  Corp.,  LendingTree,  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Form S-1 (No. 333-152700), filed August 1, 2008</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0000FF"/>
            </w:tcBorders>
            <w:gridSpan w:val="27"/>
            <w:shd w:val="clear" w:color="auto" w:fill="CCEEFF"/>
          </w:tcPr>
          <w:p>
            <w:pPr>
              <w:spacing w:after="0" w:line="16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InterActiveCorp and the Grantees named therein, dated July 7, 2003*</w:t>
              </w:r>
            </w:hyperlink>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10"/>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Registration Rights Agreement among Tree.com, Inc., Liberty Media</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10.5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52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Corporation and Liberty USA Holdings, LLC, dated August 20, 2008.</w:t>
              </w:r>
            </w:hyperlink>
          </w:p>
        </w:tc>
        <w:tc>
          <w:tcPr>
            <w:tcW w:w="20" w:type="dxa"/>
            <w:vAlign w:val="bottom"/>
          </w:tcPr>
          <w:p>
            <w:pPr>
              <w:spacing w:after="0"/>
              <w:rPr>
                <w:sz w:val="13"/>
                <w:szCs w:val="13"/>
                <w:color w:val="auto"/>
              </w:rPr>
            </w:pPr>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August 25, 2008</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Indenture for .0625% Convertible Senior Notes due 2022</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4.1 to the Registrant's Current Report on Form 8-K filed</w:t>
            </w:r>
          </w:p>
        </w:tc>
        <w:tc>
          <w:tcPr>
            <w:tcW w:w="0" w:type="dxa"/>
            <w:vAlign w:val="bottom"/>
          </w:tcPr>
          <w:p>
            <w:pPr>
              <w:spacing w:after="0"/>
              <w:rPr>
                <w:sz w:val="1"/>
                <w:szCs w:val="1"/>
                <w:color w:val="auto"/>
              </w:rPr>
            </w:pPr>
          </w:p>
        </w:tc>
      </w:tr>
      <w:tr>
        <w:trPr>
          <w:trHeight w:val="242"/>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Purchase Agreement for .0625% Convertible Senior Notes due 2022</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Base Issuer Warrant Transaction</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99.4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Additional Issuer Warrant Transaction</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99.5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Description  of  the  Registrant's  Securities  Registered  Pursuant  to</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5"/>
              </w:rPr>
              <w:t>Exhibit 4.7 to the Registrant's Annual Report on Form 10-K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Section 12 of the Securities Exchange Act of 1934</w:t>
              </w:r>
            </w:hyperlink>
          </w:p>
        </w:tc>
        <w:tc>
          <w:tcPr>
            <w:tcW w:w="220" w:type="dxa"/>
            <w:vAlign w:val="bottom"/>
            <w:tcBorders>
              <w:top w:val="single" w:sz="8" w:color="CCEEFF"/>
            </w:tcBorders>
            <w:gridSpan w:val="11"/>
            <w:shd w:val="clear" w:color="auto" w:fill="CCEEFF"/>
          </w:tcPr>
          <w:p>
            <w:pPr>
              <w:spacing w:after="0"/>
              <w:rPr>
                <w:sz w:val="13"/>
                <w:szCs w:val="13"/>
                <w:color w:val="auto"/>
              </w:rPr>
            </w:pPr>
          </w:p>
        </w:tc>
        <w:tc>
          <w:tcPr>
            <w:tcW w:w="450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February 27, 2020</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5540" w:type="dxa"/>
            <w:vAlign w:val="bottom"/>
            <w:tcBorders>
              <w:bottom w:val="single" w:sz="8" w:color="0000FF"/>
            </w:tcBorders>
            <w:gridSpan w:val="39"/>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dated as of July 24, 2020, between LendingTree, Inc. and</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4.1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540" w:type="dxa"/>
            <w:vAlign w:val="bottom"/>
            <w:gridSpan w:val="39"/>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Wilmington Trust, National Association</w:t>
              </w:r>
            </w:hyperlink>
          </w:p>
        </w:tc>
        <w:tc>
          <w:tcPr>
            <w:tcW w:w="45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on July 24, 2020</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554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Specimen Stock Certificate evidencing the shares of common stock</w:t>
              </w:r>
            </w:hyperlink>
          </w:p>
        </w:tc>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4.1 to the Registrant’s Registration Statement on Form S-</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60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 (No.333-291234) on Form S-8 filed on November 3, 2025</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5540" w:type="dxa"/>
            <w:vAlign w:val="bottom"/>
            <w:gridSpan w:val="39"/>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LendingTree, Inc. 2017 Inducement Grant Plan*</w:t>
              </w:r>
            </w:hyperlink>
          </w:p>
        </w:tc>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4.4(A) to the Registrant's Registration Statement on</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3480" w:type="dxa"/>
            <w:vAlign w:val="bottom"/>
            <w:tcBorders>
              <w:top w:val="single" w:sz="8" w:color="0000FF"/>
            </w:tcBorders>
            <w:gridSpan w:val="9"/>
            <w:vMerge w:val="restart"/>
          </w:tcPr>
          <w:p>
            <w:pPr>
              <w:spacing w:after="0"/>
              <w:rPr>
                <w:sz w:val="18"/>
                <w:szCs w:val="18"/>
                <w:color w:val="auto"/>
              </w:rPr>
            </w:pPr>
          </w:p>
        </w:tc>
        <w:tc>
          <w:tcPr>
            <w:tcW w:w="12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Form S-8 (No. 333-218747), filed June 14, 2017</w:t>
            </w:r>
          </w:p>
        </w:tc>
        <w:tc>
          <w:tcPr>
            <w:tcW w:w="0" w:type="dxa"/>
            <w:vAlign w:val="bottom"/>
          </w:tcPr>
          <w:p>
            <w:pPr>
              <w:spacing w:after="0"/>
              <w:rPr>
                <w:sz w:val="1"/>
                <w:szCs w:val="1"/>
                <w:color w:val="auto"/>
              </w:rPr>
            </w:pPr>
          </w:p>
        </w:tc>
      </w:tr>
      <w:tr>
        <w:trPr>
          <w:trHeight w:val="855"/>
        </w:trPr>
        <w:tc>
          <w:tcPr>
            <w:tcW w:w="1200" w:type="dxa"/>
            <w:vAlign w:val="bottom"/>
          </w:tcPr>
          <w:p>
            <w:pPr>
              <w:spacing w:after="0"/>
              <w:rPr>
                <w:sz w:val="24"/>
                <w:szCs w:val="24"/>
                <w:color w:val="auto"/>
              </w:rPr>
            </w:pPr>
          </w:p>
        </w:tc>
        <w:tc>
          <w:tcPr>
            <w:tcW w:w="3480" w:type="dxa"/>
            <w:vAlign w:val="bottom"/>
            <w:gridSpan w:val="9"/>
            <w:vMerge w:val="continue"/>
          </w:tcPr>
          <w:p>
            <w:pPr>
              <w:spacing w:after="0"/>
              <w:rPr>
                <w:sz w:val="24"/>
                <w:szCs w:val="24"/>
                <w:color w:val="auto"/>
              </w:rPr>
            </w:pPr>
          </w:p>
        </w:tc>
        <w:tc>
          <w:tcPr>
            <w:tcW w:w="120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28"/>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28"/>
            <w:vMerge w:val="continue"/>
          </w:tcPr>
          <w:p>
            <w:pPr>
              <w:spacing w:after="0"/>
              <w:rPr>
                <w:sz w:val="21"/>
                <w:szCs w:val="21"/>
                <w:color w:val="auto"/>
              </w:rPr>
            </w:pPr>
          </w:p>
        </w:tc>
        <w:tc>
          <w:tcPr>
            <w:tcW w:w="4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5360" w:type="dxa"/>
            <w:vAlign w:val="bottom"/>
            <w:gridSpan w:val="32"/>
            <w:shd w:val="clear" w:color="auto" w:fill="CCEEFF"/>
          </w:tcPr>
          <w:p>
            <w:pPr>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Notice  of  Restricted  Stock  Unit  Award  Granted  Under  the</w:t>
              </w:r>
            </w:hyperlink>
          </w:p>
        </w:tc>
        <w:tc>
          <w:tcPr>
            <w:tcW w:w="4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Exhibit 4.4(B) to the Registrant's Registration Statement on</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304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LendingTree, Inc. 2017 Inducement Plan*</w:t>
              </w:r>
            </w:hyperlink>
          </w:p>
        </w:tc>
        <w:tc>
          <w:tcPr>
            <w:tcW w:w="22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Form S-8 (No. 333-218747), filed June 14,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Restricted Stock Award Agreement*</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4.4(C)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Form S-8 (No. 333-218747), filed June 14,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2011 Deferred Compensation Plan for Non-Employee Directors*</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April 30, 2015</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Deferred Compensation Plan for Non-Employee Directors*</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10.15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Form S-1 (No. 333-152700), filed August 1, 2008</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Standard Terms and Conditions to Restricted Stock Award Letters of</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10.2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Tree.com BU Holding Company,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February 3, 2011</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Base Convertible Bond Hedge Transaction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99.2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Additional Convertible Bond Hedge Transaction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99.3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Credit Agreement, dated as of September 15, 2021</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2021</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5360" w:type="dxa"/>
            <w:vAlign w:val="bottom"/>
            <w:tcBorders>
              <w:bottom w:val="single" w:sz="8" w:color="0000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Agreement of Purchase and Sale, by and among LendingTree, LLC and</w:t>
              </w:r>
            </w:hyperlink>
          </w:p>
        </w:tc>
        <w:tc>
          <w:tcPr>
            <w:tcW w:w="468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10.31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spacing w:after="0"/>
              <w:rPr>
                <w:sz w:val="13"/>
                <w:szCs w:val="13"/>
                <w:color w:val="auto"/>
              </w:rPr>
            </w:pPr>
          </w:p>
        </w:tc>
        <w:tc>
          <w:tcPr>
            <w:tcW w:w="5360" w:type="dxa"/>
            <w:vAlign w:val="bottom"/>
            <w:gridSpan w:val="32"/>
            <w:shd w:val="clear" w:color="auto" w:fill="CCEEFF"/>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an affiliate of Greenstreet Real Estate Partners, L.P., dated October 17,</w:t>
              </w:r>
            </w:hyperlink>
          </w:p>
        </w:tc>
        <w:tc>
          <w:tcPr>
            <w:tcW w:w="4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2017</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0000FF"/>
            </w:tcBorders>
            <w:gridSpan w:val="2"/>
            <w:shd w:val="clear" w:color="auto" w:fill="CCEEFF"/>
          </w:tcPr>
          <w:p>
            <w:pPr>
              <w:spacing w:after="0" w:line="168"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2016</w:t>
              </w:r>
            </w:hyperlink>
          </w:p>
        </w:tc>
        <w:tc>
          <w:tcPr>
            <w:tcW w:w="3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9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to Purchase and Sale, by and among LendingTree,</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10.32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LLC and an affiliate of Greenstreet Real Estate Partners, L.P., dated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2017</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60" w:type="dxa"/>
            <w:vAlign w:val="bottom"/>
            <w:gridSpan w:val="27"/>
          </w:tcPr>
          <w:p>
            <w:pPr>
              <w:spacing w:after="0" w:line="168"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November 28,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Employment Agreement dated December 21, 2017, among John David</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388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Moriarty, LendingTree, Inc., and LendingTree, LLC.*</w:t>
              </w:r>
            </w:hyperlink>
          </w:p>
        </w:tc>
        <w:tc>
          <w:tcPr>
            <w:tcW w:w="14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April 27, 2018</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Seventh Amended and Restated LendingTree, Inc. 2008 Stock Plan*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Incorporated by reference from Appendix C to the Registrant's</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April 29,</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Notice  of  Stock  Option  Award  Granted  Under  the</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LendingTree, Inc. 2008 Stock and Annual Incentive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Notice of Restricted Stock Unit Award Granted Under the</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10.16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LendingTree, Inc. 2008 Stock and Annual Incentive Plan*</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2023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Notice of Stock Option Award Granted to Non- Employee</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Directors  Under  the  LendingTree,  Inc.  2008  Stock  and  Annual</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Incentive Plan*</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Notice of Restricted Stock Unit Award Granted to Non-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Employee Directors Under the LendingTree, Inc. 2008 Stock and</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40" w:type="dxa"/>
            <w:vAlign w:val="bottom"/>
            <w:gridSpan w:val="31"/>
          </w:tcPr>
          <w:p>
            <w:pPr>
              <w:spacing w:after="0" w:line="168"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Annual Incentive Plan*</w:t>
              </w:r>
            </w:hyperlink>
          </w:p>
        </w:tc>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Base Convertible Note Hedge Confirmation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99.2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Additional Convertible Note Hedge Confirmation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99.3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Base Warrant Confirmation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99.4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Additional Warrant Confirmation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99.5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LendingTree Executive Severance Pay Plan*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10.41 to the Registrant's Annual Report on Form 10-K</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March 03, 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620"/>
        <w:spacing w:after="0" w:line="220"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66">
        <w:r>
          <w:rPr>
            <w:rFonts w:ascii="Times New Roman" w:cs="Times New Roman" w:eastAsia="Times New Roman" w:hAnsi="Times New Roman"/>
            <w:sz w:val="18"/>
            <w:szCs w:val="18"/>
            <w:u w:val="single" w:color="auto"/>
            <w:color w:val="0000FF"/>
          </w:rPr>
          <w:t>Memorandum on compensation changes for Trent Ziegler, dated May</w:t>
        </w:r>
      </w:hyperlink>
    </w:p>
    <w:p>
      <w:pPr>
        <w:ind w:left="1200"/>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12, 2021*</w:t>
        </w:r>
      </w:hyperlink>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July 30, 2021</w:t>
      </w:r>
    </w:p>
    <w:p>
      <w:pPr>
        <w:spacing w:after="0" w:line="200" w:lineRule="exact"/>
        <w:rPr>
          <w:sz w:val="20"/>
          <w:szCs w:val="20"/>
          <w:color w:val="auto"/>
        </w:rPr>
      </w:pPr>
    </w:p>
    <w:p>
      <w:pPr>
        <w:sectPr>
          <w:pgSz w:w="11900" w:h="16838" w:orient="portrait"/>
          <w:cols w:equalWidth="0" w:num="2">
            <w:col w:w="6360" w:space="120"/>
            <w:col w:w="4760"/>
          </w:cols>
          <w:pgMar w:left="320" w:top="900"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11"/>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82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11"/>
            <w:vMerge w:val="continue"/>
          </w:tcPr>
          <w:p>
            <w:pPr>
              <w:spacing w:after="0"/>
              <w:rPr>
                <w:sz w:val="21"/>
                <w:szCs w:val="21"/>
                <w:color w:val="auto"/>
              </w:rPr>
            </w:pPr>
          </w:p>
        </w:tc>
        <w:tc>
          <w:tcPr>
            <w:tcW w:w="4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10.24</w:t>
            </w:r>
          </w:p>
        </w:tc>
        <w:tc>
          <w:tcPr>
            <w:tcW w:w="5220" w:type="dxa"/>
            <w:vAlign w:val="bottom"/>
            <w:gridSpan w:val="15"/>
            <w:shd w:val="clear" w:color="auto" w:fill="CCEEFF"/>
          </w:tcPr>
          <w:p>
            <w:pPr>
              <w:spacing w:after="0" w:line="182"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LendingTree, Inc. Employee Stock Purchase Plan*</w:t>
              </w:r>
            </w:hyperlink>
          </w:p>
        </w:tc>
        <w:tc>
          <w:tcPr>
            <w:tcW w:w="48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Incorporated by reference from Appendix B to the Registrant's</w:t>
            </w:r>
          </w:p>
        </w:tc>
        <w:tc>
          <w:tcPr>
            <w:tcW w:w="0" w:type="dxa"/>
            <w:vAlign w:val="bottom"/>
          </w:tcPr>
          <w:p>
            <w:pPr>
              <w:spacing w:after="0"/>
              <w:rPr>
                <w:sz w:val="1"/>
                <w:szCs w:val="1"/>
                <w:color w:val="auto"/>
              </w:rPr>
            </w:pPr>
          </w:p>
        </w:tc>
      </w:tr>
      <w:tr>
        <w:trPr>
          <w:trHeight w:val="150"/>
        </w:trPr>
        <w:tc>
          <w:tcPr>
            <w:tcW w:w="1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CCEEFF"/>
            </w:tcBorders>
            <w:shd w:val="clear" w:color="auto" w:fill="CCEEFF"/>
          </w:tcPr>
          <w:p>
            <w:pPr>
              <w:ind w:left="60"/>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April 29,</w:t>
            </w:r>
          </w:p>
        </w:tc>
        <w:tc>
          <w:tcPr>
            <w:tcW w:w="0" w:type="dxa"/>
            <w:vAlign w:val="bottom"/>
          </w:tcPr>
          <w:p>
            <w:pPr>
              <w:spacing w:after="0"/>
              <w:rPr>
                <w:sz w:val="1"/>
                <w:szCs w:val="1"/>
                <w:color w:val="auto"/>
              </w:rPr>
            </w:pPr>
          </w:p>
        </w:tc>
      </w:tr>
      <w:tr>
        <w:trPr>
          <w:trHeight w:val="233"/>
        </w:trPr>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5220" w:type="dxa"/>
            <w:vAlign w:val="bottom"/>
            <w:gridSpan w:val="15"/>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First Amendment to LendingTree, Inc. Employee Stock Purchase Plan*</w:t>
              </w:r>
            </w:hyperlink>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99.3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S-8 (No. 333-258391), filed August 3, 2021</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52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LendingTree, Inc. 2023 Stock Plan</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Incorporated by reference from Appendix B to the Registrant’s</w:t>
            </w:r>
          </w:p>
        </w:tc>
        <w:tc>
          <w:tcPr>
            <w:tcW w:w="0" w:type="dxa"/>
            <w:vAlign w:val="bottom"/>
          </w:tcPr>
          <w:p>
            <w:pPr>
              <w:spacing w:after="0"/>
              <w:rPr>
                <w:sz w:val="1"/>
                <w:szCs w:val="1"/>
                <w:color w:val="auto"/>
              </w:rPr>
            </w:pPr>
          </w:p>
        </w:tc>
      </w:tr>
      <w:tr>
        <w:trPr>
          <w:trHeight w:val="150"/>
        </w:trPr>
        <w:tc>
          <w:tcPr>
            <w:tcW w:w="1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CCEEFF"/>
            </w:tcBorders>
            <w:shd w:val="clear" w:color="auto" w:fill="CCEEFF"/>
          </w:tcPr>
          <w:p>
            <w:pPr>
              <w:ind w:left="60"/>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May 1,</w:t>
            </w:r>
          </w:p>
        </w:tc>
        <w:tc>
          <w:tcPr>
            <w:tcW w:w="0" w:type="dxa"/>
            <w:vAlign w:val="bottom"/>
          </w:tcPr>
          <w:p>
            <w:pPr>
              <w:spacing w:after="0"/>
              <w:rPr>
                <w:sz w:val="1"/>
                <w:szCs w:val="1"/>
                <w:color w:val="auto"/>
              </w:rPr>
            </w:pPr>
          </w:p>
        </w:tc>
      </w:tr>
      <w:tr>
        <w:trPr>
          <w:trHeight w:val="233"/>
        </w:trPr>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5220" w:type="dxa"/>
            <w:vAlign w:val="bottom"/>
            <w:gridSpan w:val="15"/>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LendingTree, Inc. 2023 Inducement Grant Plan</w:t>
              </w:r>
            </w:hyperlink>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with the SEC on July 28, 2023</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52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Restricted Stock Unit Award pursuant to the 2023 Stock Plan</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10.3 to the Registration Statement on Form S-8 (No. 333-</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2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273547) , filed July 31, 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5220" w:type="dxa"/>
            <w:vAlign w:val="bottom"/>
            <w:gridSpan w:val="15"/>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Stock Option Award pursuant to the 2023 Stock Plan</w:t>
              </w:r>
            </w:hyperlink>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10.4 to the Registration Statement on Form S-8 (No. 333-</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273547) , filed July 31, 2023</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52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Restricted Stock Unit Award pursuant to the 2023 Inducement</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10.3 to the Registrant’s Quarterly Report on Form 10-Q</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Grant Plan</w:t>
              </w:r>
            </w:hyperlink>
          </w:p>
        </w:tc>
        <w:tc>
          <w:tcPr>
            <w:tcW w:w="436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20" w:type="dxa"/>
            <w:vAlign w:val="bottom"/>
            <w:tcBorders>
              <w:top w:val="single" w:sz="8" w:color="CCEEFF"/>
              <w:bottom w:val="single" w:sz="8" w:color="CCEEFF"/>
            </w:tcBorders>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rPr>
              <w:t>filed with the SEC on July 28, 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5220" w:type="dxa"/>
            <w:vAlign w:val="bottom"/>
            <w:gridSpan w:val="15"/>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Stock Option Award pursuant to the 2023 Inducement Grant</w:t>
              </w:r>
            </w:hyperlink>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Plan</w:t>
              </w:r>
            </w:hyperlink>
          </w:p>
        </w:tc>
        <w:tc>
          <w:tcPr>
            <w:tcW w:w="20" w:type="dxa"/>
            <w:vAlign w:val="bottom"/>
          </w:tcPr>
          <w:p>
            <w:pPr>
              <w:spacing w:after="0"/>
              <w:rPr>
                <w:sz w:val="13"/>
                <w:szCs w:val="13"/>
                <w:color w:val="auto"/>
              </w:rPr>
            </w:pPr>
          </w:p>
        </w:tc>
        <w:tc>
          <w:tcPr>
            <w:tcW w:w="4820" w:type="dxa"/>
            <w:vAlign w:val="bottom"/>
          </w:tcPr>
          <w:p>
            <w:pPr>
              <w:ind w:left="60"/>
              <w:spacing w:after="0" w:line="154" w:lineRule="exact"/>
              <w:rPr>
                <w:sz w:val="20"/>
                <w:szCs w:val="20"/>
                <w:color w:val="auto"/>
              </w:rPr>
            </w:pPr>
            <w:r>
              <w:rPr>
                <w:rFonts w:ascii="Times New Roman" w:cs="Times New Roman" w:eastAsia="Times New Roman" w:hAnsi="Times New Roman"/>
                <w:sz w:val="17"/>
                <w:szCs w:val="17"/>
                <w:color w:val="auto"/>
              </w:rPr>
              <w:t>filed with the SEC on July 28, 2023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52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Employment Agreement between Jill Olmstead and the Company,</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10.39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dated October 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820" w:type="dxa"/>
            <w:vAlign w:val="bottom"/>
            <w:tcBorders>
              <w:top w:val="single" w:sz="8" w:color="CCEEFF"/>
            </w:tcBorders>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rPr>
              <w:t>filed March 1, 2022</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10.33</w:t>
            </w:r>
          </w:p>
        </w:tc>
        <w:tc>
          <w:tcPr>
            <w:tcW w:w="5220" w:type="dxa"/>
            <w:vAlign w:val="bottom"/>
            <w:gridSpan w:val="15"/>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Separation Agreement between Neil Salvage and the Company, dated</w:t>
              </w:r>
            </w:hyperlink>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10.40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January 1, 2022*</w:t>
              </w:r>
            </w:hyperlink>
          </w:p>
        </w:tc>
        <w:tc>
          <w:tcPr>
            <w:tcW w:w="40" w:type="dxa"/>
            <w:vAlign w:val="bottom"/>
            <w:gridSpan w:val="2"/>
          </w:tcPr>
          <w:p>
            <w:pPr>
              <w:spacing w:after="0"/>
              <w:rPr>
                <w:sz w:val="13"/>
                <w:szCs w:val="13"/>
                <w:color w:val="auto"/>
              </w:rPr>
            </w:pPr>
          </w:p>
        </w:tc>
        <w:tc>
          <w:tcPr>
            <w:tcW w:w="4820" w:type="dxa"/>
            <w:vAlign w:val="bottom"/>
          </w:tcPr>
          <w:p>
            <w:pPr>
              <w:ind w:left="60"/>
              <w:spacing w:after="0" w:line="154" w:lineRule="exact"/>
              <w:rPr>
                <w:sz w:val="20"/>
                <w:szCs w:val="20"/>
                <w:color w:val="auto"/>
              </w:rPr>
            </w:pPr>
            <w:r>
              <w:rPr>
                <w:rFonts w:ascii="Times New Roman" w:cs="Times New Roman" w:eastAsia="Times New Roman" w:hAnsi="Times New Roman"/>
                <w:sz w:val="17"/>
                <w:szCs w:val="17"/>
                <w:color w:val="auto"/>
              </w:rPr>
              <w:t>filed March 1, 2022</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10.34</w:t>
            </w:r>
          </w:p>
        </w:tc>
        <w:tc>
          <w:tcPr>
            <w:tcW w:w="522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Note Repurchase Agreement dated March 6, 2023</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w w:val="99"/>
              </w:rPr>
              <w:t>Exhibit 10.1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2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200" w:hanging="585"/>
        <w:spacing w:after="0" w:line="233"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78">
        <w:r>
          <w:rPr>
            <w:rFonts w:ascii="Times New Roman" w:cs="Times New Roman" w:eastAsia="Times New Roman" w:hAnsi="Times New Roman"/>
            <w:sz w:val="18"/>
            <w:szCs w:val="18"/>
            <w:u w:val="single" w:color="auto"/>
            <w:color w:val="0000FF"/>
          </w:rPr>
          <w:t>Separation Agreement between John David Moriarty and the Company,</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dated August 7, 2023*</w:t>
        </w:r>
      </w:hyperlink>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18"/>
          <w:szCs w:val="18"/>
          <w:color w:val="auto"/>
        </w:rPr>
        <w:t>Exhibit 10.36 to the Registrant's Annual Report on Form 10-K filed February 29, 2024</w:t>
      </w:r>
    </w:p>
    <w:p>
      <w:pPr>
        <w:spacing w:after="0" w:line="1" w:lineRule="exact"/>
        <w:rPr>
          <w:sz w:val="20"/>
          <w:szCs w:val="20"/>
          <w:color w:val="auto"/>
        </w:rPr>
      </w:pPr>
    </w:p>
    <w:p>
      <w:pPr>
        <w:sectPr>
          <w:pgSz w:w="11900" w:h="16838" w:orient="portrait"/>
          <w:cols w:equalWidth="0" w:num="2">
            <w:col w:w="6360" w:space="120"/>
            <w:col w:w="47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20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10.36</w:t>
            </w:r>
          </w:p>
        </w:tc>
        <w:tc>
          <w:tcPr>
            <w:tcW w:w="5280" w:type="dxa"/>
            <w:vAlign w:val="bottom"/>
            <w:gridSpan w:val="16"/>
            <w:shd w:val="clear" w:color="auto" w:fill="CCEEFF"/>
          </w:tcPr>
          <w:p>
            <w:pPr>
              <w:spacing w:after="0" w:line="203"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Consulting  Agreement  between  John  David  Moriarty  and  the</w:t>
              </w:r>
            </w:hyperlink>
          </w:p>
        </w:tc>
        <w:tc>
          <w:tcPr>
            <w:tcW w:w="47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Exhibit 10.39 to the Registrant's Annual Report on Form 10-K</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Company, dated August 7,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February 29, 2024</w:t>
            </w: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760" w:type="dxa"/>
            <w:vAlign w:val="bottom"/>
            <w:tcBorders>
              <w:top w:val="single" w:sz="8" w:color="CCEEFF"/>
            </w:tcBorders>
            <w:shd w:val="clear" w:color="auto" w:fill="CCEEFF"/>
          </w:tcPr>
          <w:p>
            <w:pPr>
              <w:spacing w:after="0"/>
              <w:rPr>
                <w:sz w:val="2"/>
                <w:szCs w:val="2"/>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5280" w:type="dxa"/>
            <w:vAlign w:val="bottom"/>
            <w:gridSpan w:val="16"/>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Credit Agreement dated as of March 27, 2024 by and among the</w:t>
              </w:r>
            </w:hyperlink>
          </w:p>
        </w:tc>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w:t>
            </w: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Company, the lenders party thereto, Apollo Administrative Agency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May 1, 2024</w:t>
            </w:r>
          </w:p>
        </w:tc>
      </w:tr>
      <w:tr>
        <w:trPr>
          <w:trHeight w:val="168"/>
        </w:trPr>
        <w:tc>
          <w:tcPr>
            <w:tcW w:w="1200" w:type="dxa"/>
            <w:vAlign w:val="bottom"/>
          </w:tcPr>
          <w:p>
            <w:pPr>
              <w:spacing w:after="0"/>
              <w:rPr>
                <w:sz w:val="14"/>
                <w:szCs w:val="14"/>
                <w:color w:val="auto"/>
              </w:rPr>
            </w:pPr>
          </w:p>
        </w:tc>
        <w:tc>
          <w:tcPr>
            <w:tcW w:w="5180" w:type="dxa"/>
            <w:vAlign w:val="bottom"/>
            <w:tcBorders>
              <w:bottom w:val="single" w:sz="8" w:color="0000FF"/>
            </w:tcBorders>
            <w:gridSpan w:val="11"/>
          </w:tcPr>
          <w:p>
            <w:pPr>
              <w:spacing w:after="0" w:line="168"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LLC, as administrative agent and collateral agent, and Apollo Global</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760" w:type="dxa"/>
            <w:vAlign w:val="bottom"/>
          </w:tcPr>
          <w:p>
            <w:pPr>
              <w:spacing w:after="0"/>
              <w:rPr>
                <w:sz w:val="14"/>
                <w:szCs w:val="14"/>
                <w:color w:val="auto"/>
              </w:rPr>
            </w:pPr>
          </w:p>
        </w:tc>
      </w:tr>
      <w:tr>
        <w:trPr>
          <w:trHeight w:val="155"/>
        </w:trPr>
        <w:tc>
          <w:tcPr>
            <w:tcW w:w="1200" w:type="dxa"/>
            <w:vAlign w:val="bottom"/>
          </w:tcPr>
          <w:p>
            <w:pPr>
              <w:spacing w:after="0"/>
              <w:rPr>
                <w:sz w:val="13"/>
                <w:szCs w:val="13"/>
                <w:color w:val="auto"/>
              </w:rPr>
            </w:pPr>
          </w:p>
        </w:tc>
        <w:tc>
          <w:tcPr>
            <w:tcW w:w="5280" w:type="dxa"/>
            <w:vAlign w:val="bottom"/>
            <w:gridSpan w:val="16"/>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Funding, LLC, as sole lead arranger and bookrunner.**</w:t>
              </w:r>
            </w:hyperlink>
          </w:p>
        </w:tc>
        <w:tc>
          <w:tcPr>
            <w:tcW w:w="47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528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Amendment to Credit Amendment, dated as of September 25,</w:t>
              </w:r>
            </w:hyperlink>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00" w:type="dxa"/>
            <w:vAlign w:val="bottom"/>
            <w:tcBorders>
              <w:top w:val="single" w:sz="8" w:color="0000FF"/>
              <w:bottom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2024, by and among the Company, the lenders party thereto, Apollo</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76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November 4, 2024</w:t>
            </w:r>
          </w:p>
        </w:tc>
      </w:tr>
      <w:tr>
        <w:trPr>
          <w:trHeight w:val="188"/>
        </w:trPr>
        <w:tc>
          <w:tcPr>
            <w:tcW w:w="1200" w:type="dxa"/>
            <w:vAlign w:val="bottom"/>
            <w:shd w:val="clear" w:color="auto" w:fill="CCEEFF"/>
          </w:tcPr>
          <w:p>
            <w:pPr>
              <w:spacing w:after="0"/>
              <w:rPr>
                <w:sz w:val="16"/>
                <w:szCs w:val="16"/>
                <w:color w:val="auto"/>
              </w:rPr>
            </w:pPr>
          </w:p>
        </w:tc>
        <w:tc>
          <w:tcPr>
            <w:tcW w:w="5260" w:type="dxa"/>
            <w:vAlign w:val="bottom"/>
            <w:gridSpan w:val="15"/>
            <w:shd w:val="clear" w:color="auto" w:fill="CCEEFF"/>
          </w:tcPr>
          <w:p>
            <w:pPr>
              <w:spacing w:after="0" w:line="168"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Administrative Agency, as administrative agent and collateral agent.</w:t>
              </w:r>
            </w:hyperlink>
          </w:p>
        </w:tc>
        <w:tc>
          <w:tcPr>
            <w:tcW w:w="20" w:type="dxa"/>
            <w:vAlign w:val="bottom"/>
            <w:shd w:val="clear" w:color="auto" w:fill="CCEEFF"/>
          </w:tcPr>
          <w:p>
            <w:pPr>
              <w:spacing w:after="0"/>
              <w:rPr>
                <w:sz w:val="16"/>
                <w:szCs w:val="16"/>
                <w:color w:val="auto"/>
              </w:rPr>
            </w:pPr>
          </w:p>
        </w:tc>
        <w:tc>
          <w:tcPr>
            <w:tcW w:w="4760" w:type="dxa"/>
            <w:vAlign w:val="bottom"/>
            <w:shd w:val="clear" w:color="auto" w:fill="CCEEFF"/>
          </w:tcPr>
          <w:p>
            <w:pPr>
              <w:spacing w:after="0"/>
              <w:rPr>
                <w:sz w:val="16"/>
                <w:szCs w:val="16"/>
                <w:color w:val="auto"/>
              </w:rPr>
            </w:pPr>
          </w:p>
        </w:tc>
      </w:tr>
      <w:tr>
        <w:trPr>
          <w:trHeight w:val="188"/>
        </w:trPr>
        <w:tc>
          <w:tcPr>
            <w:tcW w:w="1200" w:type="dxa"/>
            <w:vAlign w:val="bottom"/>
            <w:tcBorders>
              <w:top w:val="single" w:sz="8" w:color="CCEEFF"/>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4900" w:type="dxa"/>
            <w:vAlign w:val="bottom"/>
            <w:tcBorders>
              <w:top w:val="single" w:sz="8" w:color="0000FF"/>
            </w:tcBorders>
            <w:gridSpan w:val="8"/>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Credit Agreement dated August 21, 2025</w:t>
              </w:r>
            </w:hyperlink>
          </w:p>
        </w:tc>
        <w:tc>
          <w:tcPr>
            <w:tcW w:w="380" w:type="dxa"/>
            <w:vAlign w:val="bottom"/>
            <w:tcBorders>
              <w:top w:val="single" w:sz="8" w:color="CCEEFF"/>
            </w:tcBorders>
            <w:gridSpan w:val="8"/>
          </w:tcPr>
          <w:p>
            <w:pPr>
              <w:spacing w:after="0"/>
              <w:rPr>
                <w:sz w:val="16"/>
                <w:szCs w:val="16"/>
                <w:color w:val="auto"/>
              </w:rPr>
            </w:pPr>
          </w:p>
        </w:tc>
        <w:tc>
          <w:tcPr>
            <w:tcW w:w="47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99.1 to the Registrant’s Current Report on Form 8-K filed</w:t>
            </w:r>
          </w:p>
        </w:tc>
      </w:tr>
      <w:tr>
        <w:trPr>
          <w:trHeight w:val="208"/>
        </w:trPr>
        <w:tc>
          <w:tcPr>
            <w:tcW w:w="120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August 21,2025</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528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LendingTree, Inc. Securities Trading and Related Matters Policy</w:t>
              </w:r>
            </w:hyperlink>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19 to the Registrant's Annual Report on Form 10-K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0000FF"/>
            </w:tcBorders>
            <w:shd w:val="clear" w:color="auto" w:fill="CCEEFF"/>
          </w:tcPr>
          <w:p>
            <w:pPr>
              <w:spacing w:after="0"/>
              <w:rPr>
                <w:sz w:val="18"/>
                <w:szCs w:val="18"/>
                <w:color w:val="auto"/>
              </w:rPr>
            </w:pPr>
          </w:p>
        </w:tc>
        <w:tc>
          <w:tcPr>
            <w:tcW w:w="130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0000FF"/>
            </w:tcBorders>
            <w:shd w:val="clear" w:color="auto" w:fill="CCEEFF"/>
          </w:tcPr>
          <w:p>
            <w:pPr>
              <w:spacing w:after="0"/>
              <w:rPr>
                <w:sz w:val="18"/>
                <w:szCs w:val="18"/>
                <w:color w:val="auto"/>
              </w:rPr>
            </w:pPr>
          </w:p>
        </w:tc>
        <w:tc>
          <w:tcPr>
            <w:tcW w:w="10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7, 2025</w:t>
            </w: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52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LendingTree, Inc.</w:t>
            </w:r>
          </w:p>
        </w:tc>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20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52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52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on signature page of this Annual Report</w:t>
            </w:r>
          </w:p>
        </w:tc>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on Form 10-K)</w:t>
            </w: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760" w:type="dxa"/>
            <w:vAlign w:val="bottom"/>
          </w:tcPr>
          <w:p>
            <w:pPr>
              <w:spacing w:after="0"/>
              <w:rPr>
                <w:sz w:val="13"/>
                <w:szCs w:val="13"/>
                <w:color w:val="auto"/>
              </w:rPr>
            </w:pPr>
          </w:p>
        </w:tc>
      </w:tr>
      <w:tr>
        <w:trPr>
          <w:trHeight w:val="34"/>
        </w:trPr>
        <w:tc>
          <w:tcPr>
            <w:tcW w:w="120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2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w:t>
            </w: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40" w:type="dxa"/>
            <w:vAlign w:val="bottom"/>
            <w:tcBorders>
              <w:top w:val="single" w:sz="8" w:color="0000FF"/>
              <w:bottom w:val="single" w:sz="8" w:color="0000FF"/>
            </w:tcBorders>
            <w:gridSpan w:val="14"/>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or Rule 15d-14(a) of the Securities Exchange Act of 1934 as adopted</w:t>
            </w: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7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0000FF"/>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1020" w:type="dxa"/>
            <w:vAlign w:val="bottom"/>
            <w:tcBorders>
              <w:bottom w:val="single" w:sz="8" w:color="CCEEFF"/>
            </w:tcBorders>
            <w:gridSpan w:val="10"/>
            <w:shd w:val="clear" w:color="auto" w:fill="CCEEFF"/>
          </w:tcPr>
          <w:p>
            <w:pPr>
              <w:spacing w:after="0"/>
              <w:rPr>
                <w:sz w:val="16"/>
                <w:szCs w:val="16"/>
                <w:color w:val="auto"/>
              </w:rPr>
            </w:pPr>
          </w:p>
        </w:tc>
        <w:tc>
          <w:tcPr>
            <w:tcW w:w="4760" w:type="dxa"/>
            <w:vAlign w:val="bottom"/>
            <w:tcBorders>
              <w:bottom w:val="single" w:sz="8" w:color="CCEEFF"/>
            </w:tcBorders>
            <w:shd w:val="clear" w:color="auto" w:fill="CCEEFF"/>
          </w:tcPr>
          <w:p>
            <w:pPr>
              <w:spacing w:after="0"/>
              <w:rPr>
                <w:sz w:val="16"/>
                <w:szCs w:val="16"/>
                <w:color w:val="auto"/>
              </w:rPr>
            </w:pPr>
          </w:p>
        </w:tc>
      </w:tr>
      <w:tr>
        <w:trPr>
          <w:trHeight w:val="190"/>
        </w:trPr>
        <w:tc>
          <w:tcPr>
            <w:tcW w:w="1200" w:type="dxa"/>
            <w:vAlign w:val="bottom"/>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31.2</w:t>
            </w:r>
          </w:p>
        </w:tc>
        <w:tc>
          <w:tcPr>
            <w:tcW w:w="5280" w:type="dxa"/>
            <w:vAlign w:val="bottom"/>
            <w:gridSpan w:val="16"/>
          </w:tcPr>
          <w:p>
            <w:pPr>
              <w:spacing w:after="0" w:line="190" w:lineRule="exact"/>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Rule 13a-14(a)</w:t>
            </w:r>
          </w:p>
        </w:tc>
        <w:tc>
          <w:tcPr>
            <w:tcW w:w="47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r>
    </w:tbl>
    <w:p>
      <w:pPr>
        <w:ind w:left="1200"/>
        <w:spacing w:after="0" w:line="218" w:lineRule="auto"/>
        <w:rPr>
          <w:sz w:val="20"/>
          <w:szCs w:val="20"/>
          <w:color w:val="auto"/>
        </w:rPr>
      </w:pPr>
      <w:r>
        <w:rPr>
          <w:rFonts w:ascii="Times New Roman" w:cs="Times New Roman" w:eastAsia="Times New Roman" w:hAnsi="Times New Roman"/>
          <w:sz w:val="18"/>
          <w:szCs w:val="18"/>
          <w:u w:val="single" w:color="auto"/>
          <w:color w:val="0000FF"/>
        </w:rPr>
        <w:t>or Rule 15d-14(a) of the Securities Exchange Act of 1934 as adopted</w:t>
      </w:r>
    </w:p>
    <w:p>
      <w:pPr>
        <w:ind w:left="1200"/>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17"/>
                <w:szCs w:val="17"/>
                <w:color w:val="auto"/>
              </w:rPr>
            </w:pPr>
          </w:p>
        </w:tc>
        <w:tc>
          <w:tcPr>
            <w:tcW w:w="4360" w:type="dxa"/>
            <w:vAlign w:val="bottom"/>
            <w:gridSpan w:val="5"/>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82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gridSpan w:val="5"/>
            <w:vMerge w:val="continue"/>
          </w:tcPr>
          <w:p>
            <w:pPr>
              <w:spacing w:after="0"/>
              <w:rPr>
                <w:sz w:val="21"/>
                <w:szCs w:val="21"/>
                <w:color w:val="auto"/>
              </w:rPr>
            </w:pPr>
          </w:p>
        </w:tc>
        <w:tc>
          <w:tcPr>
            <w:tcW w:w="4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522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c>
          <w:tcPr>
            <w:tcW w:w="48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18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2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48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w:t>
            </w:r>
          </w:p>
        </w:tc>
        <w:tc>
          <w:tcPr>
            <w:tcW w:w="60" w:type="dxa"/>
            <w:vAlign w:val="bottom"/>
            <w:gridSpan w:val="2"/>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180" w:type="dxa"/>
            <w:vAlign w:val="bottom"/>
            <w:tcBorders>
              <w:top w:val="single" w:sz="8" w:color="0000FF"/>
            </w:tcBorders>
            <w:gridSpan w:val="5"/>
          </w:tcPr>
          <w:p>
            <w:pPr>
              <w:spacing w:after="0" w:line="168"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522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LendingTree, Inc. Clawback Policy*</w:t>
              </w:r>
            </w:hyperlink>
          </w:p>
        </w:tc>
        <w:tc>
          <w:tcPr>
            <w:tcW w:w="48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97 to the Registrant's Annual Report on Form 10-K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0000FF"/>
            </w:tcBorders>
            <w:shd w:val="clear" w:color="auto" w:fill="CCEEFF"/>
          </w:tcPr>
          <w:p>
            <w:pPr>
              <w:spacing w:after="0"/>
              <w:rPr>
                <w:sz w:val="18"/>
                <w:szCs w:val="18"/>
                <w:color w:val="auto"/>
              </w:rPr>
            </w:pPr>
          </w:p>
        </w:tc>
        <w:tc>
          <w:tcPr>
            <w:tcW w:w="1780" w:type="dxa"/>
            <w:vAlign w:val="bottom"/>
            <w:tcBorders>
              <w:top w:val="single" w:sz="8" w:color="0000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101.CAL</w:t>
            </w:r>
          </w:p>
        </w:tc>
        <w:tc>
          <w:tcPr>
            <w:tcW w:w="5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101.DEF</w:t>
            </w:r>
          </w:p>
        </w:tc>
        <w:tc>
          <w:tcPr>
            <w:tcW w:w="52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200" w:type="dxa"/>
            <w:vAlign w:val="bottom"/>
          </w:tcPr>
          <w:p>
            <w:pPr>
              <w:jc w:val="right"/>
              <w:ind w:right="30"/>
              <w:spacing w:after="0" w:line="175" w:lineRule="exact"/>
              <w:rPr>
                <w:sz w:val="20"/>
                <w:szCs w:val="20"/>
                <w:color w:val="auto"/>
              </w:rPr>
            </w:pPr>
            <w:r>
              <w:rPr>
                <w:rFonts w:ascii="Times New Roman" w:cs="Times New Roman" w:eastAsia="Times New Roman" w:hAnsi="Times New Roman"/>
                <w:sz w:val="18"/>
                <w:szCs w:val="18"/>
                <w:color w:val="auto"/>
              </w:rPr>
              <w:t>101.INS</w:t>
            </w:r>
          </w:p>
        </w:tc>
        <w:tc>
          <w:tcPr>
            <w:tcW w:w="5220" w:type="dxa"/>
            <w:vAlign w:val="bottom"/>
            <w:gridSpan w:val="6"/>
          </w:tcPr>
          <w:p>
            <w:pPr>
              <w:spacing w:after="0" w:line="17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c>
          <w:tcPr>
            <w:tcW w:w="4820" w:type="dxa"/>
            <w:vAlign w:val="bottom"/>
          </w:tcPr>
          <w:p>
            <w:pPr>
              <w:ind w:left="60"/>
              <w:spacing w:after="0" w:line="17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20" w:type="dxa"/>
            <w:vAlign w:val="bottom"/>
            <w:gridSpan w:val="6"/>
          </w:tcPr>
          <w:p>
            <w:pPr>
              <w:spacing w:after="0" w:line="183"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5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101.LAB</w:t>
            </w:r>
          </w:p>
        </w:tc>
        <w:tc>
          <w:tcPr>
            <w:tcW w:w="52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101.PRE</w:t>
            </w:r>
          </w:p>
        </w:tc>
        <w:tc>
          <w:tcPr>
            <w:tcW w:w="5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101.SCH</w:t>
            </w:r>
          </w:p>
        </w:tc>
        <w:tc>
          <w:tcPr>
            <w:tcW w:w="52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200" w:hanging="391"/>
        <w:spacing w:after="0" w:line="220"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w:t>
      </w: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contained in Exhibit 101)</w:t>
      </w:r>
    </w:p>
    <w:p>
      <w:pPr>
        <w:spacing w:after="0" w:line="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6" w:lineRule="exact"/>
        <w:rPr>
          <w:sz w:val="20"/>
          <w:szCs w:val="20"/>
          <w:color w:val="auto"/>
        </w:rPr>
      </w:pPr>
    </w:p>
    <w:p>
      <w:pPr>
        <w:jc w:val="both"/>
        <w:ind w:firstLine="7"/>
        <w:spacing w:after="0" w:line="264" w:lineRule="auto"/>
        <w:tabs>
          <w:tab w:leader="none" w:pos="2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96" w:lineRule="exact"/>
        <w:rPr>
          <w:sz w:val="20"/>
          <w:szCs w:val="20"/>
          <w:color w:val="auto"/>
        </w:rPr>
      </w:pPr>
    </w:p>
    <w:p>
      <w:pPr>
        <w:jc w:val="both"/>
        <w:ind w:firstLine="7"/>
        <w:spacing w:after="0" w:line="264" w:lineRule="auto"/>
        <w:tabs>
          <w:tab w:leader="none" w:pos="4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compensation plan or arrangement.</w:t>
      </w:r>
    </w:p>
    <w:p>
      <w:pPr>
        <w:spacing w:after="0" w:line="156" w:lineRule="exact"/>
        <w:rPr>
          <w:sz w:val="20"/>
          <w:szCs w:val="20"/>
          <w:color w:val="auto"/>
        </w:rPr>
      </w:pPr>
    </w:p>
    <w:p>
      <w:pPr>
        <w:ind w:firstLine="7"/>
        <w:spacing w:after="0" w:line="280" w:lineRule="auto"/>
        <w:tabs>
          <w:tab w:leader="none" w:pos="2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pursuant to a request for confidential treatment and this exhibit has been submitted separately to the SEC.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6" w:lineRule="exact"/>
        <w:rPr>
          <w:sz w:val="20"/>
          <w:szCs w:val="20"/>
          <w:color w:val="auto"/>
        </w:rPr>
      </w:pPr>
    </w:p>
    <w:p>
      <w:pPr>
        <w:ind w:left="5520"/>
        <w:spacing w:after="0"/>
        <w:tabs>
          <w:tab w:leader="none" w:pos="6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19050</wp:posOffset>
            </wp:positionV>
            <wp:extent cx="32080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Scott Peyree</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each of Jason Bengel and Heather Novitsky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2025,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19"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SCOTT PEYREE</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Scott Peyree</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JASON BENGEL</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Jason Bengel</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CARLA SHUMATE</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Carla Shumate</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GABRIEL DALPORTO</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Gabriel Dalporto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THOMAS DAVIDSON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Thomas Davidson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MARK ERNST</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 Ernst</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ROBIN HENDERSON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Robin Henderson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STEVEN OZONIAN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Steven Ozonian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DIEGO RODRIGUEZ</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Diego Rodriguez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SARAS SARASVATHY</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Saras Sarasvathy</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G. KENNEDY THOMPSON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9, 2026</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 Kennedy Thompson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1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914"/>
        </w:trPr>
        <w:tc>
          <w:tcPr>
            <w:tcW w:w="3300" w:type="dxa"/>
            <w:vAlign w:val="bottom"/>
          </w:tcPr>
          <w:p>
            <w:pPr>
              <w:spacing w:after="0"/>
              <w:rPr>
                <w:sz w:val="24"/>
                <w:szCs w:val="24"/>
                <w:color w:val="auto"/>
              </w:rPr>
            </w:pPr>
          </w:p>
        </w:tc>
        <w:tc>
          <w:tcPr>
            <w:tcW w:w="79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SUBSIDIARIES OF LENDINGTREE, INC.</w:t>
            </w:r>
          </w:p>
        </w:tc>
        <w:tc>
          <w:tcPr>
            <w:tcW w:w="0" w:type="dxa"/>
            <w:vAlign w:val="bottom"/>
          </w:tcPr>
          <w:p>
            <w:pPr>
              <w:spacing w:after="0"/>
              <w:rPr>
                <w:sz w:val="1"/>
                <w:szCs w:val="1"/>
                <w:color w:val="auto"/>
              </w:rPr>
            </w:pPr>
          </w:p>
        </w:tc>
      </w:tr>
      <w:tr>
        <w:trPr>
          <w:trHeight w:val="244"/>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900" w:type="dxa"/>
            <w:vAlign w:val="bottom"/>
            <w:gridSpan w:val="2"/>
          </w:tcPr>
          <w:p>
            <w:pPr>
              <w:jc w:val="center"/>
              <w:ind w:left="6373"/>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3300" w:type="dxa"/>
            <w:vAlign w:val="bottom"/>
            <w:vMerge w:val="continue"/>
          </w:tcPr>
          <w:p>
            <w:pPr>
              <w:spacing w:after="0"/>
              <w:rPr>
                <w:sz w:val="16"/>
                <w:szCs w:val="16"/>
                <w:color w:val="auto"/>
              </w:rPr>
            </w:pPr>
          </w:p>
        </w:tc>
        <w:tc>
          <w:tcPr>
            <w:tcW w:w="7900" w:type="dxa"/>
            <w:vAlign w:val="bottom"/>
            <w:gridSpan w:val="2"/>
          </w:tcPr>
          <w:p>
            <w:pPr>
              <w:jc w:val="center"/>
              <w:ind w:left="6373"/>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228"/>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LLC</w:t>
            </w:r>
          </w:p>
        </w:tc>
        <w:tc>
          <w:tcPr>
            <w:tcW w:w="7880" w:type="dxa"/>
            <w:vAlign w:val="bottom"/>
            <w:tcBorders>
              <w:top w:val="single" w:sz="8" w:color="auto"/>
            </w:tcBorders>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Tree.com BU Holding Company, Inc.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India Holding Company,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LendingTree Research Services LLP</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7"/>
              </w:rPr>
              <w:t>India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Ovation Credit Services, Inc.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4"/>
              </w:rPr>
              <w:t>FL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QuoteWizard.com,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QW Insurance Solutions,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3"/>
              </w:rPr>
              <w:t>WA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LT Intermediate Company,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LTIM,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LendingTree JVIC,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333-278973) and Form S-8 (Nos. 333-291234, 333-273547, 333-258391, 333-233035, 333-218747, and 333-197952) of LendingTree, Inc. of our report dated March 9,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that:</w:t>
      </w:r>
    </w:p>
    <w:p>
      <w:pPr>
        <w:spacing w:after="0" w:line="156" w:lineRule="exact"/>
        <w:rPr>
          <w:sz w:val="20"/>
          <w:szCs w:val="20"/>
          <w:color w:val="auto"/>
        </w:rPr>
      </w:pPr>
    </w:p>
    <w:p>
      <w:pPr>
        <w:ind w:left="320" w:hanging="313"/>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LendingTree, Inc.;</w:t>
      </w:r>
    </w:p>
    <w:p>
      <w:pPr>
        <w:spacing w:after="0" w:line="155" w:lineRule="exact"/>
        <w:rPr>
          <w:rFonts w:ascii="Times New Roman" w:cs="Times New Roman" w:eastAsia="Times New Roman" w:hAnsi="Times New Roman"/>
          <w:sz w:val="18"/>
          <w:szCs w:val="18"/>
          <w:color w:val="auto"/>
        </w:rPr>
      </w:pPr>
    </w:p>
    <w:p>
      <w:pPr>
        <w:ind w:left="660" w:hanging="653"/>
        <w:spacing w:after="0" w:line="264" w:lineRule="auto"/>
        <w:tabs>
          <w:tab w:leader="none" w:pos="3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4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hanging="653"/>
        <w:spacing w:after="0" w:line="264" w:lineRule="auto"/>
        <w:tabs>
          <w:tab w:leader="none" w:pos="4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hanging="648"/>
        <w:spacing w:after="0" w:line="264" w:lineRule="auto"/>
        <w:tabs>
          <w:tab w:leader="none" w:pos="9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8"/>
          <w:szCs w:val="18"/>
          <w:color w:val="auto"/>
        </w:rPr>
      </w:pPr>
    </w:p>
    <w:p>
      <w:pPr>
        <w:ind w:left="1300" w:hanging="648"/>
        <w:spacing w:after="0" w:line="264" w:lineRule="auto"/>
        <w:tabs>
          <w:tab w:leader="none" w:pos="10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300" w:hanging="648"/>
        <w:spacing w:after="0" w:line="280" w:lineRule="auto"/>
        <w:tabs>
          <w:tab w:leader="none" w:pos="10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8"/>
        <w:spacing w:after="0" w:line="264" w:lineRule="auto"/>
        <w:tabs>
          <w:tab w:leader="none" w:pos="10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3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9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106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9, 2026</w:t>
      </w:r>
    </w:p>
    <w:p>
      <w:pPr>
        <w:spacing w:after="0" w:line="19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34213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9">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Scott Peyree</w:t>
      </w:r>
    </w:p>
    <w:p>
      <w:pPr>
        <w:jc w:val="center"/>
        <w:ind w:left="5820"/>
        <w:spacing w:after="0" w:line="218" w:lineRule="auto"/>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that:</w:t>
      </w:r>
    </w:p>
    <w:p>
      <w:pPr>
        <w:spacing w:after="0" w:line="156" w:lineRule="exact"/>
        <w:rPr>
          <w:sz w:val="20"/>
          <w:szCs w:val="20"/>
          <w:color w:val="auto"/>
        </w:rPr>
      </w:pPr>
    </w:p>
    <w:p>
      <w:pPr>
        <w:ind w:left="320" w:hanging="313"/>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2025 of LendingTree, Inc.;</w:t>
      </w:r>
    </w:p>
    <w:p>
      <w:pPr>
        <w:spacing w:after="0" w:line="155" w:lineRule="exact"/>
        <w:rPr>
          <w:rFonts w:ascii="Times New Roman" w:cs="Times New Roman" w:eastAsia="Times New Roman" w:hAnsi="Times New Roman"/>
          <w:sz w:val="18"/>
          <w:szCs w:val="18"/>
          <w:color w:val="auto"/>
        </w:rPr>
      </w:pPr>
    </w:p>
    <w:p>
      <w:pPr>
        <w:ind w:left="660" w:hanging="653"/>
        <w:spacing w:after="0" w:line="264" w:lineRule="auto"/>
        <w:tabs>
          <w:tab w:leader="none" w:pos="3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4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hanging="653"/>
        <w:spacing w:after="0" w:line="264" w:lineRule="auto"/>
        <w:tabs>
          <w:tab w:leader="none" w:pos="4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hanging="648"/>
        <w:spacing w:after="0" w:line="264" w:lineRule="auto"/>
        <w:tabs>
          <w:tab w:leader="none" w:pos="99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8"/>
          <w:szCs w:val="18"/>
          <w:color w:val="auto"/>
        </w:rPr>
      </w:pPr>
    </w:p>
    <w:p>
      <w:pPr>
        <w:ind w:left="1300" w:hanging="648"/>
        <w:spacing w:after="0" w:line="264" w:lineRule="auto"/>
        <w:tabs>
          <w:tab w:leader="none" w:pos="106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300" w:hanging="648"/>
        <w:spacing w:after="0" w:line="280" w:lineRule="auto"/>
        <w:tabs>
          <w:tab w:leader="none" w:pos="10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8"/>
        <w:spacing w:after="0" w:line="264" w:lineRule="auto"/>
        <w:tabs>
          <w:tab w:leader="none" w:pos="100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9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106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9, 2026</w:t>
      </w:r>
    </w:p>
    <w:p>
      <w:pPr>
        <w:spacing w:after="0" w:line="19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3421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Jason Bengel</w:t>
      </w:r>
    </w:p>
    <w:p>
      <w:pPr>
        <w:ind w:left="7700"/>
        <w:spacing w:after="0" w:line="218"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pursuant to 18 U.S.C. Section 1350, as adopted pursuant to Section 906 of the Sarbanes-Oxley Act of 2002, that to my knowledge:</w:t>
      </w:r>
    </w:p>
    <w:p>
      <w:pPr>
        <w:spacing w:after="0" w:line="169" w:lineRule="exact"/>
        <w:rPr>
          <w:sz w:val="20"/>
          <w:szCs w:val="20"/>
          <w:color w:val="auto"/>
        </w:rPr>
      </w:pPr>
    </w:p>
    <w:p>
      <w:pPr>
        <w:jc w:val="both"/>
        <w:ind w:left="660" w:hanging="330"/>
        <w:spacing w:after="0" w:line="264"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2025 of LendingTree, Inc. (the "Report") which this statement accompanies fully complies with the requirements of Section 13(a) or 15(d) of the Securities Exchange Act of 1934 (15 U.S.C. 78m or 78o(d)); and</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9, 2026</w:t>
      </w:r>
    </w:p>
    <w:p>
      <w:pPr>
        <w:spacing w:after="0" w:line="31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19050</wp:posOffset>
            </wp:positionV>
            <wp:extent cx="3557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Scott Peyree</w:t>
      </w:r>
    </w:p>
    <w:p>
      <w:pPr>
        <w:jc w:val="center"/>
        <w:ind w:left="55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pursuant to 18 U.S.C. Section 1350, as adopted pursuant to Section 906 of the Sarbanes-Oxley Act of 2002, that to my knowledge:</w:t>
      </w:r>
    </w:p>
    <w:p>
      <w:pPr>
        <w:spacing w:after="0" w:line="169" w:lineRule="exact"/>
        <w:rPr>
          <w:sz w:val="20"/>
          <w:szCs w:val="20"/>
          <w:color w:val="auto"/>
        </w:rPr>
      </w:pPr>
    </w:p>
    <w:p>
      <w:pPr>
        <w:jc w:val="both"/>
        <w:ind w:left="660" w:hanging="330"/>
        <w:spacing w:after="0" w:line="264"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2025 of LendingTree, Inc. (the "Report") which this statement accompanies fully complies with the requirements of Section 13(a) or 15(d) of the Securities Exchange Act of 1934 (15 U.S.C. 78m or 78o(d)); and</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9, 2026</w:t>
      </w:r>
    </w:p>
    <w:p>
      <w:pPr>
        <w:spacing w:after="0" w:line="31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19050</wp:posOffset>
            </wp:positionV>
            <wp:extent cx="3557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2">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Jason Bengel</w:t>
      </w:r>
    </w:p>
    <w:p>
      <w:pPr>
        <w:ind w:left="758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104"/>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67" Type="http://schemas.openxmlformats.org/officeDocument/2006/relationships/image" Target="media/image110.png"/><Relationship Id="rId184" Type="http://schemas.openxmlformats.org/officeDocument/2006/relationships/image" Target="media/image111.png"/><Relationship Id="rId186" Type="http://schemas.openxmlformats.org/officeDocument/2006/relationships/image" Target="media/image112.png"/><Relationship Id="rId187" Type="http://schemas.openxmlformats.org/officeDocument/2006/relationships/image" Target="media/image113.png"/><Relationship Id="rId188" Type="http://schemas.openxmlformats.org/officeDocument/2006/relationships/image" Target="media/image114.png"/><Relationship Id="rId189"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192" Type="http://schemas.openxmlformats.org/officeDocument/2006/relationships/image" Target="media/image118.png"/><Relationship Id="rId113" Type="http://schemas.openxmlformats.org/officeDocument/2006/relationships/hyperlink" Target="https://www.sec.gov/Archives/edgar/data/1434621/000168316824005179/lendingtree_ex0101.htm" TargetMode="External"/><Relationship Id="rId114" Type="http://schemas.openxmlformats.org/officeDocument/2006/relationships/hyperlink" Target="https://www.sec.gov/Archives/edgar/data/1434621/000104746908008622/a2187113zex-2_1.htm" TargetMode="External"/><Relationship Id="rId115" Type="http://schemas.openxmlformats.org/officeDocument/2006/relationships/hyperlink" Target="https://www.sec.gov/Archives/edgar/data/1434621/000110465908054882/a08-22125_1ex10d2.htm" TargetMode="External"/><Relationship Id="rId116" Type="http://schemas.openxmlformats.org/officeDocument/2006/relationships/hyperlink" Target="https://www.sec.gov/Archives/edgar/data/1434621/000110465908054882/a08-22125_1ex10d3.htm" TargetMode="External"/><Relationship Id="rId117" Type="http://schemas.openxmlformats.org/officeDocument/2006/relationships/hyperlink" Target="https://www.sec.gov/Archives/edgar/data/1434621/000110465908054882/a08-22125_1ex10d4.htm" TargetMode="External"/><Relationship Id="rId118" Type="http://schemas.openxmlformats.org/officeDocument/2006/relationships/hyperlink" Target="https://www.sec.gov/Archives/edgar/data/1434621/000110465908054882/a08-22125_1ex10d6.htm" TargetMode="External"/><Relationship Id="rId119" Type="http://schemas.openxmlformats.org/officeDocument/2006/relationships/hyperlink" Target="https://www.sec.gov/Archives/edgar/data/1434621/000110465910058747/a10-21366_1ex2d1.htm" TargetMode="External"/><Relationship Id="rId120" Type="http://schemas.openxmlformats.org/officeDocument/2006/relationships/hyperlink" Target="https://www.sec.gov/Archives/edgar/data/1434621/000110465911015602/a11-8401_1ex2d1.htm" TargetMode="External"/><Relationship Id="rId121" Type="http://schemas.openxmlformats.org/officeDocument/2006/relationships/hyperlink" Target="https://www.sec.gov/Archives/edgar/data/1434621/000110465911015602/a11-8401_1ex2d2.htm" TargetMode="External"/><Relationship Id="rId124" Type="http://schemas.openxmlformats.org/officeDocument/2006/relationships/hyperlink" Target="https://www.sec.gov/Archives/edgar/data/1434621/000110465911029396/a11-12364_1ex2d1.htm" TargetMode="External"/><Relationship Id="rId125" Type="http://schemas.openxmlformats.org/officeDocument/2006/relationships/hyperlink" Target="https://www.sec.gov/Archives/edgar/data/1434621/000110465911052643/a11-26750_1ex2d1.htm" TargetMode="External"/><Relationship Id="rId126" Type="http://schemas.openxmlformats.org/officeDocument/2006/relationships/hyperlink" Target="https://www.sec.gov/Archives/edgar/data/1434621/000110465912007840/a12-4544_1ex2d1.htm" TargetMode="External"/><Relationship Id="rId127" Type="http://schemas.openxmlformats.org/officeDocument/2006/relationships/hyperlink" Target="https://www.sec.gov/Archives/edgar/data/1434621/000143462116000102/ex21ironhorsepurchaseagree.htm" TargetMode="External"/><Relationship Id="rId128" Type="http://schemas.openxmlformats.org/officeDocument/2006/relationships/hyperlink" Target="https://www.sec.gov/Archives/edgar/data/1355096/000110465917066108/a17-25170_1ex99d7d.htm" TargetMode="External"/><Relationship Id="rId129" Type="http://schemas.openxmlformats.org/officeDocument/2006/relationships/hyperlink" Target="https://www.sec.gov/Archives/edgar/data/1434621/000143462118000036/exhibit21-quotewizardpurch.htm" TargetMode="External"/><Relationship Id="rId130" Type="http://schemas.openxmlformats.org/officeDocument/2006/relationships/hyperlink" Target="https://www.sec.gov/Archives/edgar/data/1434621/000143462118000054/exhibit21-valuepenguinpurc.htm" TargetMode="External"/><Relationship Id="rId131" Type="http://schemas.openxmlformats.org/officeDocument/2006/relationships/hyperlink" Target="https://www.sec.gov/Archives/edgar/data/1434621/000110465908054882/a08-22125_1ex3d1.htm" TargetMode="External"/><Relationship Id="rId132" Type="http://schemas.openxmlformats.org/officeDocument/2006/relationships/hyperlink" Target="https://www.sec.gov/Archives/edgar/data/1434621/000168316825008622/lending_ex0301.htm" TargetMode="External"/><Relationship Id="rId133" Type="http://schemas.openxmlformats.org/officeDocument/2006/relationships/hyperlink" Target="https://www.sec.gov/Archives/edgar/data/891103/000104746903023716/a2111938zex-99_4.htm" TargetMode="External"/><Relationship Id="rId134" Type="http://schemas.openxmlformats.org/officeDocument/2006/relationships/hyperlink" Target="https://www.sec.gov/Archives/edgar/data/1434621/000110465908054882/a08-22125_1ex10d5.htm" TargetMode="External"/><Relationship Id="rId135" Type="http://schemas.openxmlformats.org/officeDocument/2006/relationships/hyperlink" Target="https://www.sec.gov/Archives/edgar/data/1434621/000143462117000036/exhibit41-indenture.htm" TargetMode="External"/><Relationship Id="rId136" Type="http://schemas.openxmlformats.org/officeDocument/2006/relationships/hyperlink" Target="https://www.sec.gov/Archives/edgar/data/1434621/000143462117000036/exhibit991-purchaseagreeme.htm" TargetMode="External"/><Relationship Id="rId137" Type="http://schemas.openxmlformats.org/officeDocument/2006/relationships/hyperlink" Target="https://www.sec.gov/Archives/edgar/data/1434621/000143462117000036/exhibit994-basewarrantconf.htm" TargetMode="External"/><Relationship Id="rId138" Type="http://schemas.openxmlformats.org/officeDocument/2006/relationships/hyperlink" Target="https://www.sec.gov/Archives/edgar/data/1434621/000143462117000036/exhibit995-additionalwarra.htm" TargetMode="External"/><Relationship Id="rId139" Type="http://schemas.openxmlformats.org/officeDocument/2006/relationships/hyperlink" Target="https://www.sec.gov/Archives/edgar/data/1434621/000143462120000015/tree-12312019xex47.htm" TargetMode="External"/><Relationship Id="rId140" Type="http://schemas.openxmlformats.org/officeDocument/2006/relationships/hyperlink" Target="https://www.sec.gov/Archives/edgar/data/1434621/000095010320014161/dp132751_ex0401.htm" TargetMode="External"/><Relationship Id="rId141" Type="http://schemas.openxmlformats.org/officeDocument/2006/relationships/hyperlink" Target="https://www.sec.gov/Archives/edgar/data/1434621/000168316825007921/lending_ex0401.htm" TargetMode="External"/><Relationship Id="rId142" Type="http://schemas.openxmlformats.org/officeDocument/2006/relationships/hyperlink" Target="https://www.sec.gov/Archives/edgar/data/1434621/000143462117000039/exhibit44a-2017inducementg.htm" TargetMode="External"/><Relationship Id="rId145" Type="http://schemas.openxmlformats.org/officeDocument/2006/relationships/hyperlink" Target="https://www.sec.gov/Archives/edgar/data/1434621/000143462117000039/exhibit44b-formofnoticeofr.htm" TargetMode="External"/><Relationship Id="rId146" Type="http://schemas.openxmlformats.org/officeDocument/2006/relationships/hyperlink" Target="https://www.sec.gov/Archives/edgar/data/1434621/000143462117000039/exhibit44c-formofnoticeofr.htm" TargetMode="External"/><Relationship Id="rId147" Type="http://schemas.openxmlformats.org/officeDocument/2006/relationships/hyperlink" Target="https://www.sec.gov/Archives/edgar/data/1434621/000143462115000024/tree-deferredcompplanbodex.htm" TargetMode="External"/><Relationship Id="rId148" Type="http://schemas.openxmlformats.org/officeDocument/2006/relationships/hyperlink" Target="https://www.sec.gov/Archives/edgar/data/1434621/000104746908008622/a2187113zex-10_15.htm" TargetMode="External"/><Relationship Id="rId149" Type="http://schemas.openxmlformats.org/officeDocument/2006/relationships/hyperlink" Target="https://www.sec.gov/Archives/edgar/data/1434621/000110465911004845/a11-5223_1ex10d2.htm" TargetMode="External"/><Relationship Id="rId150" Type="http://schemas.openxmlformats.org/officeDocument/2006/relationships/hyperlink" Target="https://www.sec.gov/Archives/edgar/data/1434621/000143462117000036/exhibit992-formofbasebondh.htm" TargetMode="External"/><Relationship Id="rId151" Type="http://schemas.openxmlformats.org/officeDocument/2006/relationships/hyperlink" Target="https://www.sec.gov/Archives/edgar/data/1434621/000143462117000036/exhibit993-additionalbondh.htm" TargetMode="External"/><Relationship Id="rId152" Type="http://schemas.openxmlformats.org/officeDocument/2006/relationships/hyperlink" Target="https://www.sec.gov/Archives/edgar/data/1434621/000095010321014050/dp157935_ex9901.htm" TargetMode="External"/><Relationship Id="rId153" Type="http://schemas.openxmlformats.org/officeDocument/2006/relationships/hyperlink" Target="https://www.sec.gov/Archives/edgar/data/1434621/000143462117000017/tree-12312016xex1031.htm" TargetMode="External"/><Relationship Id="rId154" Type="http://schemas.openxmlformats.org/officeDocument/2006/relationships/hyperlink" Target="https://www.sec.gov/Archives/edgar/data/1434621/000143462117000017/tree-12312016xex1032.htm" TargetMode="External"/><Relationship Id="rId155" Type="http://schemas.openxmlformats.org/officeDocument/2006/relationships/hyperlink" Target="https://www.sec.gov/Archives/edgar/data/1434621/000143462118000017/tree-2018331x10qexx101.htm" TargetMode="External"/><Relationship Id="rId156" Type="http://schemas.openxmlformats.org/officeDocument/2006/relationships/hyperlink" Target="https://www.sec.gov/Archives/edgar/data/1434621/000114036121014919/nc10023359x1_def14a.htm" TargetMode="External"/><Relationship Id="rId157" Type="http://schemas.openxmlformats.org/officeDocument/2006/relationships/hyperlink" Target="https://www.sec.gov/Archives/edgar/data/1434621/000143462120000030/tree-2020630x10qexx101.htm" TargetMode="External"/><Relationship Id="rId158" Type="http://schemas.openxmlformats.org/officeDocument/2006/relationships/hyperlink" Target="https://www.sec.gov/Archives/edgar/data/1434621/000143462123000003/tree-12312022xex1016.htm" TargetMode="External"/><Relationship Id="rId159" Type="http://schemas.openxmlformats.org/officeDocument/2006/relationships/hyperlink" Target="https://www.sec.gov/Archives/edgar/data/1434621/000143462120000030/tree-2020630x10qexx103.htm" TargetMode="External"/><Relationship Id="rId160" Type="http://schemas.openxmlformats.org/officeDocument/2006/relationships/hyperlink" Target="https://www.sec.gov/Archives/edgar/data/1434621/000143462120000030/tree-2020630x10qexx104.htm" TargetMode="External"/><Relationship Id="rId161" Type="http://schemas.openxmlformats.org/officeDocument/2006/relationships/hyperlink" Target="https://www.sec.gov/Archives/edgar/data/1434621/000095010320014161/dp132751_ex9902.htm" TargetMode="External"/><Relationship Id="rId162" Type="http://schemas.openxmlformats.org/officeDocument/2006/relationships/hyperlink" Target="https://www.sec.gov/Archives/edgar/data/1434621/000095010320014161/dp132751_ex9903.htm" TargetMode="External"/><Relationship Id="rId163" Type="http://schemas.openxmlformats.org/officeDocument/2006/relationships/hyperlink" Target="https://www.sec.gov/Archives/edgar/data/1434621/000095010320014161/dp132751_ex9904.htm" TargetMode="External"/><Relationship Id="rId164" Type="http://schemas.openxmlformats.org/officeDocument/2006/relationships/hyperlink" Target="https://www.sec.gov/Archives/edgar/data/1434621/000095010320014161/dp132751_ex9905.htm" TargetMode="External"/><Relationship Id="rId165" Type="http://schemas.openxmlformats.org/officeDocument/2006/relationships/hyperlink" Target="https://www.sec.gov/Archives/edgar/data/1434621/000143462121000002/tree-12312020xex1041.htm" TargetMode="External"/><Relationship Id="rId166" Type="http://schemas.openxmlformats.org/officeDocument/2006/relationships/hyperlink" Target="https://www.sec.gov/Archives/edgar/data/0001434621/000143462121000019/tree-20210630x10qexx101.htm" TargetMode="External"/><Relationship Id="rId168" Type="http://schemas.openxmlformats.org/officeDocument/2006/relationships/hyperlink" Target="https://www.sec.gov/Archives/edgar/data/1434621/000095010321011752/dp155487_ex9903.htm" TargetMode="External"/><Relationship Id="rId169" Type="http://schemas.openxmlformats.org/officeDocument/2006/relationships/hyperlink" Target="https://www.sec.gov/Archives/edgar/data/1434621/000114036123022080/ny20007139x1_def14a.htm" TargetMode="External"/><Relationship Id="rId170" Type="http://schemas.openxmlformats.org/officeDocument/2006/relationships/hyperlink" Target="https://www.sec.gov/Archives/edgar/data/1434621/000143462123000017/tree-2023630x10qexx101.htm" TargetMode="External"/><Relationship Id="rId171" Type="http://schemas.openxmlformats.org/officeDocument/2006/relationships/hyperlink" Target="https://www.sec.gov/Archives/edgar/data/1434621/000168316823005177/lendingtree_ex1003.htm" TargetMode="External"/><Relationship Id="rId172" Type="http://schemas.openxmlformats.org/officeDocument/2006/relationships/hyperlink" Target="https://www.sec.gov/Archives/edgar/data/1434621/000168316823005177/lendingtree_ex1004.htm" TargetMode="External"/><Relationship Id="rId173" Type="http://schemas.openxmlformats.org/officeDocument/2006/relationships/hyperlink" Target="https://www.sec.gov/Archives/edgar/data/1434621/000143462123000017/tree-2023630x10qexx103.htm" TargetMode="External"/><Relationship Id="rId174" Type="http://schemas.openxmlformats.org/officeDocument/2006/relationships/hyperlink" Target="https://www.sec.gov/Archives/edgar/data/1434621/000143462123000017/tree-2023630x10qexx102.htm" TargetMode="External"/><Relationship Id="rId175" Type="http://schemas.openxmlformats.org/officeDocument/2006/relationships/hyperlink" Target="https://www.sec.gov/Archives/edgar/data/1434621/000143462122000009/tree-123121xex1039.htm" TargetMode="External"/><Relationship Id="rId176" Type="http://schemas.openxmlformats.org/officeDocument/2006/relationships/hyperlink" Target="https://www.sec.gov/Archives/edgar/data/1434621/000143462122000009/tree-123121xex1040.htm" TargetMode="External"/><Relationship Id="rId177" Type="http://schemas.openxmlformats.org/officeDocument/2006/relationships/hyperlink" Target="https://www.sec.gov/Archives/edgar/data/1434621/000168316823001381/lendingtree_ex1001.htm" TargetMode="External"/><Relationship Id="rId178" Type="http://schemas.openxmlformats.org/officeDocument/2006/relationships/hyperlink" Target="https://www.sec.gov/Archives/edgar/data/1434621/000143462124000006/tree-12312023xex1036.htm" TargetMode="External"/><Relationship Id="rId179" Type="http://schemas.openxmlformats.org/officeDocument/2006/relationships/hyperlink" Target="https://www.sec.gov/Archives/edgar/data/1434621/000143462124000006/tree-12312023xex1039.htm" TargetMode="External"/><Relationship Id="rId180" Type="http://schemas.openxmlformats.org/officeDocument/2006/relationships/hyperlink" Target="https://www.sec.gov/Archives/edgar/data/1434621/000143462124000013/tree-2024331x10qexx102.htm" TargetMode="External"/><Relationship Id="rId181" Type="http://schemas.openxmlformats.org/officeDocument/2006/relationships/hyperlink" Target="https://www.sec.gov/Archives/edgar/data/1434621/000143462124000026/lendingtree-firstamendme.htm" TargetMode="External"/><Relationship Id="rId182" Type="http://schemas.openxmlformats.org/officeDocument/2006/relationships/hyperlink" Target="https://www.sec.gov/Archives/edgar/data/1434621/000168316825006382/lendingtree_ex9901.htm" TargetMode="External"/><Relationship Id="rId183" Type="http://schemas.openxmlformats.org/officeDocument/2006/relationships/hyperlink" Target="https://www.sec.gov/Archives/edgar/data/1434621/000143462125000006/tree-12312024xex19.htm" TargetMode="External"/><Relationship Id="rId185" Type="http://schemas.openxmlformats.org/officeDocument/2006/relationships/hyperlink" Target="https://www.sec.gov/Archives/edgar/data/1434621/000143462124000006/tree-12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2026-03-09T16:05:32Z</dcterms:created>
  <dcterms:modified xsi:type="dcterms:W3CDTF">2026-03-09T16:05:32Z</dcterms:modified>
</cp:coreProperties>
</file>