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161290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980" w:right="1480" w:hanging="588"/>
        <w:spacing w:after="0" w:line="256" w:lineRule="auto"/>
        <w:tabs>
          <w:tab w:leader="none" w:pos="1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980" w:right="2400" w:hanging="547"/>
        <w:spacing w:after="0" w:line="256" w:lineRule="auto"/>
        <w:tabs>
          <w:tab w:leader="none" w:pos="19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4" w:orient="portrait"/>
          <w:cols w:equalWidth="0" w:num="1">
            <w:col w:w="11360"/>
          </w:cols>
          <w:pgMar w:left="240" w:top="685" w:right="299" w:bottom="0" w:gutter="0" w:footer="0" w:header="0"/>
        </w:sectPr>
      </w:pPr>
    </w:p>
    <w:p>
      <w:pPr>
        <w:spacing w:after="0" w:line="20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26-2414818</w:t>
      </w:r>
    </w:p>
    <w:p>
      <w:pPr>
        <w:spacing w:after="0" w:line="21"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84" w:orient="portrait"/>
          <w:cols w:equalWidth="0" w:num="2">
            <w:col w:w="6700" w:space="720"/>
            <w:col w:w="3940"/>
          </w:cols>
          <w:pgMar w:left="240" w:top="685" w:right="299" w:bottom="0" w:gutter="0" w:footer="0" w:header="0"/>
          <w:type w:val="continuous"/>
        </w:sectPr>
      </w:pP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11115 Rushmore Drive, Charlotte, North Carolina 28277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Registrant's principal executive offices)</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84" w:orient="portrait"/>
          <w:cols w:equalWidth="0" w:num="1">
            <w:col w:w="11360"/>
          </w:cols>
          <w:pgMar w:left="240" w:top="685" w:right="299" w:bottom="0" w:gutter="0" w:footer="0" w:header="0"/>
          <w:type w:val="continuous"/>
        </w:sectPr>
      </w:pPr>
    </w:p>
    <w:p>
      <w:pPr>
        <w:spacing w:after="0" w:line="5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1240"/>
        <w:spacing w:after="0"/>
        <w:rPr>
          <w:sz w:val="20"/>
          <w:szCs w:val="20"/>
          <w:color w:val="auto"/>
        </w:rPr>
      </w:pPr>
      <w:r>
        <w:rPr>
          <w:rFonts w:ascii="Arial" w:cs="Arial" w:eastAsia="Arial" w:hAnsi="Arial"/>
          <w:sz w:val="15"/>
          <w:szCs w:val="15"/>
          <w:b w:val="1"/>
          <w:bCs w:val="1"/>
          <w:color w:val="auto"/>
        </w:rPr>
        <w:t>Name of exchange on which registered</w:t>
      </w:r>
    </w:p>
    <w:p>
      <w:pPr>
        <w:spacing w:after="0" w:line="4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The NASDAQ Stock Market</w:t>
      </w:r>
    </w:p>
    <w:p>
      <w:pPr>
        <w:spacing w:after="0" w:line="200" w:lineRule="exact"/>
        <w:rPr>
          <w:sz w:val="24"/>
          <w:szCs w:val="24"/>
          <w:color w:val="auto"/>
        </w:rPr>
      </w:pPr>
    </w:p>
    <w:p>
      <w:pPr>
        <w:sectPr>
          <w:pgSz w:w="11900" w:h="16884" w:orient="portrait"/>
          <w:cols w:equalWidth="0" w:num="2">
            <w:col w:w="6520" w:space="720"/>
            <w:col w:w="4120"/>
          </w:cols>
          <w:pgMar w:left="240" w:top="685" w:right="299" w:bottom="0" w:gutter="0" w:footer="0" w:header="0"/>
          <w:type w:val="continuous"/>
        </w:sectPr>
      </w:pP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0" w:right="14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Indicated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22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ectPr>
          <w:pgSz w:w="11900" w:h="16884" w:orient="portrait"/>
          <w:cols w:equalWidth="0" w:num="1">
            <w:col w:w="11360"/>
          </w:cols>
          <w:pgMar w:left="240" w:top="685" w:right="299" w:bottom="0" w:gutter="0" w:footer="0" w:header="0"/>
          <w:type w:val="continuous"/>
        </w:sectPr>
      </w:pPr>
    </w:p>
    <w:bookmarkStart w:id="1" w:name="page2"/>
    <w:bookmarkEnd w:id="1"/>
    <w:p>
      <w:pPr>
        <w:jc w:val="both"/>
        <w:ind w:right="6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jc w:val="both"/>
        <w:ind w:right="6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20"/>
          </w:cols>
          <w:pgMar w:left="240" w:top="131" w:right="439" w:bottom="1440" w:gutter="0" w:footer="0" w:header="0"/>
        </w:sectPr>
      </w:pPr>
    </w:p>
    <w:p>
      <w:pPr>
        <w:spacing w:after="0" w:line="1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9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0"/>
          <w:szCs w:val="20"/>
          <w:color w:val="auto"/>
        </w:rPr>
      </w:pPr>
    </w:p>
    <w:p>
      <w:pPr>
        <w:sectPr>
          <w:pgSz w:w="11900" w:h="16838" w:orient="portrait"/>
          <w:cols w:equalWidth="0" w:num="4">
            <w:col w:w="2240" w:space="720"/>
            <w:col w:w="2140" w:space="720"/>
            <w:col w:w="2620" w:space="720"/>
            <w:col w:w="2060"/>
          </w:cols>
          <w:pgMar w:left="240" w:top="131" w:right="439" w:bottom="1440" w:gutter="0" w:footer="0" w:header="0"/>
          <w:type w:val="continuous"/>
        </w:sectPr>
      </w:pPr>
    </w:p>
    <w:p>
      <w:pPr>
        <w:ind w:left="542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220"/>
          </w:cols>
          <w:pgMar w:left="240" w:top="131" w:right="439" w:bottom="1440" w:gutter="0" w:footer="0" w:header="0"/>
          <w:type w:val="continuous"/>
        </w:sectPr>
      </w:pPr>
    </w:p>
    <w:p>
      <w:pPr>
        <w:spacing w:after="0" w:line="20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60" w:space="160"/>
            <w:col w:w="2200"/>
          </w:cols>
          <w:pgMar w:left="240" w:top="131" w:right="439" w:bottom="1440" w:gutter="0" w:footer="0" w:header="0"/>
          <w:type w:val="continuous"/>
        </w:sectPr>
      </w:pPr>
    </w:p>
    <w:p>
      <w:pPr>
        <w:spacing w:after="0" w:line="60"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aggregate market value of the voting common stock held by non-affiliates of the Registrant as of June 30, 2010 was $40,037,156. For the purposes of the forgoing calculation only, all directors and executive officers of the Registrant and third parties that own 10% or more of the voting common stock are assumed to be affiliates of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23, 2011, there were 10,968,538 shares of the Registrant's common stock, par value $.01 per share, outstanding.</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Registrant's proxy statement for its 2011 Annual Meeting of Stockholders are incorporated by reference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80" w:type="dxa"/>
            <w:vAlign w:val="bottom"/>
            <w:gridSpan w:val="16"/>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68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560" w:type="dxa"/>
            <w:vAlign w:val="bottom"/>
            <w:gridSpan w:val="3"/>
          </w:tcPr>
          <w:p>
            <w:pPr>
              <w:spacing w:after="0"/>
              <w:rPr>
                <w:sz w:val="24"/>
                <w:szCs w:val="24"/>
                <w:color w:val="auto"/>
              </w:rPr>
            </w:pPr>
          </w:p>
        </w:tc>
        <w:tc>
          <w:tcPr>
            <w:tcW w:w="9780" w:type="dxa"/>
            <w:vAlign w:val="bottom"/>
            <w:gridSpan w:val="28"/>
          </w:tcPr>
          <w:p>
            <w:pPr>
              <w:spacing w:after="0"/>
              <w:rPr>
                <w:rFonts w:ascii="Arial" w:cs="Arial" w:eastAsia="Arial" w:hAnsi="Arial"/>
                <w:sz w:val="18"/>
                <w:szCs w:val="18"/>
                <w:b w:val="1"/>
                <w:bCs w:val="1"/>
                <w:i w:val="1"/>
                <w:iCs w:val="1"/>
                <w:color w:val="0000EE"/>
              </w:rPr>
            </w:pPr>
            <w:hyperlink w:anchor="page4">
              <w:r>
                <w:rPr>
                  <w:rFonts w:ascii="Arial" w:cs="Arial" w:eastAsia="Arial" w:hAnsi="Arial"/>
                  <w:sz w:val="18"/>
                  <w:szCs w:val="18"/>
                  <w:b w:val="1"/>
                  <w:bCs w:val="1"/>
                  <w:i w:val="1"/>
                  <w:iCs w:val="1"/>
                  <w:color w:val="0000EE"/>
                </w:rPr>
                <w:t>Business</w:t>
              </w:r>
            </w:hyperlink>
          </w:p>
        </w:tc>
        <w:tc>
          <w:tcPr>
            <w:tcW w:w="5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9">
              <w:r>
                <w:rPr>
                  <w:rFonts w:ascii="Arial" w:cs="Arial" w:eastAsia="Arial" w:hAnsi="Arial"/>
                  <w:sz w:val="18"/>
                  <w:szCs w:val="18"/>
                  <w:b w:val="1"/>
                  <w:bCs w:val="1"/>
                  <w:color w:val="0000EE"/>
                  <w:w w:val="91"/>
                </w:rPr>
                <w:t>Item 1A.</w:t>
              </w:r>
            </w:hyperlink>
          </w:p>
        </w:tc>
        <w:tc>
          <w:tcPr>
            <w:tcW w:w="420" w:type="dxa"/>
            <w:vAlign w:val="bottom"/>
          </w:tcPr>
          <w:p>
            <w:pPr>
              <w:spacing w:after="0"/>
              <w:rPr>
                <w:sz w:val="17"/>
                <w:szCs w:val="17"/>
                <w:color w:val="auto"/>
              </w:rPr>
            </w:pPr>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9">
              <w:r>
                <w:rPr>
                  <w:rFonts w:ascii="Arial" w:cs="Arial" w:eastAsia="Arial" w:hAnsi="Arial"/>
                  <w:sz w:val="18"/>
                  <w:szCs w:val="18"/>
                  <w:b w:val="1"/>
                  <w:bCs w:val="1"/>
                  <w:i w:val="1"/>
                  <w:iCs w:val="1"/>
                  <w:color w:val="0000EE"/>
                </w:rPr>
                <w:t>Risk Factors</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1B.</w:t>
              </w:r>
            </w:hyperlink>
          </w:p>
        </w:tc>
        <w:tc>
          <w:tcPr>
            <w:tcW w:w="420" w:type="dxa"/>
            <w:vAlign w:val="bottom"/>
          </w:tcPr>
          <w:p>
            <w:pPr>
              <w:spacing w:after="0"/>
              <w:rPr>
                <w:sz w:val="17"/>
                <w:szCs w:val="17"/>
                <w:color w:val="auto"/>
              </w:rPr>
            </w:pPr>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23">
              <w:r>
                <w:rPr>
                  <w:rFonts w:ascii="Arial" w:cs="Arial" w:eastAsia="Arial" w:hAnsi="Arial"/>
                  <w:sz w:val="18"/>
                  <w:szCs w:val="18"/>
                  <w:b w:val="1"/>
                  <w:bCs w:val="1"/>
                  <w:i w:val="1"/>
                  <w:iCs w:val="1"/>
                  <w:color w:val="0000EE"/>
                </w:rPr>
                <w:t>Unresolved Staff Comments</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2.</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Borders>
              <w:top w:val="single" w:sz="8" w:color="0000EE"/>
            </w:tcBorders>
            <w:gridSpan w:val="9"/>
          </w:tcPr>
          <w:p>
            <w:pPr>
              <w:spacing w:after="0" w:line="196" w:lineRule="exact"/>
              <w:rPr>
                <w:rFonts w:ascii="Arial" w:cs="Arial" w:eastAsia="Arial" w:hAnsi="Arial"/>
                <w:sz w:val="18"/>
                <w:szCs w:val="18"/>
                <w:b w:val="1"/>
                <w:bCs w:val="1"/>
                <w:i w:val="1"/>
                <w:iCs w:val="1"/>
                <w:color w:val="0000EE"/>
              </w:rPr>
            </w:pPr>
            <w:hyperlink w:anchor="page23">
              <w:r>
                <w:rPr>
                  <w:rFonts w:ascii="Arial" w:cs="Arial" w:eastAsia="Arial" w:hAnsi="Arial"/>
                  <w:sz w:val="18"/>
                  <w:szCs w:val="18"/>
                  <w:b w:val="1"/>
                  <w:bCs w:val="1"/>
                  <w:i w:val="1"/>
                  <w:iCs w:val="1"/>
                  <w:color w:val="0000EE"/>
                </w:rPr>
                <w:t>Properties</w:t>
              </w:r>
            </w:hyperlink>
          </w:p>
        </w:tc>
        <w:tc>
          <w:tcPr>
            <w:tcW w:w="7760" w:type="dxa"/>
            <w:vAlign w:val="bottom"/>
            <w:gridSpan w:val="19"/>
          </w:tcPr>
          <w:p>
            <w:pPr>
              <w:spacing w:after="0"/>
              <w:rPr>
                <w:sz w:val="17"/>
                <w:szCs w:val="17"/>
                <w:color w:val="auto"/>
              </w:rPr>
            </w:pPr>
          </w:p>
        </w:tc>
        <w:tc>
          <w:tcPr>
            <w:tcW w:w="3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3.</w:t>
              </w:r>
            </w:hyperlink>
          </w:p>
        </w:tc>
        <w:tc>
          <w:tcPr>
            <w:tcW w:w="560" w:type="dxa"/>
            <w:vAlign w:val="bottom"/>
            <w:gridSpan w:val="3"/>
          </w:tcPr>
          <w:p>
            <w:pPr>
              <w:spacing w:after="0"/>
              <w:rPr>
                <w:sz w:val="17"/>
                <w:szCs w:val="17"/>
                <w:color w:val="auto"/>
              </w:rPr>
            </w:pPr>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24">
              <w:r>
                <w:rPr>
                  <w:rFonts w:ascii="Arial" w:cs="Arial" w:eastAsia="Arial" w:hAnsi="Arial"/>
                  <w:sz w:val="18"/>
                  <w:szCs w:val="18"/>
                  <w:b w:val="1"/>
                  <w:bCs w:val="1"/>
                  <w:i w:val="1"/>
                  <w:iCs w:val="1"/>
                  <w:color w:val="0000EE"/>
                </w:rPr>
                <w:t>Legal Proceedings</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Item 4.</w:t>
              </w:r>
            </w:hyperlink>
          </w:p>
        </w:tc>
        <w:tc>
          <w:tcPr>
            <w:tcW w:w="560" w:type="dxa"/>
            <w:vAlign w:val="bottom"/>
            <w:gridSpan w:val="3"/>
          </w:tcPr>
          <w:p>
            <w:pPr>
              <w:spacing w:after="0"/>
              <w:rPr>
                <w:sz w:val="17"/>
                <w:szCs w:val="17"/>
                <w:color w:val="auto"/>
              </w:rPr>
            </w:pPr>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Removed and Reserved</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1"/>
          </w:tcPr>
          <w:p>
            <w:pPr>
              <w:jc w:val="center"/>
              <w:ind w:right="4660"/>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PART II</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5.</w:t>
              </w:r>
            </w:hyperlink>
          </w:p>
        </w:tc>
        <w:tc>
          <w:tcPr>
            <w:tcW w:w="560" w:type="dxa"/>
            <w:vAlign w:val="bottom"/>
            <w:gridSpan w:val="3"/>
            <w:vMerge w:val="restart"/>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vMerge w:val="continue"/>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9780" w:type="dxa"/>
            <w:vAlign w:val="bottom"/>
            <w:gridSpan w:val="28"/>
          </w:tcPr>
          <w:p>
            <w:pPr>
              <w:spacing w:after="0"/>
              <w:rPr>
                <w:rFonts w:ascii="Arial" w:cs="Arial" w:eastAsia="Arial" w:hAnsi="Arial"/>
                <w:sz w:val="18"/>
                <w:szCs w:val="18"/>
                <w:b w:val="1"/>
                <w:bCs w:val="1"/>
                <w:i w:val="1"/>
                <w:iCs w:val="1"/>
                <w:color w:val="0000EE"/>
              </w:rPr>
            </w:pPr>
            <w:hyperlink w:anchor="page28">
              <w:r>
                <w:rPr>
                  <w:rFonts w:ascii="Arial" w:cs="Arial" w:eastAsia="Arial" w:hAnsi="Arial"/>
                  <w:sz w:val="18"/>
                  <w:szCs w:val="18"/>
                  <w:b w:val="1"/>
                  <w:bCs w:val="1"/>
                  <w:i w:val="1"/>
                  <w:iCs w:val="1"/>
                  <w:color w:val="0000EE"/>
                </w:rPr>
                <w:t>Market for Registrant's Common Equity, Related Stockholder Matters and Issuer Purchases of Equity Securities</w:t>
              </w:r>
            </w:hyperlink>
          </w:p>
        </w:tc>
        <w:tc>
          <w:tcPr>
            <w:tcW w:w="54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6.</w:t>
              </w:r>
            </w:hyperlink>
          </w:p>
        </w:tc>
        <w:tc>
          <w:tcPr>
            <w:tcW w:w="560" w:type="dxa"/>
            <w:vAlign w:val="bottom"/>
            <w:gridSpan w:val="3"/>
          </w:tcPr>
          <w:p>
            <w:pPr>
              <w:spacing w:after="0"/>
              <w:rPr>
                <w:sz w:val="17"/>
                <w:szCs w:val="17"/>
                <w:color w:val="auto"/>
              </w:rPr>
            </w:pPr>
          </w:p>
        </w:tc>
        <w:tc>
          <w:tcPr>
            <w:tcW w:w="8140" w:type="dxa"/>
            <w:vAlign w:val="bottom"/>
            <w:tcBorders>
              <w:top w:val="single" w:sz="8" w:color="0000EE"/>
            </w:tcBorders>
            <w:gridSpan w:val="27"/>
          </w:tcPr>
          <w:p>
            <w:pPr>
              <w:spacing w:after="0" w:line="196" w:lineRule="exact"/>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Selected Financial Data</w:t>
              </w:r>
            </w:hyperlink>
          </w:p>
        </w:tc>
        <w:tc>
          <w:tcPr>
            <w:tcW w:w="16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7.</w:t>
              </w:r>
            </w:hyperlink>
          </w:p>
        </w:tc>
        <w:tc>
          <w:tcPr>
            <w:tcW w:w="560" w:type="dxa"/>
            <w:vAlign w:val="bottom"/>
            <w:gridSpan w:val="3"/>
          </w:tcPr>
          <w:p>
            <w:pPr>
              <w:spacing w:after="0"/>
              <w:rPr>
                <w:sz w:val="17"/>
                <w:szCs w:val="17"/>
                <w:color w:val="auto"/>
              </w:rPr>
            </w:pPr>
          </w:p>
        </w:tc>
        <w:tc>
          <w:tcPr>
            <w:tcW w:w="6520" w:type="dxa"/>
            <w:vAlign w:val="bottom"/>
            <w:tcBorders>
              <w:bottom w:val="single" w:sz="8" w:color="0000EE"/>
            </w:tcBorders>
            <w:gridSpan w:val="24"/>
          </w:tcPr>
          <w:p>
            <w:pPr>
              <w:spacing w:after="0" w:line="196" w:lineRule="exact"/>
              <w:rPr>
                <w:rFonts w:ascii="Arial" w:cs="Arial" w:eastAsia="Arial" w:hAnsi="Arial"/>
                <w:sz w:val="18"/>
                <w:szCs w:val="18"/>
                <w:b w:val="1"/>
                <w:bCs w:val="1"/>
                <w:i w:val="1"/>
                <w:iCs w:val="1"/>
                <w:color w:val="0000EE"/>
                <w:w w:val="85"/>
              </w:rPr>
            </w:pPr>
            <w:hyperlink w:anchor="page31">
              <w:r>
                <w:rPr>
                  <w:rFonts w:ascii="Arial" w:cs="Arial" w:eastAsia="Arial" w:hAnsi="Arial"/>
                  <w:sz w:val="18"/>
                  <w:szCs w:val="18"/>
                  <w:b w:val="1"/>
                  <w:bCs w:val="1"/>
                  <w:i w:val="1"/>
                  <w:iCs w:val="1"/>
                  <w:color w:val="0000EE"/>
                  <w:w w:val="85"/>
                </w:rPr>
                <w:t>Management's Discussion and Analysis of Financial Condition and Results of Operations</w:t>
              </w:r>
            </w:hyperlink>
          </w:p>
        </w:tc>
        <w:tc>
          <w:tcPr>
            <w:tcW w:w="3260" w:type="dxa"/>
            <w:vAlign w:val="bottom"/>
            <w:gridSpan w:val="4"/>
          </w:tcPr>
          <w:p>
            <w:pPr>
              <w:spacing w:after="0"/>
              <w:rPr>
                <w:sz w:val="17"/>
                <w:szCs w:val="17"/>
                <w:color w:val="auto"/>
              </w:rPr>
            </w:pPr>
          </w:p>
        </w:tc>
        <w:tc>
          <w:tcPr>
            <w:tcW w:w="3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Item 7A.</w:t>
              </w:r>
            </w:hyperlink>
          </w:p>
        </w:tc>
        <w:tc>
          <w:tcPr>
            <w:tcW w:w="420" w:type="dxa"/>
            <w:vAlign w:val="bottom"/>
          </w:tcPr>
          <w:p>
            <w:pPr>
              <w:spacing w:after="0"/>
              <w:rPr>
                <w:sz w:val="17"/>
                <w:szCs w:val="17"/>
                <w:color w:val="auto"/>
              </w:rPr>
            </w:pPr>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49">
              <w:r>
                <w:rPr>
                  <w:rFonts w:ascii="Arial" w:cs="Arial" w:eastAsia="Arial" w:hAnsi="Arial"/>
                  <w:sz w:val="18"/>
                  <w:szCs w:val="18"/>
                  <w:b w:val="1"/>
                  <w:bCs w:val="1"/>
                  <w:i w:val="1"/>
                  <w:iCs w:val="1"/>
                  <w:color w:val="0000EE"/>
                </w:rPr>
                <w:t>Quantitative and Qualitative Disclosures About Market Risk</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i w:val="1"/>
                <w:iCs w:val="1"/>
                <w:color w:val="0000EE"/>
                <w:w w:val="85"/>
              </w:rPr>
            </w:pPr>
            <w:hyperlink w:anchor="page50">
              <w:r>
                <w:rPr>
                  <w:rFonts w:ascii="Arial" w:cs="Arial" w:eastAsia="Arial" w:hAnsi="Arial"/>
                  <w:sz w:val="18"/>
                  <w:szCs w:val="18"/>
                  <w:b w:val="1"/>
                  <w:bCs w:val="1"/>
                  <w:i w:val="1"/>
                  <w:iCs w:val="1"/>
                  <w:color w:val="0000EE"/>
                  <w:w w:val="85"/>
                </w:rPr>
                <w:t>Financial Statements and Supplementary Data</w:t>
              </w:r>
            </w:hyperlink>
          </w:p>
        </w:tc>
        <w:tc>
          <w:tcPr>
            <w:tcW w:w="960" w:type="dxa"/>
            <w:vAlign w:val="bottom"/>
            <w:tcBorders>
              <w:top w:val="single" w:sz="8" w:color="0000EE"/>
            </w:tcBorders>
            <w:gridSpan w:val="2"/>
          </w:tcPr>
          <w:p>
            <w:pPr>
              <w:spacing w:after="0"/>
              <w:rPr>
                <w:sz w:val="17"/>
                <w:szCs w:val="17"/>
                <w:color w:val="auto"/>
              </w:rPr>
            </w:pPr>
          </w:p>
        </w:tc>
        <w:tc>
          <w:tcPr>
            <w:tcW w:w="5420" w:type="dxa"/>
            <w:vAlign w:val="bottom"/>
            <w:gridSpan w:val="14"/>
          </w:tcPr>
          <w:p>
            <w:pPr>
              <w:spacing w:after="0"/>
              <w:rPr>
                <w:sz w:val="17"/>
                <w:szCs w:val="17"/>
                <w:color w:val="auto"/>
              </w:rPr>
            </w:pPr>
          </w:p>
        </w:tc>
        <w:tc>
          <w:tcPr>
            <w:tcW w:w="3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108">
              <w:r>
                <w:rPr>
                  <w:rFonts w:ascii="Arial" w:cs="Arial" w:eastAsia="Arial" w:hAnsi="Arial"/>
                  <w:sz w:val="18"/>
                  <w:szCs w:val="18"/>
                  <w:b w:val="1"/>
                  <w:bCs w:val="1"/>
                  <w:color w:val="0000EE"/>
                  <w:w w:val="91"/>
                </w:rPr>
                <w:t>Item 9.</w:t>
              </w:r>
            </w:hyperlink>
          </w:p>
        </w:tc>
        <w:tc>
          <w:tcPr>
            <w:tcW w:w="560" w:type="dxa"/>
            <w:vAlign w:val="bottom"/>
            <w:gridSpan w:val="3"/>
          </w:tcPr>
          <w:p>
            <w:pPr>
              <w:spacing w:after="0"/>
              <w:rPr>
                <w:sz w:val="17"/>
                <w:szCs w:val="17"/>
                <w:color w:val="auto"/>
              </w:rPr>
            </w:pPr>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108">
              <w:r>
                <w:rPr>
                  <w:rFonts w:ascii="Arial" w:cs="Arial" w:eastAsia="Arial" w:hAnsi="Arial"/>
                  <w:sz w:val="18"/>
                  <w:szCs w:val="18"/>
                  <w:b w:val="1"/>
                  <w:bCs w:val="1"/>
                  <w:i w:val="1"/>
                  <w:iCs w:val="1"/>
                  <w:color w:val="0000EE"/>
                </w:rPr>
                <w:t>Changes in and Disagreements with Accountants on Accounting and Financial Disclosure</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108">
              <w:r>
                <w:rPr>
                  <w:rFonts w:ascii="Arial" w:cs="Arial" w:eastAsia="Arial" w:hAnsi="Arial"/>
                  <w:sz w:val="18"/>
                  <w:szCs w:val="18"/>
                  <w:b w:val="1"/>
                  <w:bCs w:val="1"/>
                  <w:color w:val="0000EE"/>
                  <w:w w:val="91"/>
                </w:rPr>
                <w:t>Item 9A.</w:t>
              </w:r>
            </w:hyperlink>
          </w:p>
        </w:tc>
        <w:tc>
          <w:tcPr>
            <w:tcW w:w="420" w:type="dxa"/>
            <w:vAlign w:val="bottom"/>
          </w:tcPr>
          <w:p>
            <w:pPr>
              <w:spacing w:after="0"/>
              <w:rPr>
                <w:sz w:val="17"/>
                <w:szCs w:val="17"/>
                <w:color w:val="auto"/>
              </w:rPr>
            </w:pPr>
          </w:p>
        </w:tc>
        <w:tc>
          <w:tcPr>
            <w:tcW w:w="1800" w:type="dxa"/>
            <w:vAlign w:val="bottom"/>
            <w:gridSpan w:val="8"/>
          </w:tcPr>
          <w:p>
            <w:pPr>
              <w:spacing w:after="0" w:line="196" w:lineRule="exact"/>
              <w:rPr>
                <w:rFonts w:ascii="Arial" w:cs="Arial" w:eastAsia="Arial" w:hAnsi="Arial"/>
                <w:sz w:val="18"/>
                <w:szCs w:val="18"/>
                <w:b w:val="1"/>
                <w:bCs w:val="1"/>
                <w:i w:val="1"/>
                <w:iCs w:val="1"/>
                <w:color w:val="0000EE"/>
                <w:w w:val="81"/>
              </w:rPr>
            </w:pPr>
            <w:hyperlink w:anchor="page108">
              <w:r>
                <w:rPr>
                  <w:rFonts w:ascii="Arial" w:cs="Arial" w:eastAsia="Arial" w:hAnsi="Arial"/>
                  <w:sz w:val="18"/>
                  <w:szCs w:val="18"/>
                  <w:b w:val="1"/>
                  <w:bCs w:val="1"/>
                  <w:i w:val="1"/>
                  <w:iCs w:val="1"/>
                  <w:color w:val="0000EE"/>
                  <w:w w:val="81"/>
                </w:rPr>
                <w:t>Controls and Procedures</w:t>
              </w:r>
            </w:hyperlink>
          </w:p>
        </w:tc>
        <w:tc>
          <w:tcPr>
            <w:tcW w:w="7980" w:type="dxa"/>
            <w:vAlign w:val="bottom"/>
            <w:gridSpan w:val="20"/>
          </w:tcPr>
          <w:p>
            <w:pPr>
              <w:spacing w:after="0"/>
              <w:rPr>
                <w:sz w:val="17"/>
                <w:szCs w:val="17"/>
                <w:color w:val="auto"/>
              </w:rPr>
            </w:pPr>
          </w:p>
        </w:tc>
        <w:tc>
          <w:tcPr>
            <w:tcW w:w="540" w:type="dxa"/>
            <w:vAlign w:val="bottom"/>
            <w:gridSpan w:val="4"/>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b w:val="1"/>
                <w:bCs w:val="1"/>
                <w:color w:val="0000EE"/>
                <w:w w:val="91"/>
              </w:rPr>
            </w:pPr>
            <w:hyperlink w:anchor="page109">
              <w:r>
                <w:rPr>
                  <w:rFonts w:ascii="Arial" w:cs="Arial" w:eastAsia="Arial" w:hAnsi="Arial"/>
                  <w:sz w:val="18"/>
                  <w:szCs w:val="18"/>
                  <w:b w:val="1"/>
                  <w:bCs w:val="1"/>
                  <w:color w:val="0000EE"/>
                  <w:w w:val="91"/>
                </w:rPr>
                <w:t>Item 9B.</w:t>
              </w:r>
            </w:hyperlink>
          </w:p>
        </w:tc>
        <w:tc>
          <w:tcPr>
            <w:tcW w:w="420" w:type="dxa"/>
            <w:vAlign w:val="bottom"/>
          </w:tcPr>
          <w:p>
            <w:pPr>
              <w:spacing w:after="0"/>
              <w:rPr>
                <w:sz w:val="17"/>
                <w:szCs w:val="17"/>
                <w:color w:val="auto"/>
              </w:rPr>
            </w:pPr>
          </w:p>
        </w:tc>
        <w:tc>
          <w:tcPr>
            <w:tcW w:w="1800" w:type="dxa"/>
            <w:vAlign w:val="bottom"/>
            <w:gridSpan w:val="8"/>
          </w:tcPr>
          <w:p>
            <w:pPr>
              <w:spacing w:after="0" w:line="196" w:lineRule="exact"/>
              <w:rPr>
                <w:rFonts w:ascii="Arial" w:cs="Arial" w:eastAsia="Arial" w:hAnsi="Arial"/>
                <w:sz w:val="18"/>
                <w:szCs w:val="18"/>
                <w:b w:val="1"/>
                <w:bCs w:val="1"/>
                <w:i w:val="1"/>
                <w:iCs w:val="1"/>
                <w:color w:val="0000EE"/>
              </w:rPr>
            </w:pPr>
            <w:hyperlink w:anchor="page109">
              <w:r>
                <w:rPr>
                  <w:rFonts w:ascii="Arial" w:cs="Arial" w:eastAsia="Arial" w:hAnsi="Arial"/>
                  <w:sz w:val="18"/>
                  <w:szCs w:val="18"/>
                  <w:b w:val="1"/>
                  <w:bCs w:val="1"/>
                  <w:i w:val="1"/>
                  <w:iCs w:val="1"/>
                  <w:color w:val="0000EE"/>
                </w:rPr>
                <w:t>Other Information</w:t>
              </w:r>
            </w:hyperlink>
          </w:p>
        </w:tc>
        <w:tc>
          <w:tcPr>
            <w:tcW w:w="7980" w:type="dxa"/>
            <w:vAlign w:val="bottom"/>
            <w:gridSpan w:val="20"/>
          </w:tcPr>
          <w:p>
            <w:pPr>
              <w:spacing w:after="0"/>
              <w:rPr>
                <w:sz w:val="17"/>
                <w:szCs w:val="17"/>
                <w:color w:val="auto"/>
              </w:rPr>
            </w:pPr>
          </w:p>
        </w:tc>
        <w:tc>
          <w:tcPr>
            <w:tcW w:w="540" w:type="dxa"/>
            <w:vAlign w:val="bottom"/>
            <w:gridSpan w:val="4"/>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46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Item 10.</w:t>
              </w:r>
            </w:hyperlink>
          </w:p>
        </w:tc>
        <w:tc>
          <w:tcPr>
            <w:tcW w:w="9780" w:type="dxa"/>
            <w:vAlign w:val="bottom"/>
            <w:gridSpan w:val="28"/>
          </w:tcPr>
          <w:p>
            <w:pPr>
              <w:spacing w:after="0"/>
              <w:rPr>
                <w:rFonts w:ascii="Arial" w:cs="Arial" w:eastAsia="Arial" w:hAnsi="Arial"/>
                <w:sz w:val="18"/>
                <w:szCs w:val="18"/>
                <w:b w:val="1"/>
                <w:bCs w:val="1"/>
                <w:i w:val="1"/>
                <w:iCs w:val="1"/>
                <w:color w:val="0000EE"/>
              </w:rPr>
            </w:pPr>
            <w:hyperlink w:anchor="page110">
              <w:r>
                <w:rPr>
                  <w:rFonts w:ascii="Arial" w:cs="Arial" w:eastAsia="Arial" w:hAnsi="Arial"/>
                  <w:sz w:val="18"/>
                  <w:szCs w:val="18"/>
                  <w:b w:val="1"/>
                  <w:bCs w:val="1"/>
                  <w:i w:val="1"/>
                  <w:iCs w:val="1"/>
                  <w:color w:val="0000EE"/>
                </w:rPr>
                <w:t>Directors, Executive Officers and Corporate Governance</w:t>
              </w:r>
            </w:hyperlink>
          </w:p>
        </w:tc>
        <w:tc>
          <w:tcPr>
            <w:tcW w:w="54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b w:val="1"/>
                <w:bCs w:val="1"/>
                <w:color w:val="0000EE"/>
                <w:w w:val="89"/>
              </w:rPr>
            </w:pPr>
            <w:hyperlink w:anchor="page110">
              <w:r>
                <w:rPr>
                  <w:rFonts w:ascii="Arial" w:cs="Arial" w:eastAsia="Arial" w:hAnsi="Arial"/>
                  <w:sz w:val="18"/>
                  <w:szCs w:val="18"/>
                  <w:b w:val="1"/>
                  <w:bCs w:val="1"/>
                  <w:color w:val="0000EE"/>
                  <w:w w:val="89"/>
                </w:rPr>
                <w:t>Item 11.</w:t>
              </w:r>
            </w:hyperlink>
          </w:p>
        </w:tc>
        <w:tc>
          <w:tcPr>
            <w:tcW w:w="480" w:type="dxa"/>
            <w:vAlign w:val="bottom"/>
            <w:gridSpan w:val="2"/>
          </w:tcPr>
          <w:p>
            <w:pPr>
              <w:spacing w:after="0"/>
              <w:rPr>
                <w:sz w:val="17"/>
                <w:szCs w:val="17"/>
                <w:color w:val="auto"/>
              </w:rPr>
            </w:pPr>
          </w:p>
        </w:tc>
        <w:tc>
          <w:tcPr>
            <w:tcW w:w="4120" w:type="dxa"/>
            <w:vAlign w:val="bottom"/>
            <w:gridSpan w:val="13"/>
          </w:tcPr>
          <w:p>
            <w:pPr>
              <w:spacing w:after="0" w:line="196" w:lineRule="exact"/>
              <w:rPr>
                <w:rFonts w:ascii="Arial" w:cs="Arial" w:eastAsia="Arial" w:hAnsi="Arial"/>
                <w:sz w:val="18"/>
                <w:szCs w:val="18"/>
                <w:b w:val="1"/>
                <w:bCs w:val="1"/>
                <w:i w:val="1"/>
                <w:iCs w:val="1"/>
                <w:color w:val="0000EE"/>
              </w:rPr>
            </w:pPr>
            <w:hyperlink w:anchor="page110">
              <w:r>
                <w:rPr>
                  <w:rFonts w:ascii="Arial" w:cs="Arial" w:eastAsia="Arial" w:hAnsi="Arial"/>
                  <w:sz w:val="18"/>
                  <w:szCs w:val="18"/>
                  <w:b w:val="1"/>
                  <w:bCs w:val="1"/>
                  <w:i w:val="1"/>
                  <w:iCs w:val="1"/>
                  <w:color w:val="0000EE"/>
                </w:rPr>
                <w:t>Executive Compensation</w:t>
              </w:r>
            </w:hyperlink>
          </w:p>
        </w:tc>
        <w:tc>
          <w:tcPr>
            <w:tcW w:w="5660" w:type="dxa"/>
            <w:vAlign w:val="bottom"/>
            <w:gridSpan w:val="15"/>
          </w:tcPr>
          <w:p>
            <w:pPr>
              <w:spacing w:after="0"/>
              <w:rPr>
                <w:sz w:val="17"/>
                <w:szCs w:val="17"/>
                <w:color w:val="auto"/>
              </w:rPr>
            </w:pPr>
          </w:p>
        </w:tc>
        <w:tc>
          <w:tcPr>
            <w:tcW w:w="5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Item 12.</w:t>
              </w:r>
            </w:hyperlink>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110">
              <w:r>
                <w:rPr>
                  <w:rFonts w:ascii="Arial" w:cs="Arial" w:eastAsia="Arial" w:hAnsi="Arial"/>
                  <w:sz w:val="18"/>
                  <w:szCs w:val="18"/>
                  <w:b w:val="1"/>
                  <w:bCs w:val="1"/>
                  <w:i w:val="1"/>
                  <w:iCs w:val="1"/>
                  <w:color w:val="0000EE"/>
                </w:rPr>
                <w:t>Security Ownership of Certain Beneficial Owners and Management and Related Stockholder Matters</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Item 13.</w:t>
              </w:r>
            </w:hyperlink>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111">
              <w:r>
                <w:rPr>
                  <w:rFonts w:ascii="Arial" w:cs="Arial" w:eastAsia="Arial" w:hAnsi="Arial"/>
                  <w:sz w:val="18"/>
                  <w:szCs w:val="18"/>
                  <w:b w:val="1"/>
                  <w:bCs w:val="1"/>
                  <w:i w:val="1"/>
                  <w:iCs w:val="1"/>
                  <w:color w:val="0000EE"/>
                </w:rPr>
                <w:t>Certain Relationships and Related Transactions, and Director Independence</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4"/>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Item 14.</w:t>
              </w:r>
            </w:hyperlink>
          </w:p>
        </w:tc>
        <w:tc>
          <w:tcPr>
            <w:tcW w:w="9780" w:type="dxa"/>
            <w:vAlign w:val="bottom"/>
            <w:gridSpan w:val="28"/>
          </w:tcPr>
          <w:p>
            <w:pPr>
              <w:spacing w:after="0" w:line="196" w:lineRule="exact"/>
              <w:rPr>
                <w:rFonts w:ascii="Arial" w:cs="Arial" w:eastAsia="Arial" w:hAnsi="Arial"/>
                <w:sz w:val="18"/>
                <w:szCs w:val="18"/>
                <w:b w:val="1"/>
                <w:bCs w:val="1"/>
                <w:i w:val="1"/>
                <w:iCs w:val="1"/>
                <w:color w:val="0000EE"/>
              </w:rPr>
            </w:pPr>
            <w:hyperlink w:anchor="page111">
              <w:r>
                <w:rPr>
                  <w:rFonts w:ascii="Arial" w:cs="Arial" w:eastAsia="Arial" w:hAnsi="Arial"/>
                  <w:sz w:val="18"/>
                  <w:szCs w:val="18"/>
                  <w:b w:val="1"/>
                  <w:bCs w:val="1"/>
                  <w:i w:val="1"/>
                  <w:iCs w:val="1"/>
                  <w:color w:val="0000EE"/>
                </w:rPr>
                <w:t>Principal Accounting Fees and Services</w:t>
              </w:r>
            </w:hyperlink>
          </w:p>
        </w:tc>
        <w:tc>
          <w:tcPr>
            <w:tcW w:w="540" w:type="dxa"/>
            <w:vAlign w:val="bottom"/>
            <w:gridSpan w:val="4"/>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13"/>
          </w:tcPr>
          <w:p>
            <w:pPr>
              <w:jc w:val="center"/>
              <w:ind w:right="4620"/>
              <w:spacing w:after="0"/>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PART IV</w:t>
              </w:r>
            </w:hyperlink>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gridSpan w:val="4"/>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Item 15.</w:t>
              </w:r>
            </w:hyperlink>
          </w:p>
        </w:tc>
        <w:tc>
          <w:tcPr>
            <w:tcW w:w="4480" w:type="dxa"/>
            <w:vAlign w:val="bottom"/>
            <w:gridSpan w:val="16"/>
          </w:tcPr>
          <w:p>
            <w:pPr>
              <w:spacing w:after="0"/>
              <w:rPr>
                <w:rFonts w:ascii="Arial" w:cs="Arial" w:eastAsia="Arial" w:hAnsi="Arial"/>
                <w:sz w:val="18"/>
                <w:szCs w:val="18"/>
                <w:b w:val="1"/>
                <w:bCs w:val="1"/>
                <w:i w:val="1"/>
                <w:iCs w:val="1"/>
                <w:color w:val="0000EE"/>
              </w:rPr>
            </w:pPr>
            <w:hyperlink w:anchor="page112">
              <w:r>
                <w:rPr>
                  <w:rFonts w:ascii="Arial" w:cs="Arial" w:eastAsia="Arial" w:hAnsi="Arial"/>
                  <w:sz w:val="18"/>
                  <w:szCs w:val="18"/>
                  <w:b w:val="1"/>
                  <w:bCs w:val="1"/>
                  <w:i w:val="1"/>
                  <w:iCs w:val="1"/>
                  <w:color w:val="0000EE"/>
                </w:rPr>
                <w:t>Exhibits and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620" w:type="dxa"/>
            <w:vAlign w:val="bottom"/>
            <w:gridSpan w:val="7"/>
          </w:tcPr>
          <w:p>
            <w:pPr>
              <w:spacing w:after="0"/>
              <w:rPr>
                <w:sz w:val="24"/>
                <w:szCs w:val="24"/>
                <w:color w:val="auto"/>
              </w:rPr>
            </w:pPr>
          </w:p>
        </w:tc>
        <w:tc>
          <w:tcPr>
            <w:tcW w:w="5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139"/>
        </w:trPr>
        <w:tc>
          <w:tcPr>
            <w:tcW w:w="5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20" w:type="dxa"/>
            <w:vAlign w:val="bottom"/>
            <w:tcBorders>
              <w:top w:val="single" w:sz="8" w:color="0000EE"/>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Overview</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Tree.com, Inc. (also referred to herein as "Tree.com" or the "Company") is the parent of LendingTree, LLC and is the parent of several companies owned by LendingTree, LLC. LendingTree, LLC (formerly, LendingTree, Inc.) was incorporated in the state of Delaware in June 1996 and commenced nationwide operations in July 1998. LendingTree, Inc. was acquired by IAC/InterActiveCorp ("IAC") in 2003 and converted to a Delaware limited liability company (LendingTree, LLC) in December 2004. On August 20, 2008, Tree.com, Inc. (along with its subsidiary, LendingTree, LLC) was spun off from IAC into a separate publicly traded company. We refer to the separation transaction as the "spin-off." Tree.com was originally incorporated as a Delaware corporation in April 2008, in anticipation of the spin-off.</w:t>
      </w:r>
    </w:p>
    <w:p>
      <w:pPr>
        <w:spacing w:after="0" w:line="198"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Tree.com is also the owner of several brands and businesses that provide information, tools, advice, products and services for critical transactions in our customers' lives. Our family of brands includes: LendingTree.com®, GetSmart.com®, RealEstate.com®, DegreeTree.com®, HealthTree.com®, LendingTreeAutos.com, DoneRight.com®, and InsuranceTree.com®. Together, these brands serve as an ally for consumers who are looking to comparison shop for loans, real estate and other services from multiple businesses and professionals who will compete for their business.</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 each of which is discussed below. For additional information regarding these segments, see Note 8—Segment Information to the consolidated financial statements contained in Item 8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LendingTree Loans originates, processes, approves and funds various consumer mortgage loans through a Tree.com subsidiary, Home Loan Center, Inc., which operates primarily under the brand name "LendingTree Loans®." LendingTree Loans maintains offices in California and is able to provide a broad range of mortgage loan offerings to consumers in all fifty states and the District of Columbia, primarily conforming and prime loans, and, to a lesser extent, non-conforming and FHA loans. Products available include both adjustable and fixed rate loans.</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LendingTree Loans® branded loan originations are principally derived from consumer loan requests received through </w:t>
      </w:r>
      <w:r>
        <w:rPr>
          <w:rFonts w:ascii="Arial" w:cs="Arial" w:eastAsia="Arial" w:hAnsi="Arial"/>
          <w:sz w:val="16"/>
          <w:szCs w:val="16"/>
          <w:i w:val="1"/>
          <w:iCs w:val="1"/>
          <w:color w:val="auto"/>
        </w:rPr>
        <w:t>www.lendingtree.com,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www.getsmart.com </w:t>
      </w:r>
      <w:r>
        <w:rPr>
          <w:rFonts w:ascii="Arial" w:cs="Arial" w:eastAsia="Arial" w:hAnsi="Arial"/>
          <w:sz w:val="16"/>
          <w:szCs w:val="16"/>
          <w:color w:val="auto"/>
        </w:rPr>
        <w:t>or 1-800-555-TREE. A portion of all consumer loan request forms received through these channels are referred to LendingTree Loans.</w:t>
      </w:r>
      <w:r>
        <w:rPr>
          <w:rFonts w:ascii="Arial" w:cs="Arial" w:eastAsia="Arial" w:hAnsi="Arial"/>
          <w:sz w:val="16"/>
          <w:szCs w:val="16"/>
          <w:i w:val="1"/>
          <w:iCs w:val="1"/>
          <w:color w:val="auto"/>
        </w:rPr>
        <w:t xml:space="preserve"> </w:t>
      </w:r>
      <w:r>
        <w:rPr>
          <w:rFonts w:ascii="Arial" w:cs="Arial" w:eastAsia="Arial" w:hAnsi="Arial"/>
          <w:sz w:val="16"/>
          <w:szCs w:val="16"/>
          <w:color w:val="auto"/>
        </w:rPr>
        <w:t>LendingTree Loans offers those consumers a choice among various loan alternatives, with loan pricing based upon different wholesale offerings received by LendingTree Loans from the secondary market investors who purchase the loans. LendingTree Loans maintains controls to ensure that its consumer loan pricing correlates to secondary market pricing and to ensure that its consumers receive multiple loan alternatives, thus maintaining the competition and choice elements inherent in the LendingTree brand. Tree.com believes that LendingTree Loans provides value to consumers who do not wish to negotiate with multiple lenders, but still wish to obtain loan alternatives.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LendingTree Loans® branded loans are funded and closed using proceeds from borrowings under available warehouse lines of credit. Substantially all of the loans funded are sold, along with the accompanying loan servicing rights, to investors in the secondary market, generally within 30 days of funding, with the proceeds from such sales being used to repay borrowings under the warehouse lines of credit. For terms of the warehouse lines of credit, see "Financial Position, Liquidity and Capital Resources."</w:t>
      </w:r>
    </w:p>
    <w:p>
      <w:pPr>
        <w:spacing w:after="0" w:line="197"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 xml:space="preserve">Although most of Home Loan Center, Inc.'s consumer leads are sourced through </w:t>
      </w:r>
      <w:r>
        <w:rPr>
          <w:rFonts w:ascii="Arial" w:cs="Arial" w:eastAsia="Arial" w:hAnsi="Arial"/>
          <w:sz w:val="15"/>
          <w:szCs w:val="15"/>
          <w:i w:val="1"/>
          <w:iCs w:val="1"/>
          <w:color w:val="auto"/>
        </w:rPr>
        <w:t>www.lendingtree.com</w:t>
      </w:r>
      <w:r>
        <w:rPr>
          <w:rFonts w:ascii="Arial" w:cs="Arial" w:eastAsia="Arial" w:hAnsi="Arial"/>
          <w:sz w:val="15"/>
          <w:szCs w:val="15"/>
          <w:color w:val="auto"/>
        </w:rPr>
        <w:t xml:space="preserve"> or 1-800-555-TREE and originated under the LendingTree Loans® brand, a small portion of Home Loan Center, Inc.'s leads are sourced from a variety of non-LendingTree channels, including third-party online lead aggregators, direct mail marketing campaigns and </w:t>
      </w:r>
      <w:r>
        <w:rPr>
          <w:rFonts w:ascii="Arial" w:cs="Arial" w:eastAsia="Arial" w:hAnsi="Arial"/>
          <w:sz w:val="15"/>
          <w:szCs w:val="15"/>
          <w:i w:val="1"/>
          <w:iCs w:val="1"/>
          <w:color w:val="auto"/>
        </w:rPr>
        <w:t>www.homeloancenter.com</w:t>
      </w:r>
      <w:r>
        <w:rPr>
          <w:rFonts w:ascii="Arial" w:cs="Arial" w:eastAsia="Arial" w:hAnsi="Arial"/>
          <w:sz w:val="15"/>
          <w:szCs w:val="15"/>
          <w:color w:val="auto"/>
        </w:rPr>
        <w:t>. When obtaining leads from third-party sources, Home Loan Center, Inc.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operates under its traditional name and brand (Home Loan Center). Consumers who request loans through the Home Loan Center brand typically receive single loan offers. Home Loan Center branded loans are funded, closed and sold into the secondary market in the same manner, and on substantially the same terms, as LendingTree Loans® branded loans.</w:t>
      </w:r>
    </w:p>
    <w:p>
      <w:pPr>
        <w:spacing w:after="0" w:line="194"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Revenues from direct lending operations are principally derived from the sale of loans to secondary market investors and from origination and other fees paid by borrowers. Of Home Loan Center, Inc.'s five secondary market investors in 2010, the three largest, JPMorgan Chase, Bank of America and Wells Fargo, represented approximately 25%, 24% and 11%, respectively, of Tree.com's consolidated revenue in 2010. See "Risk Factors—Third Party Relationships"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Tree.com believes that the primary competitors of LendingTree Loans are traditional lending institutions, including those that are developing their own direct, online lending channels. While these financial institutions do not operate lending networks, they process, close and fund loans as direct lenders through well-recognized, national brands, many of which are industry leaders. LendingTree Loans also faces additional competition from direct lending websites owned and operated by other online lenders that originate the bulk of their loans through their websites or by phone. These companies typically operate a consumer-branded website and attract consumers via online banner ads, key word placement on search engines, partnering with affiliates, and business development arrangements with other properties, including major online portals.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SurePoint Acquisition</w:t>
      </w:r>
    </w:p>
    <w:p>
      <w:pPr>
        <w:spacing w:after="0" w:line="22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November 2010, LendingTree Loans entered into an Asset Purchase Agreement with First Residential Mortgage Network, Inc. dba SurePoint Lending ("SurePoint") and the shareholders of SurePoint. SurePoint has been a LendingTree network lender for more than 11 years and was named the number one refinance lender on the LendingTree network in 2009. SurePoint has nearly 500 employees, including more than 300 licensed loan officers.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Agreement provides for the purchase by LendingTree Loans of certain specified assets and liabilities of SurePoint. The acquired assets also include all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the equity interests of Real Estate Title Services, LLC. Under the terms of the agreement, LendingTree Loans will make an initial payment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 million in cash upon the closing of the transaction and will make contingent consideration payments on an annual basis for the next thirty-six months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LendingTree Loans' pre-tax net income derived from the assets acquired. The aggregate purchase price, including the initial payment and contingent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will not exceed $23 million. The Company expects to use available cash to fund the acquisition. The transaction is projected to close in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Lending Networks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Consumers can access Tree.com's nationwide network (the "Network") of more than 200 banks, lenders and loan brokers online (via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www.getsmart.com</w:t>
      </w:r>
      <w:r>
        <w:rPr>
          <w:rFonts w:ascii="Arial" w:cs="Arial" w:eastAsia="Arial" w:hAnsi="Arial"/>
          <w:sz w:val="18"/>
          <w:szCs w:val="18"/>
          <w:color w:val="auto"/>
        </w:rPr>
        <w:t>) or by calling 1-800-555-TREE. Loans offered by these banks, lenders and loan brokers (the "Network Lenders") consist primarily of home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(in connection with refinancings and purchases) and home equity loans.</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Tree.com selects lenders throughout the country in an effort to provide full geographic lending coverage and to offer a complete suite of loan offerings available in the market. Typically, before a lender joins the Network, Tree.com performs credit and financial reviews on the lender. In addition, as a further quality assurance measure, Tree.com checks new lenders against a national antifraud database maintained by the Mortgage Asset Research Institute. All Network Lenders are required to enter into a contract that generally may be terminated upon notice by either party. No individual Network Lender accounted for more than 5% of the Exchanges revenue in any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Consumers seeking mortgage loans through one of Tree.com's lending networks can receive multiple conditional loan offers from Network Lenders, or from Tree.com's subsidiary doing business under the name "LendingTree Loans" (as described above), in response to a single loan request form.</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process by which Exchanges matches consumers and Network Lenders is referred to herein as the "matching process." This matching process consists of the following steps:</w:t>
      </w:r>
    </w:p>
    <w:p>
      <w:pPr>
        <w:spacing w:after="0" w:line="193" w:lineRule="exact"/>
        <w:rPr>
          <w:sz w:val="20"/>
          <w:szCs w:val="20"/>
          <w:color w:val="auto"/>
        </w:rPr>
      </w:pPr>
    </w:p>
    <w:p>
      <w:pPr>
        <w:ind w:left="1080" w:right="600" w:hanging="532"/>
        <w:spacing w:after="0" w:line="33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Credit Request. </w:t>
      </w:r>
      <w:r>
        <w:rPr>
          <w:rFonts w:ascii="Arial" w:cs="Arial" w:eastAsia="Arial" w:hAnsi="Arial"/>
          <w:sz w:val="16"/>
          <w:szCs w:val="16"/>
          <w:color w:val="auto"/>
        </w:rPr>
        <w:t>Consumers complete a single loan request form for the selected loan with information regarding their income,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loan preferences and other data. Consumers also consent to the retrieval of their credit report.</w:t>
      </w:r>
    </w:p>
    <w:p>
      <w:pPr>
        <w:spacing w:after="0" w:line="155" w:lineRule="exact"/>
        <w:rPr>
          <w:rFonts w:ascii="Arial" w:cs="Arial" w:eastAsia="Arial" w:hAnsi="Arial"/>
          <w:sz w:val="16"/>
          <w:szCs w:val="16"/>
          <w:color w:val="auto"/>
        </w:rPr>
      </w:pPr>
    </w:p>
    <w:p>
      <w:pPr>
        <w:jc w:val="both"/>
        <w:ind w:left="1080" w:right="80" w:hanging="532"/>
        <w:spacing w:after="0" w:line="25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Loan Request Form Matching and Transmission. </w:t>
      </w:r>
      <w:r>
        <w:rPr>
          <w:rFonts w:ascii="Arial" w:cs="Arial" w:eastAsia="Arial" w:hAnsi="Arial"/>
          <w:sz w:val="18"/>
          <w:szCs w:val="18"/>
          <w:color w:val="auto"/>
        </w:rPr>
        <w:t>Tree.com proprietary technology matches a given consumer's loan request form data,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and geographic location against certain pre-established creditworthiness criteria of Network Lenders, which may be modified from time to time. Once a given loan request passes through the matching process, the loan request is automatically transmitted to up to five available Network Lenders.</w:t>
      </w:r>
    </w:p>
    <w:p>
      <w:pPr>
        <w:spacing w:after="0" w:line="203" w:lineRule="exact"/>
        <w:rPr>
          <w:rFonts w:ascii="Arial" w:cs="Arial" w:eastAsia="Arial" w:hAnsi="Arial"/>
          <w:sz w:val="18"/>
          <w:szCs w:val="18"/>
          <w:color w:val="auto"/>
        </w:rPr>
      </w:pPr>
    </w:p>
    <w:p>
      <w:pPr>
        <w:ind w:left="1080" w:right="160" w:hanging="532"/>
        <w:spacing w:after="0" w:line="310"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Lender Evaluation and Response. </w:t>
      </w:r>
      <w:r>
        <w:rPr>
          <w:rFonts w:ascii="Arial" w:cs="Arial" w:eastAsia="Arial" w:hAnsi="Arial"/>
          <w:sz w:val="16"/>
          <w:szCs w:val="16"/>
          <w:color w:val="auto"/>
        </w:rPr>
        <w:t>Network Lenders who receive a loan request form evaluate the information in the loan request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to make a conditional loan offer. If a given number of Network Lenders do not respond with a conditional loan offer, the loan request form is directed through the matching process a second time in an attempt to match the consumer with another Network Lender.</w:t>
      </w:r>
    </w:p>
    <w:p>
      <w:pPr>
        <w:spacing w:after="0" w:line="164" w:lineRule="exact"/>
        <w:rPr>
          <w:rFonts w:ascii="Arial" w:cs="Arial" w:eastAsia="Arial" w:hAnsi="Arial"/>
          <w:sz w:val="16"/>
          <w:szCs w:val="16"/>
          <w:color w:val="auto"/>
        </w:rPr>
      </w:pPr>
    </w:p>
    <w:p>
      <w:pPr>
        <w:ind w:left="1080" w:right="60" w:hanging="532"/>
        <w:spacing w:after="0" w:line="326"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Communication of a Conditional Offer. </w:t>
      </w:r>
      <w:r>
        <w:rPr>
          <w:rFonts w:ascii="Arial" w:cs="Arial" w:eastAsia="Arial" w:hAnsi="Arial"/>
          <w:sz w:val="15"/>
          <w:szCs w:val="15"/>
          <w:color w:val="auto"/>
        </w:rPr>
        <w:t>If one or more Network Lenders make a conditional offer, the consumer is automatically notified via e-mail to return to the site and log in to a web-page reflecting their customized loan offers ("My Account"). Through the My Account web-page consumers may access and compare the proposed terms of each conditional offer, including interest rate, closing costs, monthly payment amount, lender fees and other information. If a consumer does not have access to e-mail, conditional offers are provided to the consumer by phone or fax.</w:t>
      </w:r>
    </w:p>
    <w:p>
      <w:pPr>
        <w:spacing w:after="0" w:line="170" w:lineRule="exact"/>
        <w:rPr>
          <w:rFonts w:ascii="Arial" w:cs="Arial" w:eastAsia="Arial" w:hAnsi="Arial"/>
          <w:sz w:val="15"/>
          <w:szCs w:val="15"/>
          <w:color w:val="auto"/>
        </w:rPr>
      </w:pPr>
    </w:p>
    <w:p>
      <w:pPr>
        <w:ind w:left="1080" w:right="80" w:hanging="532"/>
        <w:spacing w:after="0" w:line="33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Loan Processing. </w:t>
      </w:r>
      <w:r>
        <w:rPr>
          <w:rFonts w:ascii="Arial" w:cs="Arial" w:eastAsia="Arial" w:hAnsi="Arial"/>
          <w:sz w:val="16"/>
          <w:szCs w:val="16"/>
          <w:color w:val="auto"/>
        </w:rPr>
        <w:t>Consumers work offline with the relevant Network Lender to provide property information and additional information bearing</w:t>
      </w:r>
      <w:r>
        <w:rPr>
          <w:rFonts w:ascii="Arial" w:cs="Arial" w:eastAsia="Arial" w:hAnsi="Arial"/>
          <w:sz w:val="16"/>
          <w:szCs w:val="16"/>
          <w:b w:val="1"/>
          <w:bCs w:val="1"/>
          <w:color w:val="auto"/>
        </w:rPr>
        <w:t xml:space="preserve"> </w:t>
      </w:r>
      <w:r>
        <w:rPr>
          <w:rFonts w:ascii="Arial" w:cs="Arial" w:eastAsia="Arial" w:hAnsi="Arial"/>
          <w:sz w:val="16"/>
          <w:szCs w:val="16"/>
          <w:color w:val="auto"/>
        </w:rPr>
        <w:t>on creditworthiness to the Network Lender. If the Network Lender approves a consumer, it will then underwrite and originate the loan.</w:t>
      </w:r>
    </w:p>
    <w:p>
      <w:pPr>
        <w:spacing w:after="0" w:line="141" w:lineRule="exact"/>
        <w:rPr>
          <w:rFonts w:ascii="Arial" w:cs="Arial" w:eastAsia="Arial" w:hAnsi="Arial"/>
          <w:sz w:val="16"/>
          <w:szCs w:val="16"/>
          <w:color w:val="auto"/>
        </w:rPr>
      </w:pPr>
    </w:p>
    <w:p>
      <w:pPr>
        <w:ind w:left="1080" w:right="120" w:hanging="532"/>
        <w:spacing w:after="0" w:line="339"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Ongoing Consumer and Lender Support. </w:t>
      </w:r>
      <w:r>
        <w:rPr>
          <w:rFonts w:ascii="Arial" w:cs="Arial" w:eastAsia="Arial" w:hAnsi="Arial"/>
          <w:sz w:val="15"/>
          <w:szCs w:val="15"/>
          <w:color w:val="auto"/>
        </w:rPr>
        <w:t>Active e-mail and telephone follow-up and support are provided to both Network Lenders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consumers during the loan transaction process. This follow-up and support is designed to provide technical assistance and increase overall satisfaction of Network Lenders, as well as increase the percentage of consumers who close a loan through lenders found through the Exchanges.</w:t>
      </w:r>
    </w:p>
    <w:p>
      <w:pPr>
        <w:spacing w:after="0" w:line="139"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Exchanges also offer a short-form matching process under the LendingTree® and GetSmart® brands. This process, which provides consumers with lender contact information only, typically requires the consumer to submit less data than that required in connection with the matching process described above.</w:t>
      </w:r>
    </w:p>
    <w:p>
      <w:pPr>
        <w:spacing w:after="0" w:line="11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Exchanges do not charge consumers a fee to use their lending networks. Substantially all revenues from lending networks are derived from both up-front matching fees paid by Network Lenders who receive a loan request form and closing fees paid by Network Lenders who close a transaction with the consumer. Because a given loan request form can be matched with more than one Network Lender, up to five match fees may be generated from the same form. Matching fees are recognized at the time the loan request form is transmitted, and closing fees are recognized at the time the Network Lender reports that it has closed the loan, which may be several months after the loan request form is transmitted.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Businesses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Exchanges also offer:</w:t>
      </w:r>
    </w:p>
    <w:p>
      <w:pPr>
        <w:spacing w:after="0" w:line="239" w:lineRule="exact"/>
        <w:rPr>
          <w:sz w:val="20"/>
          <w:szCs w:val="20"/>
          <w:color w:val="auto"/>
        </w:rPr>
      </w:pPr>
    </w:p>
    <w:p>
      <w:pPr>
        <w:ind w:left="1080" w:right="6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unsecured loans, through which consumers are matched with multiple lenders using a network-based process similar to the mortgage loan matching process described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automobile loans, through which consumers are linked with one or more third-party automobile lenders;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cards, through which consumers can search various credit card offerings through a third-party vendor;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consumer insurance products, pursuant to which consumers are linked with licensed insurance agents and insurance lead aggregators to obtain insurance offers;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opportunities for prospective students seeking institutions of higher education;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 improvement professional services with national and local contractors.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Revenues from these businesses are derived either from matching and closing fees, or in some cases, volume-based marketing fees. While the revenues from these businesses do not currently represent a significant portion of the revenues of the Exchanges, these revenues are expected to grow over time.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Tree.com's Exchanges compete with other lead aggregators, including online intermediaries that operate network-type arrangements. Tree.com's Exchanges also face additional competition from direct lending websites owned and operated by other online lenders that originate the bulk of their loans through their websites or by phone. These companies typically operate a consumer-branded website and attract consumers via online banner ads, key word placement on search engines, partnering with affiliates, and business development arrangements with other properties, including major online portals.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Estate Brokerage</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RealEstate.com, REALTORS® is Tree.com's proprietary real estate brokerage business (the "brokerage"), which operates in 20 markets across the United States as of December 31, 2010. In January and February of 2011, the Company closed 5 brokerage markets that were unprofitable, and we anticipate closing 2 additional unprofitable brokerage markets in March 2011. The Company is continuing to evaluate the future profitability of all brokerage markets as part of aligning our cost structure with revenue opportunities. Business for the brokerage is generated both by consumers accessing </w:t>
      </w:r>
      <w:r>
        <w:rPr>
          <w:rFonts w:ascii="Arial" w:cs="Arial" w:eastAsia="Arial" w:hAnsi="Arial"/>
          <w:sz w:val="16"/>
          <w:szCs w:val="16"/>
          <w:i w:val="1"/>
          <w:iCs w:val="1"/>
          <w:color w:val="auto"/>
        </w:rPr>
        <w:t>www.realestate.com</w:t>
      </w:r>
      <w:r>
        <w:rPr>
          <w:rFonts w:ascii="Arial" w:cs="Arial" w:eastAsia="Arial" w:hAnsi="Arial"/>
          <w:sz w:val="16"/>
          <w:szCs w:val="16"/>
          <w:color w:val="auto"/>
        </w:rPr>
        <w:t xml:space="preserve"> or by calling 1-800-REALESTATE and by the Company's real estate agents' own contacts and referrals. The brokerage recruits agents to join as independent contractors, for whom it then generates leads, with the brokerage retaining a significant share of the gross commission on closed transactions originating from Company-generated leads (and a lesser share in the case of agent-generated leads). Tree.com uses both a central agent recruiting group in Charlotte, North Carolina, as well as local recruiting efforts, to identify agents who fit its model and would be willing to join the brokerage. Outside of the markets where the Company maintains an office, third-party brokerage services provided by approximately 150 real estate brokerage firms are also available through </w:t>
      </w:r>
      <w:r>
        <w:rPr>
          <w:rFonts w:ascii="Arial" w:cs="Arial" w:eastAsia="Arial" w:hAnsi="Arial"/>
          <w:sz w:val="16"/>
          <w:szCs w:val="16"/>
          <w:i w:val="1"/>
          <w:iCs w:val="1"/>
          <w:color w:val="auto"/>
        </w:rPr>
        <w:t>www.realestate.com</w:t>
      </w:r>
      <w:r>
        <w:rPr>
          <w:rFonts w:ascii="Arial" w:cs="Arial" w:eastAsia="Arial" w:hAnsi="Arial"/>
          <w:sz w:val="16"/>
          <w:szCs w:val="16"/>
          <w:color w:val="auto"/>
        </w:rPr>
        <w:t xml:space="preserve"> or by calling 1-800-REALESTATE. The Company has developed relationships with brokers over the years, and targets prospective companies based on available lead flow by geography, their willingness to work with a lead generation company under Tree.com's terms and conditions, and the belief that such brokerage firms would generate an acceptable closing conversion rate. These third-party brokerage services are available nationwide, as well as in the markets in which RealEstate.com, REALTORS® currently operates. Once the consumer and the real estate professional are matched and agree to work together, the remainder of the transaction is completed locally.</w:t>
      </w:r>
    </w:p>
    <w:p>
      <w:pPr>
        <w:spacing w:after="0" w:line="182"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RealEstate.com, REALTORS® business earns revenues through the real estate brokerage commissions it collects in connection with company- and agent-generated transactions. For its third party brokerage referral services, the RealEstate.com, REALTORS® business also earns revenue from cooperative brokerage fees paid by participating real estate brokerages.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Tree.com's real estate business competes with all real estate brokerages within the RealEstate.com, REALTORS® markets. These brokerages are comprised mainly of traditional real estate companies operating as independent brands or franchisees, as well as non-traditional models, such as salaried-agent, fee-for-service, flat-fee, discount, or rebate commission models, many of which generate leads from the Internet. In addition, the Real Estate business competes for customers with companies that are not brokerages, such as websites that aggregate real estate broker listings without related services and customer support. Given the downturn in the credit and mortgage markets and the decline in the number of housing transactions, competition in this segment has increased.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Tree.com businesses market and provide services in heavily regulated industries through a number of different online and offline channels across the United States (see "Risk Factors—Compliance and Changing Laws, Rules and Regulations"). As a result, they are subject to a variety of statutes, rules, regulations, policies and procedures in various jurisdictions in the United States, including:</w:t>
      </w:r>
    </w:p>
    <w:p>
      <w:pPr>
        <w:spacing w:after="0" w:line="208" w:lineRule="exact"/>
        <w:rPr>
          <w:sz w:val="20"/>
          <w:szCs w:val="20"/>
          <w:color w:val="auto"/>
        </w:rPr>
      </w:pPr>
    </w:p>
    <w:p>
      <w:pPr>
        <w:ind w:left="1080" w:right="7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or interest that may be charged in connection with a loan, in particular, state usury and fee restrictions;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imposed by the Dodd-Frank Wall Street Reform and Consumer Protection Act (the "Dodd-Frank Act") and current or future rules promulgated thereunder, including limitations on fees charged by mortgage lenders;</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the making of required consumer disclosures, such as the federal Truth-in-Lending Act, the federal Equal Credit Opportunity Act, the federal Fair Credit Reporting Act, the federal Fair Housing Act, the federal Real Estate Settlement Procedures Act (RESPA), and similar state laws;</w:t>
      </w:r>
    </w:p>
    <w:p>
      <w:pPr>
        <w:spacing w:after="0" w:line="207"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leads, in particular, RESPA;</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consumers for real estate brokerage transactions, including any incentives and rebates that may be offered to consumers by Tree.com businesses;</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in some instances, federal, licensing or registration requirements applicable to both individuals or businesses engaged in the making or brokerage of loans (or certain kinds of loans, such as loans made pursuant to the Federal Housing Act), or the brokering of real estate transactions; and</w:t>
      </w:r>
    </w:p>
    <w:p>
      <w:pPr>
        <w:spacing w:after="0" w:line="20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the mail, by email, or over the internet, including the Telemarketing Sales Rule, state telemarketing laws, federal and state privacy laws, the CAN-SPAM Act, and the Federal Trade Commission Act and its accompanying regulations and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believe that our intellectual property rights are vital to our success. To protect our intellectual property rights in our technology, products, improvements and inventions, we rely on a combination of patents, trademarks, trade secret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6 issued U.S. patents relating to our technologies, including those relating to the method and network for coordinating a loan over the internet. Our various patents expire between 2018 and 2025. We also have approximately 6 pending U.S. patent applications.</w:t>
      </w:r>
    </w:p>
    <w:p>
      <w:pPr>
        <w:spacing w:after="0" w:line="198"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Many of our services are offered under proprietary trademarks and service marks. We generally apply to register or secure by contract our principal trademarks and service marks as they are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developed and used. We have approximately 82 trademarks and service marks registered with the United States Patent and Trademark Office. These registrations can typically be renewed at 10-year intervals. We reserve and register domain names when and where we deem appropriate and we currently have approximately 1,500 registered domain names. We also have agreements with third parties that provide for the licensing of patented and proprietary technology used in our business.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time to time, we are subjected to legal proceedings and claims, or threatened legal proceedings or claims, including allegations of infringement of third party trademarks, copyrights, patents and other intellectual property rights of third parties. In addition, litigation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See Item 3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December 31, 2010, Tree.com had approximately 900 full-time employees. None of Tree.com's employees are represented under collective bargaining agreements. Tree.com considers its relations with its employees and independent contractors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LendingTree Loans, Exchanges and Real Estate revenue are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i w:val="1"/>
          <w:iCs w:val="1"/>
          <w:color w:val="auto"/>
        </w:rPr>
        <w:t xml:space="preserve">Company Website and Public Filings. </w:t>
      </w:r>
      <w:r>
        <w:rPr>
          <w:rFonts w:ascii="Arial" w:cs="Arial" w:eastAsia="Arial" w:hAnsi="Arial"/>
          <w:sz w:val="16"/>
          <w:szCs w:val="16"/>
          <w:color w:val="auto"/>
        </w:rPr>
        <w:t>The Company maintains a website at</w:t>
      </w:r>
      <w:r>
        <w:rPr>
          <w:rFonts w:ascii="Arial" w:cs="Arial" w:eastAsia="Arial" w:hAnsi="Arial"/>
          <w:sz w:val="16"/>
          <w:szCs w:val="16"/>
          <w:i w:val="1"/>
          <w:iCs w:val="1"/>
          <w:color w:val="auto"/>
        </w:rPr>
        <w:t xml:space="preserve"> www.tree.com</w:t>
      </w:r>
      <w:r>
        <w:rPr>
          <w:rFonts w:ascii="Arial" w:cs="Arial" w:eastAsia="Arial" w:hAnsi="Arial"/>
          <w:sz w:val="16"/>
          <w:szCs w:val="16"/>
          <w:color w:val="auto"/>
        </w:rPr>
        <w:t>. None of the information on the Company's website is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this report, or in any other filings with, or in any information furnished or submitted to, the SEC.</w:t>
      </w:r>
    </w:p>
    <w:p>
      <w:pPr>
        <w:spacing w:after="0" w:line="13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makes available, free of charge through its website, its Annual Reports on Form 10-K, Quarterly Reports on Form 10-Q and Current Reports on Form 8-K (including related amendments) and beneficial ownership reports on Forms 3, 4 and 5 as soon as reasonably practicable after they have been electronically filed with, or furnished to, the SEC.</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The Company's code of business conduct and ethics, which applies to all employees, including all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senior financial officers and directors, is posted on the Company's website at </w:t>
      </w:r>
      <w:r>
        <w:rPr>
          <w:rFonts w:ascii="Arial" w:cs="Arial" w:eastAsia="Arial" w:hAnsi="Arial"/>
          <w:sz w:val="16"/>
          <w:szCs w:val="16"/>
          <w:i w:val="1"/>
          <w:iCs w:val="1"/>
          <w:color w:val="auto"/>
        </w:rPr>
        <w:t>investor-relations.tree.com/governance.cfm</w:t>
      </w:r>
      <w:r>
        <w:rPr>
          <w:rFonts w:ascii="Arial" w:cs="Arial" w:eastAsia="Arial" w:hAnsi="Arial"/>
          <w:sz w:val="16"/>
          <w:szCs w:val="16"/>
          <w:color w:val="auto"/>
        </w:rPr>
        <w:t>. The code of business conduct and ethics complies with Item 406 of SEC Regulation S-K and the rules of The NASDAQ Stock Market. Any amendments to or waivers of the code of business conduct and ethics that are of the type described in Item 406(b) and (d) of Regulation S-K, and any waivers of the code of business conduct and ethics for Tree.com's executive officers, directors or senior financial officers, will also be disclosed on Tree.com's website.</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one of these lines; our belief that we will continue to adjust selling and marketing expenditures generally in relation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 producing opportunities and that our selling and marketing efforts will continue to represent a high percentage of our revenues; our Compensation Committee's belief that placing a greater emphasis on incentive arrangements and equity 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4"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Actual results could differ materially from those contained in the forward-looking statements included in this report for a variety of reasons, including, among others, the risk factors set forth below. Other unknown or unpredictable factors that could also adversely affect Tree.com's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Tree.com does not undertake to update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Tree.com's business, financial condition and results of operations are subject to certain risks that are described below. The risks and uncertainties described below are not the only ones facing Tree.com. Additional risks and uncertainties not presently known or currently deemed immaterial may also impair Tree.com's business, financial condition and results of operations.</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primary and secondary mortgage markets, as well as the economy generally, could materially and adversely affect our business, financial condition and results of operations.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primary and secondary mortgage markets have been experiencing unprecedented and continuing disruption, which has had and is expected to continue to have, an adverse effect on our business, financial condition and results of operations. These conditions, coupled with adverse economic conditions and continuing declines in residential real estate prices generally, have resulted in and are expected to continue to result in decreased consumer demand for the lending and real estate offerings provided by our networks and other businesses. Generally, increases in interest rates adversely affect the ability of the Exchanges and Network Lenders to close loans, while adverse economic trends limit the ability of the Exchanges and Network Lenders to offer home loans other than low margin conforming loans. Likewise, adverse economic trends have reduced, and are expected to continue to reduce, the number of prospective home purchasers and home prices, which adversely affects our Real Estate business. Our businesses may experience a further decline in demand for their offerings due to decreased consumer demand as a result of the conditions described above now or in the future. Conversely, during periods of robust consumer demand, which are typically associated with decreased interest rates, some Network Lenders may have less incentive to use our networks, or in the case of sudden increases in consumer demand, our Network Lenders may lack the ability to support sudden increases in volume. Prolonged declines in demand for offerings of our businesses could have a material adverse effect on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secondary mortgage markets have also been experiencing unprecedented and continued disruptions resulting from reduced investor demand for mortgage loans and mortgage-backed securities and increased investor yield requirements for those loans and securities. These conditions may continue for a prolonged period of time or worsen in the future. LendingTree Loans/Home Loan Center, Inc. ("HLC") does not have the capital resources or credit necessary to retain the loans it funds and closes and, as a result, sells substantially all such loans within 30 days of funding as discussed above. Accordingly, a prolonged period of secondary market illiquidity may force HLC to significantly reduce the volume of loans that it originates and funds, which could have an adverse effect on our business, financial condition and results of operations.</w:t>
      </w:r>
    </w:p>
    <w:p>
      <w:pPr>
        <w:spacing w:after="0" w:line="17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These disruptions and volatility in the capital and credit markets have resulted in rapid and steep declines in prevailing stock prices, particularly in the financial services sector, as well as downward pressure on credit availability. These adverse conditions adversely affect our Network Lenders, secondary market purchasers, and third-party real estate professionals, and may render them unwilling or unable to continue business relationships with us. If current levels of market disruption and volatility continue or worsen, there can be no assurance that we will not experience an adverse effect on our business relationships and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and Trends—Difficult market conditions have adversely affected our industry.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Declines in the housing market since 2008,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other asset-backed securities, credit default swaps and other derivative and cash securities, in turn, have caused many financial institutions to seek additional capital, to merge with larger and stronger institutions and, in some cases, to fail.</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Reflecting concern about the stability of the financial markets generally and the strength of counterparties, many lenders and institutional investors have reduced or ceased providing funding to borrowers, including to other financial institutions. This market turmoil and tightening of credit have led to an increased level of commercial and consumer delinquencies, lack of consumer confidence, increased market volatility and widespread reduction of business activity generally. The resulting economic pressure on consumers and lack of confidence in the financial markets may have an adverse effect on our business, financial condition and results of operations.</w:t>
      </w:r>
    </w:p>
    <w:p>
      <w:pPr>
        <w:spacing w:after="0" w:line="197"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We do not expect that the difficult conditions in the financial markets will likely improve materially in the near future. A worsening of these conditions would likely exacerbate the adverse effects of these difficult market conditions on us and others in the financial services industry.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led to market-wide liquidity problems and could lead to losses or defaults by us or by other institutions. Any such losses or defaults could have an adverse effect on our business, financial condition and results of operations.</w:t>
      </w:r>
    </w:p>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6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of December 31, 2010, LendingTree Loans had two committed lines of credit totaling $150.0 million of borrowing capacity.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held for sale by LendingTree Loans.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June 29, 2011. This line can be cancelled at the option of the lender without default upon sixty days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first line includes an additional uncommitted credit facility of $25.0 million. This first line is also guaranteed by Tree.com, Inc., LendingTree, LLC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LendingTree Holdings Corp. The interest rate under the first line is 30-day LIBOR or 2.00% (whichever is greater) plus 2.25%. The interest rate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uncommitted line is 30-day LIBOR plus 1.50%. LendingTree Loans is also required to sell at least 25% of the loans it originates to the lender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line or pay a "pair-off fee" of 0.25% on the difference between the required and actual volume of loans sold.</w:t>
      </w:r>
    </w:p>
    <w:p>
      <w:pPr>
        <w:spacing w:after="0" w:line="219"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borrowing capacity of the second line was increased from $75.0 million to $100.0 million upon renewal of the line effective October 29, 2010. The expiration date of this line is October 28, 2011. This second line is also guaranteed by Tree.com, Inc., LendingTree, LLC and LendingTree Holdings Corp. The interest rate under this line was decreased from 30-day Adjusted LIBOR or 2.0% (whichever is greater) plus 2.50% to 3.0% prior to renewal, to 30-day Adjusted LIBOR or 2.0% (whichever is greater) plus 2.25% to 2.5% after renewal, for loans being sold to the lender. Additionally, the interest rate for loans not being sold to the lender was decreased from 30-day Adjusted LIBOR or 2.0% (whichever is greater) plus 2.75% prior to renewal, to 30-day Adjusted LIBOR or 2.0% (whichever is greater) plus 2.25% after renewal.</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 (vi) pre-tax net income requirements and (vii) a maximum warehouse capacity ratio. During the year ended December 31, 2010, LendingTree Loans was in compliance with the covenants under the lines. We intend to renew both of these warehouse lines.</w:t>
      </w:r>
    </w:p>
    <w:p>
      <w:pPr>
        <w:spacing w:after="0" w:line="197"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Adverse Events and Trends—Our financial results fluctuate as a result of seasonality, which may make it difficult to predict our future performance and may affect our common stock price.</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business is generally subject to seasonal trends. These trends reflect the general patterns of housing sales, which typically peak in the spring and summer seasons. Additionally, the broader cyclical trends in the mortgage and real estate markets have upset the usual seasonal trends. As a result, our quarterly operating results may fluctuate, which may negatively impact the price of our common stock.</w:t>
      </w:r>
    </w:p>
    <w:p>
      <w:pPr>
        <w:spacing w:after="0" w:line="19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Contingent Liabilities—Litigation and Indemnification of Secondary Market Purchasers—Litigation and indemnification of secondary market purchasers could have a material adverse effect on our business, financial condition, results of operations and liquidity.</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sale of loans to secondary market purchasers, HLC makes certain representations regarding related borrower credit information, loan documentation and collateral. To the extent that these representations are incorrect, HLC may be required to repurchase loans or indemnify secondary market purchasers for losses due to borrower defaults. While HLC seeks to ensure that loans it originates comply with these representations, secondary market purchasers may take a contrary position. In connection with the sale of loans to secondary market purchasers, HLC also agrees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HLC's origination of the loan). In connection with the sale of a majority of its loans to secondary market purchasers, HLC also agrees to repay all or a portion of the initial premiums paid by secondary market purchasers in instances where the borrower prepays the loan within a specified period of time. HLC has made payments for these liabilities in the past and expects to make payments for these in the future.</w:t>
      </w:r>
    </w:p>
    <w:p>
      <w:pPr>
        <w:spacing w:after="0" w:line="17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Third-Party Relationships—We depend on relationships with Network Lenders, real estate professionals, credit providers and secondary market investors and any adverse changes in these relationships could adversely affect our business, financial condition and results of operations.</w:t>
      </w:r>
    </w:p>
    <w:p>
      <w:pPr>
        <w:spacing w:after="0" w:line="13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success depends, in significant part, on the quality and pricing of services provided by, and/or the continued financial stability of, Network Lenders and real estate professionals participating on our networks, credit providers and secondary market investors. Network Lenders or real estate professionals could, for any reason, cease participating on the networks operated by (or otherwise choose not to enter into relationships with) our businesses, fail to pay matching and/or closing fees when due and/or cease providing quality services on competitive terms. In addition, credit providers and/or secondary market investors could, for any reason, choose not to make credit available to (or otherwise enter into relationships with) HLC, and in the case of secondary market investors only, cease purchasing loans from HLC. In particular, revenues attributable to purchases of loans by three such entities, JPMorgan Chase, Bank of America and Wells Fargo, represented approximately 25%, 24% and 11%, respectively, of our consolidated revenues in 2010. The occurrence of one of more of these events with a significant number of Network Lenders, real estate professionals, credit providers and/or secondary market investors could, alone or in combination, have a material adverse effect on our business, financial condition and results of operations.</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Third-Party Relationships Are Not Exclusive—Network Lenders and real estate professionals affiliated with our networks are not precluded from offering products and services outside of our networks.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Because our businesses do not have exclusive relationships with Network Lenders and real estate professionals, consumers may obtain loans and real estate offerings directly from these third-party service providers without having to use our networks. Network Lenders can offer loans (and real estate professionals can offer services) directly to consumers through marketing campaigns or other traditional methods of distribution, such as referral arrangements, brick and mortar operations or, in the case of lending, broker agreements. Network Lenders and real estate professionals can also offer loans and services to prospective customers online directly, through one or more online competitors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businesses, or both. If a significant number of consumers seek loans and services directly from Network Lenders and real estate professionals as opposed to through our networks, our business, financial condition and results of operations would be adversely affected.</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Network Security—A breach of our network security or the misappropriation or misuse of personal consumer information may have an adverse impact on our business, financial condition and results of operations.</w:t>
      </w:r>
    </w:p>
    <w:p>
      <w:pPr>
        <w:spacing w:after="0" w:line="18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Any penetration of network security or other misappropriation or misuse of personal consumer information maintained by us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In that regard, on April 21, 2008, we announced that several mortgage companies had gained unauthorized access to LendingTree's customer information database and had used the information to solicit mortgage loans directly from our customers. We promptly reported the situation to the Federal Bureau of Investigation and have been cooperating fully with the FBI's investigation. While LendingTree does not believe this situation resulted in any fraud on the consumer or identity theft, LendingTree notified affected consumers as required by applicable law. Notwithstanding the foregoing, following our announcement, several putative class action lawsuits were filed against LendingTree, seeking to recover damages for consumers allegedly injured by this incident. All but one of these lawsuits have been dismissed or withdrawn (see Item 3 below).</w:t>
      </w:r>
    </w:p>
    <w:p>
      <w:pPr>
        <w:spacing w:after="0" w:line="177"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in the case of any financial services company,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Failure to Provide Competitive Service—Network Lenders and real estate professionals may not provide competitive levels of service to consumers, which could adversely affect our brands and businesses and their ability to attract consumers.</w:t>
      </w:r>
    </w:p>
    <w:p>
      <w:pPr>
        <w:spacing w:after="0" w:line="186"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ability of our businesses to provide consumers with a high-quality experience depends, in part, on consumers receiving competitive levels of convenience, customer service, price and responsiveness from Network Lenders and real estate professionals with whom they are matched through our networks. If Network Lenders and real estate professionals do not provide consumers with competitive levels of convenience, customer service, price and responsiveness, the value of our various brands may be harmed, the ability of our businesses to attract consumers to our websites may be limited and the number of consumers ultimately matched through our networks may decline, which could have a material adverse effect on our business, financial condition and results of operations.</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Brand Recognition—Failure to maintain brand recognition and attract and retain customers in a cost-effective manner could adversely affect our business, financial condition and results of operations.</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order to attract visitors to their websites, convert these visitors into paying customers and capture repeat business from existing customers, our businesses must promote and maintain their various brands successfully, which involves the expenditure of considerable money and resources for online and offline advertising, marketing and related efforts, as well as the continued provision and introduction of high-quality products and services.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continuing to build and maintain the recognition of our various brands is critical to achieving increased demand for the services provided by our businesses, given that brand recognition is a key differentiating factor among providers of online services. Accordingly, we have spent, and expect to continue to spend, significant amounts of capital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adversely affect our business, financial condition and results of operations.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Lastly, publicity from legal proceedings against us or our businesses, particularly governmental proceedings, consumer class action litigation or the disclosure of information security breaches, could negatively impact our various brands, which could adversely affect our business, financial condition and results of operations.</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Technology—We depend on search engines and other online sources to attract visitors to our websites, and if we are unable to attract these visitors and convert them into customers in a cost-effective manner, our business and financial results may be harmed.</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will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financial condition and results of operations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7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b w:val="1"/>
          <w:bCs w:val="1"/>
          <w:i w:val="1"/>
          <w:iCs w:val="1"/>
          <w:color w:val="auto"/>
        </w:rPr>
        <w:t>Technology—If we are unable to continually enhance our products and services and adapt them to technological changes and customer needs, including the emergence of new computing devices and more sophisticated online services, we may lose market share and revenue and our business could suffer.</w:t>
      </w:r>
    </w:p>
    <w:p>
      <w:pPr>
        <w:spacing w:after="0" w:line="116"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need to anticipate, develop and introduce new products, services and applications on a timely and cost-effective basis that keeps pace with technological developments and changing customer needs. For example, the number of individuals who access the internet through devices other than a personal computer, such as personal digital assistants, mobile telephones, televisions and set-top box devices, has increased significantly, and this trend is likely to continue. Our websites were designed for rich, graphical environments such as those available on desktop and laptop computers. The lower resolution, functionality and memory associated with alternative devices currently available may make the access and use of our websites through such devices difficult. Because each manufacturer or distributor may establish unique technical standards for its devices, our websites may not be functional or viewable on these devices. Additionally, new devices and new platforms are continually being released. Accordingly, it is difficult to predict the problems we may encounter in improving our websites' functionality with these alternative devices, and we may need to devote significant resources to the improvement, support and maintenance of our websites. If we fail to develop our websites to respond to these or other technological developments and changing customer needs cost effectively, we may lose market share, which could adversely affect our business, financial condition and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Compliance and Changing Laws, Rules and Regulations—Failure to comply with existing or evolving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failure of our businesses to comply with existing laws, rules and regulations, or to obtain required licenses, could result in administrative fines and/or proceedings against us or our businesses by governmental agencies and/or litigation by consumers, which could adversely affect our business, financial condition and results of operations. Our businesses market and provide services in heavily regulated industries through a number of different online and offline channels across the United States. As a result, our businesses are subject to a variety of statutes, rules, regulations, policies and procedures in various jurisdictions in the United States, which are subject to change at any time.</w:t>
      </w:r>
    </w:p>
    <w:p>
      <w:pPr>
        <w:spacing w:after="0" w:line="17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and the Federal Trade Commission Act and its accompanying regulations and guidelines, among others. While we believe that the practices of our businesses have been structured in a manner to ensure compliance with these laws and regulations, federal or state regulatory authorities may take a contrary position.</w:t>
      </w:r>
    </w:p>
    <w:p>
      <w:pPr>
        <w:spacing w:after="0" w:line="197"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Additional federal, state and in some instances, local, laws regulate residential lending and real estate brokerage activities in particular. These laws generally regulate the manner in which lending, lending-related and real estate brokerage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In addition, state laws often restrict the amount of interest and fees that may be charged by a lender or mortgage broker, or otherwise regulate the manner in which lenders or mortgage brokers operate or advertise. Furthermore, Congress, many state legislatures and state agencies are proposing, or have recently implemented, additional restrictions on mortgage lending practices. Compliance with these new requirements may render it more difficult to operate or may raise our internal costs. Failure to comply with applicable laws and regulatory requirements may result in, among other things, revocation of required licenses or registrations, loss of approval status, termination of contracts without compensation, administrative enforcement actions and fines, class action lawsuits, cease and desist orders and civil and criminal liability. While we believe that our businesses have been structured in such a way so as to comply with existing and new laws, the relevant regulatory authorities may take a contrary position or future legislation may adversely affect our business, financial condition and results of operations.</w:t>
      </w:r>
    </w:p>
    <w:p>
      <w:pPr>
        <w:spacing w:after="0" w:line="18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that jurisdiction.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 Although we believe that our businesses have been structured in such a way so as to comply with RESPA, the relevant regulatory agency may take a contrary position.</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Real Estate business is subject to rules and regulations of various real estate boards, as well as the rules of various non-governmental associations and organizations, including but, not limited to, local and regional Multiple Listing Services that provide real estate listing data. Our Real Estate business is dependent on real estate listing data made available through Multiple Listing Services and other sources. While we believe that our Real Estate business is structured to comply with these rules and regulations, the relevant organization may take a contrary position, which could adversely affect our business, financial condition and results of operations.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some states have regulations that prohibit real estate brokers from providing consumers with rebates or other incentives in connection with real estate transactions. Additional states could promulgate similar regulations or interpret existing regulations in a way that limits the ability of online networks to offer consumer incentives in connection with real estate transactions, thereby limiting the attractiveness of real estate brokerage activities offered by our Real Estate business.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Federal, state and in some instances, local, laws also prohibit unfair and deceptive sales practices generally. While we have adopted appropriate policies and procedures to address these requirements (such as appropriate consumer disclosures and call scripting, call monitoring, and other quality assurance and compliance measures), employees do not always comply with policies and procedures, and therefore, liability and brand injury could result from such employee misconduct.</w:t>
      </w:r>
    </w:p>
    <w:p>
      <w:pPr>
        <w:spacing w:after="0" w:line="197"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employers, our businesses are subject to federal and state employment laws. In particular, the Fair Labor Standards Act and California wage and hour laws govern the treatment of "non-exempt" employees, which may include loan officers, underwriters, and loan processors at Home Loan Center, Inc. Failure to comply with applicable employment laws may result in, among other things, administrative fines, class action lawsuits, damages awards and injunctions, any of which could adversely affect our business, financial condition and results of operations.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Parties through which our businesses conduct business similarly may be subject to federal and state regulation. These parties typically act as independent contractors and not as agents in their solicitations and transactions with consumers. Consequently, we cannot ensure that these entities will comply with applicable laws and regulations at all times. Failure on the part of a lender, secondary market purchaser, real estate professional, website operator or other third party to comply with these laws or regulations could result in, among other things, claims of vicarious liability or a negative impact on the reputation of Tree.com and its businesses. The occurrence of one or more of these events could have an adverse effect on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b w:val="1"/>
          <w:bCs w:val="1"/>
          <w:i w:val="1"/>
          <w:iCs w:val="1"/>
          <w:color w:val="auto"/>
        </w:rPr>
        <w:t>Compliance and Changing Laws, Rules and Regulations—Passage of the Dodd-Frank Wall Street Reform and Consumer Protection Act and related legislative or executive actions may have a significant impact on our business, results of operations and financial condition.</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and to prepare numerous studies and reports for Congress, which could result in additional legislative or regulatory action. The federal agencies are given significant discretion in drafting the rules and regulations, and consequently, many of the details and much of the impact of the Dodd-Frank Act may not be known for many months or years.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Bureau of Consumer Financial Protection to regulate consumer financial services and products, including credit, savings and payment products. The effect of the Dodd-Frank Act on our business and operations could be significant, depending upon final implementing regulations, the actions of our competitors and the behavior of other marketplace participants. In addition, we may be required to invest significant management time and resources to address the various provisions of the Dodd-Frank Act and the numerous regulations that are required to be issued under it.</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9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Dodd-Frank Act also requires publicly traded companies to give stockholders a non-binding vote on executive compensation and so-called "golden parachute" payments, and authorizes the SEC to promulgate rules that would allow stockholders to nominate their own candidates using a company's proxy materials. However, if the Dodd-Frank Act and the implementing rules and regulations cause a material increase in our compliance and operating costs or materially inhibit our operations, they may have a material adverse impact on our business, results of operations and financial condition.</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Party Compliance—If Network Lenders fail to produce required documents for examination by, or other affiliated parties fail to make certain filings with, state regulators, Tree.com may be subject to fines, forfeitures and the revocation of required licenses.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businesses' licenses to operate in key states, which could have a material adverse affect on our business, financial condition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our businesses may be unable to obtain a license, and existing licensing arrangements may be jeopardized. The inability to obtain, or the loss of, required licenses could have a material adverse effect on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Maintenance of Systems and Infrastructure—Our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94"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82"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addition, any penetration of network security or other misappropriation or misuse of personal consumer information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It is possible that advances in computer capabilities, new discoveries, undetected fraud, inadvertent violations of company policies or procedures or other developments could result in a compromise of information or a breach of the technology and security processes that are used to protect consumer transaction data. As a result, current security measures may not prevent any or all security breaches.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Any publicized security problems affecting our businesses and/or those of third parties may discourage consumers from doing business with us, which could have an adverse effect on our business, financial condition and results of operations.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Internal Controls—We have identified a material weakness in our disclosure controls and procedures and internal controls over financial reporting, and we may be unable to develop, implement and maintain appropriate controls in future periods.</w:t>
      </w:r>
    </w:p>
    <w:p>
      <w:pPr>
        <w:spacing w:after="0" w:line="186"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have identified a material weakness in our disclosure controls and procedures and our internal controls over financial reporting relating to ineffective controls over the application and monitoring of accounting for income taxes. Specifically, we did not have controls designed and in place to ensure effective oversight of the work performed by, and the accuracy of, financial information provided by third party tax advisors. Until remediated, this material weakness could result in a misstatement in tax-related accounts that could result in a material misstatement to our interim or annual consolidated financial statements and disclosures that may not be prevented or detected.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currently in the process of addressing and remediating the deficiencies that gave rise to this material weakness. Since the material weakness was identified,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us by the third party tax advisors and identifying changes as required.</w:t>
      </w:r>
    </w:p>
    <w:p>
      <w:pPr>
        <w:spacing w:after="0" w:line="197"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note that a system of procedures and controls, no matter how well conceived and operated, can provide only reasonable, not absolute, assurance that the objectives of the control system are met. Because of the inherent limitations in all systems of procedures and controls, no evaluation can provide absolute assurance that all control issues have been detected. These inherent limitations include the realities that judgments in decision-making can be faulty, and breakdowns can occur because of simple error or mistake. The design of any system of procedures and controls also is based in part upon certain assumptions about the likelihood of future events, and there can be no assurance that any design will succeed in achieving its stated goals under all potential future conditions. Over time, our systems of procedures and controls, as we further develop and enhance them, may become inadequate because of changes in conditions, or the degree of compliance with the policies or procedures may deteriorate. Because of the inherent limitations in a cost-effective system of procedures and controls, misstatements due to error or fraud may occur and not be detected and could be material and require a restatement of our financial statements.</w:t>
      </w:r>
    </w:p>
    <w:p>
      <w:pPr>
        <w:spacing w:after="0" w:line="16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we are unable to maintain appropriate internal controls, we may not have adequate, accurate or timely financial information, we may experience material post-closing adjustments in future financial statements, and we may be unable to meet our reporting obligations or comply with the requirements of the SEC or the Sarbanes-Oxley Act of 2002, which could result in the imposition of sanctions, including the inability of registered broker dealers to make a market in our common shares,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We cannot provide assurance that our remediation measures will be completed or become effective by any given date.</w:t>
      </w:r>
    </w:p>
    <w:p>
      <w:pPr>
        <w:spacing w:after="0" w:line="17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Further and continued determinations that there are significant deficiencies or material weaknesses in the effectiveness of our internal controls could also reduce our ability to obtain financing or could increase the cost of any financing we obtain and require additional expenditures to comply with applicable requirements.</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Privacy—The processing, storage, use and disclosure of personal data could give rise to liabilities as a result of governmental regulation, conflicting legal requirements or differing views of personal privacy rights.</w:t>
      </w:r>
    </w:p>
    <w:p>
      <w:pPr>
        <w:spacing w:after="0" w:line="186"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In the processing of consumer transactions, our businesses receive, transmit and store a large volume of personally identifiable information and other user data. The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 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Intellectual Property—We may fail to adequately protect our intellectual property rights or may be accused of infringing intellectual property rights of third parties.</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may fail to adequately protect our intellectual property rights or may be accused of infringing intellectual property rights of third parties. 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197"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Some of our businesses have been granted patents and/or have patent applications pending with the United States Patent and Trademark Office and/or various foreign patent authorities for various proprietary technologies and other inventions. We consider applying for patents or for other appropriate statutory protection when we develop valuable new or improved proprietary technologies or inventions are identified, and will continue to consider the appropriateness of filing for patents to protect future proprietary technologies and inventions as circumstances may warrant.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 Likewise, the issuance of a patent to us does not mean that our processes or inventions will be found not to infringe upon patents or other rights previously issued to third parties.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From time to time, in the ordinary course of business we are subjected to legal proceedings and claims, or threatened legal proceedings or 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 as evidenced by the patent litigation settlements the Company announced in the first quarter of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Management—Our framework for managing risks may not be effective in mitigating our risk of loss.</w:t>
      </w:r>
    </w:p>
    <w:p>
      <w:pPr>
        <w:spacing w:after="0" w:line="22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Management of our risks in some cases depends upon the use of analytical and/or forecasting models. If the models that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our risks, we could suffer unexpected losses and could be materially adversely affected.</w:t>
      </w:r>
    </w:p>
    <w:p>
      <w:pPr>
        <w:spacing w:after="0" w:line="20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Acquisitions and Investments—Acquisitions or strategic investments that we pursue may not be successful and could disrupt our business and harm our financial condition.</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portfolios of loans or technologies, such as our recent agreement to acquire certain assets of SurePoint Lending. We may not be able to identify suitable acquisition or investment candidates, or even if we do identify suitable candidates, they may be difficult to finance, expensive to fund and there is no guarantee that we can obtain any necessary regulatory approvals or complete the transactions on terms that are favorable to us. To the extent we pay the purchase price of any acquisition or investment in cash, it would reduce our cash balances and regulatory capital, which may have an adverse effect on our financial condition; similarly,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an adverse effect on our financial condition.</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The market price for our common stock has been volatile since our spin-off. This volatility has likely been exacerbated by recent market instability. The market price for our common stock could continue to fluctuate significantly for many reasons, including the risks identified herein or reasons unrelated to our performance. These factors may result in short or long-term negative pressure on the value of our common stock.</w:t>
      </w:r>
    </w:p>
    <w:p>
      <w:pPr>
        <w:spacing w:after="0" w:line="161"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If we fail to meet the listing requirements of the NASDAQ Stock Market and do not take corrective action as the NASDAQ Listing Qualifications Department may require, trading in our securities may be halted and we may be delisted from the NASDAQ Global Market.</w:t>
      </w:r>
    </w:p>
    <w:p>
      <w:pPr>
        <w:spacing w:after="0" w:line="139"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an issuer listed on the NASDAQ Global Market, we must comply with the Marketplace Rules of the NASDAQ Stock Market in order to maintain that listing. NASDAQ-listed companies that do not maintain compliance with these rules may have trading in their stock halted and, if they do not regain compliance as required by the NASDAQ Listing Qualifications Department, may be delisted.</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November 1, 2010, we notified the Listings Qualifications Department of the NASDAQ Stock Market of Steven Ozonian's resignation from the Company's Board of Directors, effective November 1, 2010, and the resulting non-compliance with NASDAQ Marketplace Rule 5605 ("Rule 5605"), which requires that a majority of the Company's Board of Directors be comprised of independent members. On November 3, 2010, we received notice from NASDAQ advising that, as a result of Mr. Ozonian's resignation from the Board of Directors, we were not in compliance with Rule 5605 and confirming that we were provided a cure period until the earlier of the Company's next annual meeting of stockholders or October 31, 2011 to regain compliance.</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is reviewing alternative methods to regain compliance. The Company anticipates that it will regain compliance with Rule 5605 no later than June 8, 2011, the date of our 2011 annual meeting of stockholders. A failure to regain compliance could result in the Company being delisted from the NASDAQ Stock Market. The delisting of our common stock would significantly affect the ability of investors to trade our securities and would negatively affect the value and liquidity of our common stock. In addition, the delisting of our common stock could materially affect our ability to raise capital on terms acceptable to us or at all and could also have other negative results, including the potential loss of confidence by customers and employees, the loss of institutional investor interest and fewer business development opportunities.</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Tree.com's principal executive offices, together with certain personnel and operations of its Exchanges and Real Estate businesses, are currently located in approximately 38,000 square feet of office space in Charlotte, North Carolina and approximately 3,000 square feet of office space in Pasadena, California, under leases that expire through 2015. The operations of LendingTree Loans are currently located in approximately 95,000 square feet of office space in Irvine, California under a lease expiring in 2015. In addition, Real Estate has 20 offices located throughout the United States under leases that expire through 2014.</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ordinary course of business, the Company and its subsidiaries are parties to litigation involving property, contract, intellectual property and a variety of other claims. The amounts that may be recovered in such matters may be subject to insurance coverage.</w:t>
      </w:r>
    </w:p>
    <w:p>
      <w:pPr>
        <w:spacing w:after="0" w:line="186"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Rules of the Securities and Exchange Commission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exceeding 10% of the current assets of the registrant and its subsidiaries on a consolidated basis. In the judgment of management, none of the pending litigation matters which the Company and its subsidiaries are defending, including those described below, involves or is likely to involve amounts of that magnitude. The litigation matters described below involve issues or claims that may be of particular interest to the Company's shareholders, regardless of whether any of these matters may be material to the financial position or operations of the Company based upon the standard set forth in the SEC's 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Privacy/Information Security Litigation</w:t>
      </w:r>
    </w:p>
    <w:p>
      <w:pPr>
        <w:spacing w:after="0" w:line="231" w:lineRule="exact"/>
        <w:rPr>
          <w:sz w:val="20"/>
          <w:szCs w:val="20"/>
          <w:color w:val="auto"/>
        </w:rPr>
      </w:pPr>
    </w:p>
    <w:p>
      <w:pPr>
        <w:jc w:val="both"/>
        <w:ind w:right="220" w:firstLine="351"/>
        <w:spacing w:after="0" w:line="303" w:lineRule="auto"/>
        <w:rPr>
          <w:sz w:val="20"/>
          <w:szCs w:val="20"/>
          <w:color w:val="auto"/>
        </w:rPr>
      </w:pPr>
      <w:r>
        <w:rPr>
          <w:rFonts w:ascii="Arial" w:cs="Arial" w:eastAsia="Arial" w:hAnsi="Arial"/>
          <w:sz w:val="15"/>
          <w:szCs w:val="15"/>
          <w:b w:val="1"/>
          <w:bCs w:val="1"/>
          <w:i w:val="1"/>
          <w:iCs w:val="1"/>
          <w:color w:val="auto"/>
        </w:rPr>
        <w:t>Constance Spinozzi v. LendingTree, LLC, No. 3:08-cv-229 (U.S. Dist. Ct., W.D.N.C.); Sylvia Carson v. LendingTree, LLC, No. 3:08-cv-247 (U.S. Dist. Ct., W.D.N.C.); Mitchell v. Home Loan Center, Inc., No. 08-303-RJC (U.S. Dist. Ct., W.D. N.C.); Miller v. LendingTree, LLC, No. 08cv2300 (U.S. Dist. Ct., N.D. Ill.); Marvin Garcia v. LendingTree, LLC, No. 08 Civ. 4551 (U.S. Dist. Ct., S.D.N.Y.); Amy Bercaw v. LendingTree, LLC, No. SACV08-660 (U.S. Dist.</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Ct., C.D. Cal.); Shaver v. LendingTree, LLC, et al., SACV08-755 (U.S. Dist. Ct. C.D. Cal.); and Bradley v. LendingTree, LLC, et al., SACV08-755 (U.S. Dist. Ct. C.D. Cal.). </w:t>
      </w:r>
      <w:r>
        <w:rPr>
          <w:rFonts w:ascii="Arial" w:cs="Arial" w:eastAsia="Arial" w:hAnsi="Arial"/>
          <w:sz w:val="16"/>
          <w:szCs w:val="16"/>
          <w:color w:val="auto"/>
        </w:rPr>
        <w:t xml:space="preserve">The foregoing putative class actions arise out of LendingTree's April 21, 2008 announcement that unauthorized persons had gained access to non-public information relating to its customers. Plaintiffs allege that LendingTree is a "consumer reporting agency" within the meaning of the federal Fair Credit Reporting Act ("FCRA") and has violated FCRA by failing to maintain reasonable procedures designed to limit the furnishing of consumer reports. Plaintiffs also assert claims for negligence, breach of implied contract, invasion of privacy and misappropriation of confidential information. Plaintiffs purport to represent all LendingTree customers affected by the information security breach, and seek damages, attorneys' fees and injunctive relief. The cases were transferred for consistent pre-trial treatment into </w:t>
      </w:r>
      <w:r>
        <w:rPr>
          <w:rFonts w:ascii="Arial" w:cs="Arial" w:eastAsia="Arial" w:hAnsi="Arial"/>
          <w:sz w:val="16"/>
          <w:szCs w:val="16"/>
          <w:i w:val="1"/>
          <w:iCs w:val="1"/>
          <w:color w:val="auto"/>
        </w:rPr>
        <w:t>In re LendingTree, LLC Customer Data Security Breach Litigation</w:t>
      </w:r>
      <w:r>
        <w:rPr>
          <w:rFonts w:ascii="Arial" w:cs="Arial" w:eastAsia="Arial" w:hAnsi="Arial"/>
          <w:sz w:val="16"/>
          <w:szCs w:val="16"/>
          <w:color w:val="auto"/>
        </w:rPr>
        <w:t xml:space="preserve"> in the Western District of NC Charlotte Division, and the court ordered each case to individual arbitration. The </w:t>
      </w:r>
      <w:r>
        <w:rPr>
          <w:rFonts w:ascii="Arial" w:cs="Arial" w:eastAsia="Arial" w:hAnsi="Arial"/>
          <w:sz w:val="16"/>
          <w:szCs w:val="16"/>
          <w:i w:val="1"/>
          <w:iCs w:val="1"/>
          <w:color w:val="auto"/>
        </w:rPr>
        <w:t>Carson</w:t>
      </w:r>
      <w:r>
        <w:rPr>
          <w:rFonts w:ascii="Arial" w:cs="Arial" w:eastAsia="Arial" w:hAnsi="Arial"/>
          <w:sz w:val="16"/>
          <w:szCs w:val="16"/>
          <w:color w:val="auto"/>
        </w:rPr>
        <w:t xml:space="preserve"> case was arbitrated on an individual (non-class) basis and a decision was issued in favor of LendingTree in April 2010. Following this decision, certain of the Plaintiffs in the </w:t>
      </w:r>
      <w:r>
        <w:rPr>
          <w:rFonts w:ascii="Arial" w:cs="Arial" w:eastAsia="Arial" w:hAnsi="Arial"/>
          <w:sz w:val="16"/>
          <w:szCs w:val="16"/>
          <w:i w:val="1"/>
          <w:iCs w:val="1"/>
          <w:color w:val="auto"/>
        </w:rPr>
        <w:t>Bercaw</w:t>
      </w:r>
      <w:r>
        <w:rPr>
          <w:rFonts w:ascii="Arial" w:cs="Arial" w:eastAsia="Arial" w:hAnsi="Arial"/>
          <w:sz w:val="16"/>
          <w:szCs w:val="16"/>
          <w:color w:val="auto"/>
        </w:rPr>
        <w:t xml:space="preserve"> case withdrew their filings. Each of the other cases was dismissed on July 8, 2010. Plaintiff in the </w:t>
      </w:r>
      <w:r>
        <w:rPr>
          <w:rFonts w:ascii="Arial" w:cs="Arial" w:eastAsia="Arial" w:hAnsi="Arial"/>
          <w:sz w:val="16"/>
          <w:szCs w:val="16"/>
          <w:i w:val="1"/>
          <w:iCs w:val="1"/>
          <w:color w:val="auto"/>
        </w:rPr>
        <w:t>Carson</w:t>
      </w:r>
      <w:r>
        <w:rPr>
          <w:rFonts w:ascii="Arial" w:cs="Arial" w:eastAsia="Arial" w:hAnsi="Arial"/>
          <w:sz w:val="16"/>
          <w:szCs w:val="16"/>
          <w:color w:val="auto"/>
        </w:rPr>
        <w:t xml:space="preserve"> case filed an appeal on January 13,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Carolina Mortgage Broker Litigation</w:t>
      </w:r>
    </w:p>
    <w:p>
      <w:pPr>
        <w:spacing w:after="0" w:line="225" w:lineRule="exact"/>
        <w:rPr>
          <w:sz w:val="20"/>
          <w:szCs w:val="20"/>
          <w:color w:val="auto"/>
        </w:rPr>
      </w:pPr>
    </w:p>
    <w:p>
      <w:pPr>
        <w:jc w:val="both"/>
        <w:ind w:right="60" w:firstLine="351"/>
        <w:spacing w:after="0" w:line="309" w:lineRule="auto"/>
        <w:rPr>
          <w:sz w:val="20"/>
          <w:szCs w:val="20"/>
          <w:color w:val="auto"/>
        </w:rPr>
      </w:pPr>
      <w:r>
        <w:rPr>
          <w:rFonts w:ascii="Arial" w:cs="Arial" w:eastAsia="Arial" w:hAnsi="Arial"/>
          <w:sz w:val="15"/>
          <w:szCs w:val="15"/>
          <w:b w:val="1"/>
          <w:bCs w:val="1"/>
          <w:i w:val="1"/>
          <w:iCs w:val="1"/>
          <w:color w:val="auto"/>
        </w:rPr>
        <w:t xml:space="preserve">Adams v. LendingTree, </w:t>
      </w:r>
      <w:r>
        <w:rPr>
          <w:rFonts w:ascii="Arial" w:cs="Arial" w:eastAsia="Arial" w:hAnsi="Arial"/>
          <w:sz w:val="15"/>
          <w:szCs w:val="15"/>
          <w:b w:val="1"/>
          <w:bCs w:val="1"/>
          <w:color w:val="auto"/>
        </w:rPr>
        <w:t>No. 2008-CP-04-03021 (S.C. Common Pleas, 10th Judicial Cir. filed Sept. 9, 2008), No. 8:08-cv-03496-HFF (removed Oct. 15,</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 xml:space="preserve">2008); </w:t>
      </w:r>
      <w:r>
        <w:rPr>
          <w:rFonts w:ascii="Arial" w:cs="Arial" w:eastAsia="Arial" w:hAnsi="Arial"/>
          <w:sz w:val="15"/>
          <w:szCs w:val="15"/>
          <w:b w:val="1"/>
          <w:bCs w:val="1"/>
          <w:i w:val="1"/>
          <w:iCs w:val="1"/>
          <w:color w:val="auto"/>
        </w:rPr>
        <w:t>Ariail v. LendingTree</w:t>
      </w:r>
      <w:r>
        <w:rPr>
          <w:rFonts w:ascii="Arial" w:cs="Arial" w:eastAsia="Arial" w:hAnsi="Arial"/>
          <w:sz w:val="15"/>
          <w:szCs w:val="15"/>
          <w:b w:val="1"/>
          <w:bCs w:val="1"/>
          <w:color w:val="auto"/>
        </w:rPr>
        <w:t>, No. 2008-CP-23-5834 (S.C. Common Pleas, 13th Judicial Cir. filed Aug. 1, 2008), No. 6:08-cv-03044-HFF (removed Sept. 3,</w:t>
      </w:r>
    </w:p>
    <w:p>
      <w:pPr>
        <w:ind w:right="60"/>
        <w:spacing w:after="0" w:line="290" w:lineRule="auto"/>
        <w:rPr>
          <w:sz w:val="20"/>
          <w:szCs w:val="20"/>
          <w:color w:val="auto"/>
        </w:rPr>
      </w:pPr>
      <w:r>
        <w:rPr>
          <w:rFonts w:ascii="Arial" w:cs="Arial" w:eastAsia="Arial" w:hAnsi="Arial"/>
          <w:sz w:val="16"/>
          <w:szCs w:val="16"/>
          <w:b w:val="1"/>
          <w:bCs w:val="1"/>
          <w:color w:val="auto"/>
        </w:rPr>
        <w:t xml:space="preserve">2008); </w:t>
      </w:r>
      <w:r>
        <w:rPr>
          <w:rFonts w:ascii="Arial" w:cs="Arial" w:eastAsia="Arial" w:hAnsi="Arial"/>
          <w:sz w:val="16"/>
          <w:szCs w:val="16"/>
          <w:b w:val="1"/>
          <w:bCs w:val="1"/>
          <w:i w:val="1"/>
          <w:iCs w:val="1"/>
          <w:color w:val="auto"/>
        </w:rPr>
        <w:t>Brackett v. LendingTree,</w:t>
      </w:r>
      <w:r>
        <w:rPr>
          <w:rFonts w:ascii="Arial" w:cs="Arial" w:eastAsia="Arial" w:hAnsi="Arial"/>
          <w:sz w:val="16"/>
          <w:szCs w:val="16"/>
          <w:b w:val="1"/>
          <w:bCs w:val="1"/>
          <w:color w:val="auto"/>
        </w:rPr>
        <w:t xml:space="preserve"> No. 2008-CP-46-3450 (S.C. Common Pleas, 16th Judicial Cir. filed Sept. 4, 2008), No. 0:08-cv-03504-HFF (removed Oct. 15, 2008); </w:t>
      </w:r>
      <w:r>
        <w:rPr>
          <w:rFonts w:ascii="Arial" w:cs="Arial" w:eastAsia="Arial" w:hAnsi="Arial"/>
          <w:sz w:val="16"/>
          <w:szCs w:val="16"/>
          <w:b w:val="1"/>
          <w:bCs w:val="1"/>
          <w:i w:val="1"/>
          <w:iCs w:val="1"/>
          <w:color w:val="auto"/>
        </w:rPr>
        <w:t>Clements v. LendingTree,</w:t>
      </w:r>
      <w:r>
        <w:rPr>
          <w:rFonts w:ascii="Arial" w:cs="Arial" w:eastAsia="Arial" w:hAnsi="Arial"/>
          <w:sz w:val="16"/>
          <w:szCs w:val="16"/>
          <w:b w:val="1"/>
          <w:bCs w:val="1"/>
          <w:color w:val="auto"/>
        </w:rPr>
        <w:t xml:space="preserve"> No. 2008-CP-21-1730 (S.C. Common Pleas, 12th Judicial Cir. filed Sept. 4, 2008), No. 4:08-cv-03508-HFF (removed Oct. 15, 2008); </w:t>
      </w:r>
      <w:r>
        <w:rPr>
          <w:rFonts w:ascii="Arial" w:cs="Arial" w:eastAsia="Arial" w:hAnsi="Arial"/>
          <w:sz w:val="16"/>
          <w:szCs w:val="16"/>
          <w:b w:val="1"/>
          <w:bCs w:val="1"/>
          <w:i w:val="1"/>
          <w:iCs w:val="1"/>
          <w:color w:val="auto"/>
        </w:rPr>
        <w:t>Gowdy v. LendingTree,</w:t>
      </w:r>
      <w:r>
        <w:rPr>
          <w:rFonts w:ascii="Arial" w:cs="Arial" w:eastAsia="Arial" w:hAnsi="Arial"/>
          <w:sz w:val="16"/>
          <w:szCs w:val="16"/>
          <w:b w:val="1"/>
          <w:bCs w:val="1"/>
          <w:color w:val="auto"/>
        </w:rPr>
        <w:t xml:space="preserve"> No. 2008-CP-42-4666 (S.C. Common Pleas, 7th Judicial Cir. filed Sept. 4, 2008), No. 7:08-cv-03495-HFF (removed Oct. 15, 2008); </w:t>
      </w:r>
      <w:r>
        <w:rPr>
          <w:rFonts w:ascii="Arial" w:cs="Arial" w:eastAsia="Arial" w:hAnsi="Arial"/>
          <w:sz w:val="16"/>
          <w:szCs w:val="16"/>
          <w:b w:val="1"/>
          <w:bCs w:val="1"/>
          <w:i w:val="1"/>
          <w:iCs w:val="1"/>
          <w:color w:val="auto"/>
        </w:rPr>
        <w:t>Hembree v. LendingTree,</w:t>
      </w:r>
      <w:r>
        <w:rPr>
          <w:rFonts w:ascii="Arial" w:cs="Arial" w:eastAsia="Arial" w:hAnsi="Arial"/>
          <w:sz w:val="16"/>
          <w:szCs w:val="16"/>
          <w:b w:val="1"/>
          <w:bCs w:val="1"/>
          <w:color w:val="auto"/>
        </w:rPr>
        <w:t xml:space="preserve"> No. 2008-CP-26-7100 (S.C. Common Pleas, 15th Judicial Cir. filed Sept. 8, 2008), No. 4:08-cv-03499-HFF (removed Oct. 15, 2008); </w:t>
      </w:r>
      <w:r>
        <w:rPr>
          <w:rFonts w:ascii="Arial" w:cs="Arial" w:eastAsia="Arial" w:hAnsi="Arial"/>
          <w:sz w:val="16"/>
          <w:szCs w:val="16"/>
          <w:b w:val="1"/>
          <w:bCs w:val="1"/>
          <w:i w:val="1"/>
          <w:iCs w:val="1"/>
          <w:color w:val="auto"/>
        </w:rPr>
        <w:t>Hodge v. LendingTree,</w:t>
      </w:r>
      <w:r>
        <w:rPr>
          <w:rFonts w:ascii="Arial" w:cs="Arial" w:eastAsia="Arial" w:hAnsi="Arial"/>
          <w:sz w:val="16"/>
          <w:szCs w:val="16"/>
          <w:b w:val="1"/>
          <w:bCs w:val="1"/>
          <w:color w:val="auto"/>
        </w:rPr>
        <w:t xml:space="preserve"> No. 2008-CP-13-356 (S.C. Common Pleas, 4th Judicial Cir. filed Sept. 4, 2008), No. 4:08-cv-03507-HFF (removed Oct. 15, 2008); </w:t>
      </w:r>
      <w:r>
        <w:rPr>
          <w:rFonts w:ascii="Arial" w:cs="Arial" w:eastAsia="Arial" w:hAnsi="Arial"/>
          <w:sz w:val="16"/>
          <w:szCs w:val="16"/>
          <w:b w:val="1"/>
          <w:bCs w:val="1"/>
          <w:i w:val="1"/>
          <w:iCs w:val="1"/>
          <w:color w:val="auto"/>
        </w:rPr>
        <w:t>Morgan v. LendingTree,</w:t>
      </w:r>
      <w:r>
        <w:rPr>
          <w:rFonts w:ascii="Arial" w:cs="Arial" w:eastAsia="Arial" w:hAnsi="Arial"/>
          <w:sz w:val="16"/>
          <w:szCs w:val="16"/>
          <w:b w:val="1"/>
          <w:bCs w:val="1"/>
          <w:color w:val="auto"/>
        </w:rPr>
        <w:t xml:space="preserve"> No. 2008-CP-02-1529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b w:val="1"/>
          <w:bCs w:val="1"/>
          <w:color w:val="auto"/>
        </w:rPr>
        <w:t xml:space="preserve">(S.C. Common Pleas, 2nd Judicial Cir. filed Sept. 8, 2008), No. 1:08-cv-03503-HFF (removed Oct. 15, 2008); </w:t>
      </w:r>
      <w:r>
        <w:rPr>
          <w:rFonts w:ascii="Arial" w:cs="Arial" w:eastAsia="Arial" w:hAnsi="Arial"/>
          <w:sz w:val="15"/>
          <w:szCs w:val="15"/>
          <w:b w:val="1"/>
          <w:bCs w:val="1"/>
          <w:i w:val="1"/>
          <w:iCs w:val="1"/>
          <w:color w:val="auto"/>
        </w:rPr>
        <w:t>Stone v. LendingTree,</w:t>
      </w:r>
      <w:r>
        <w:rPr>
          <w:rFonts w:ascii="Arial" w:cs="Arial" w:eastAsia="Arial" w:hAnsi="Arial"/>
          <w:sz w:val="15"/>
          <w:szCs w:val="15"/>
          <w:b w:val="1"/>
          <w:bCs w:val="1"/>
          <w:color w:val="auto"/>
        </w:rPr>
        <w:t xml:space="preserve"> No. 2008-CP-07-03458 (S.C. Common Pleas, 14th Judicial Cir. filed Sept. 8, 2008), No. 9:08-cv-03505-HFF (removed Oct. 15, 2008); </w:t>
      </w:r>
      <w:r>
        <w:rPr>
          <w:rFonts w:ascii="Arial" w:cs="Arial" w:eastAsia="Arial" w:hAnsi="Arial"/>
          <w:sz w:val="15"/>
          <w:szCs w:val="15"/>
          <w:b w:val="1"/>
          <w:bCs w:val="1"/>
          <w:i w:val="1"/>
          <w:iCs w:val="1"/>
          <w:color w:val="auto"/>
        </w:rPr>
        <w:t>Wilson v. LendingTree,</w:t>
      </w:r>
      <w:r>
        <w:rPr>
          <w:rFonts w:ascii="Arial" w:cs="Arial" w:eastAsia="Arial" w:hAnsi="Arial"/>
          <w:sz w:val="15"/>
          <w:szCs w:val="15"/>
          <w:b w:val="1"/>
          <w:bCs w:val="1"/>
          <w:color w:val="auto"/>
        </w:rPr>
        <w:t xml:space="preserve"> No. 2008-CP-10-5451 (S.C. Common Pleas, 9th Judicial Cir. filed Sept. 24, 2008), No. 2:08-cv-03677-HFF (removed Oct. 20, 2008); </w:t>
      </w:r>
      <w:r>
        <w:rPr>
          <w:rFonts w:ascii="Arial" w:cs="Arial" w:eastAsia="Arial" w:hAnsi="Arial"/>
          <w:sz w:val="15"/>
          <w:szCs w:val="15"/>
          <w:b w:val="1"/>
          <w:bCs w:val="1"/>
          <w:i w:val="1"/>
          <w:iCs w:val="1"/>
          <w:color w:val="auto"/>
        </w:rPr>
        <w:t>Giese v. LendingTree</w:t>
      </w:r>
      <w:r>
        <w:rPr>
          <w:rFonts w:ascii="Arial" w:cs="Arial" w:eastAsia="Arial" w:hAnsi="Arial"/>
          <w:sz w:val="15"/>
          <w:szCs w:val="15"/>
          <w:b w:val="1"/>
          <w:bCs w:val="1"/>
          <w:color w:val="auto"/>
        </w:rPr>
        <w:t xml:space="preserve">, No. 2008-CP-40-6714 (S.C. Common Pleas, 5th Judicial Cir. filed Sept. 17, 2008); </w:t>
      </w:r>
      <w:r>
        <w:rPr>
          <w:rFonts w:ascii="Arial" w:cs="Arial" w:eastAsia="Arial" w:hAnsi="Arial"/>
          <w:sz w:val="15"/>
          <w:szCs w:val="15"/>
          <w:b w:val="1"/>
          <w:bCs w:val="1"/>
          <w:i w:val="1"/>
          <w:iCs w:val="1"/>
          <w:color w:val="auto"/>
        </w:rPr>
        <w:t>Myers v. LendingTree</w:t>
      </w:r>
      <w:r>
        <w:rPr>
          <w:rFonts w:ascii="Arial" w:cs="Arial" w:eastAsia="Arial" w:hAnsi="Arial"/>
          <w:sz w:val="15"/>
          <w:szCs w:val="15"/>
          <w:b w:val="1"/>
          <w:bCs w:val="1"/>
          <w:color w:val="auto"/>
        </w:rPr>
        <w:t xml:space="preserve">, No. 2008-CP-32-03841 (S.C. Common Pleas, 11th Judicial Cir. filed Sept. 17, 2008); </w:t>
      </w:r>
      <w:r>
        <w:rPr>
          <w:rFonts w:ascii="Arial" w:cs="Arial" w:eastAsia="Arial" w:hAnsi="Arial"/>
          <w:sz w:val="15"/>
          <w:szCs w:val="15"/>
          <w:b w:val="1"/>
          <w:bCs w:val="1"/>
          <w:i w:val="1"/>
          <w:iCs w:val="1"/>
          <w:color w:val="auto"/>
        </w:rPr>
        <w:t>Pascoe v. LendingTree</w:t>
      </w:r>
      <w:r>
        <w:rPr>
          <w:rFonts w:ascii="Arial" w:cs="Arial" w:eastAsia="Arial" w:hAnsi="Arial"/>
          <w:sz w:val="15"/>
          <w:szCs w:val="15"/>
          <w:b w:val="1"/>
          <w:bCs w:val="1"/>
          <w:color w:val="auto"/>
        </w:rPr>
        <w:t xml:space="preserve">, No. 2008-CP-09-00136 (S.C. Common Pleas, 1st Judicial Cir. filed Sept. 18, 2008); </w:t>
      </w:r>
      <w:r>
        <w:rPr>
          <w:rFonts w:ascii="Arial" w:cs="Arial" w:eastAsia="Arial" w:hAnsi="Arial"/>
          <w:sz w:val="15"/>
          <w:szCs w:val="15"/>
          <w:b w:val="1"/>
          <w:bCs w:val="1"/>
          <w:i w:val="1"/>
          <w:iCs w:val="1"/>
          <w:color w:val="auto"/>
        </w:rPr>
        <w:t>Jackson v. LendingTree,</w:t>
      </w:r>
    </w:p>
    <w:p>
      <w:pPr>
        <w:ind w:right="40"/>
        <w:spacing w:after="0" w:line="234" w:lineRule="auto"/>
        <w:rPr>
          <w:sz w:val="20"/>
          <w:szCs w:val="20"/>
          <w:color w:val="auto"/>
        </w:rPr>
      </w:pPr>
      <w:r>
        <w:rPr>
          <w:rFonts w:ascii="Arial" w:cs="Arial" w:eastAsia="Arial" w:hAnsi="Arial"/>
          <w:sz w:val="18"/>
          <w:szCs w:val="18"/>
          <w:b w:val="1"/>
          <w:bCs w:val="1"/>
          <w:color w:val="auto"/>
        </w:rPr>
        <w:t>No 2009-CP-43-1240 (S.C. Court of Common Pleas,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Judicial Cir., filed June 1, 2009); </w:t>
      </w:r>
      <w:r>
        <w:rPr>
          <w:rFonts w:ascii="Arial" w:cs="Arial" w:eastAsia="Arial" w:hAnsi="Arial"/>
          <w:sz w:val="18"/>
          <w:szCs w:val="18"/>
          <w:b w:val="1"/>
          <w:bCs w:val="1"/>
          <w:i w:val="1"/>
          <w:iCs w:val="1"/>
          <w:color w:val="auto"/>
        </w:rPr>
        <w:t>Barfield v. LendingTree</w:t>
      </w:r>
      <w:r>
        <w:rPr>
          <w:rFonts w:ascii="Arial" w:cs="Arial" w:eastAsia="Arial" w:hAnsi="Arial"/>
          <w:sz w:val="18"/>
          <w:szCs w:val="18"/>
          <w:b w:val="1"/>
          <w:bCs w:val="1"/>
          <w:color w:val="auto"/>
        </w:rPr>
        <w:t xml:space="preserve">, No. 2009-CP-29-780 (S.C. Court of Common Pleas, 6th Judicial Cir., filed June 1, 2009); </w:t>
      </w:r>
      <w:r>
        <w:rPr>
          <w:rFonts w:ascii="Arial" w:cs="Arial" w:eastAsia="Arial" w:hAnsi="Arial"/>
          <w:sz w:val="18"/>
          <w:szCs w:val="18"/>
          <w:b w:val="1"/>
          <w:bCs w:val="1"/>
          <w:i w:val="1"/>
          <w:iCs w:val="1"/>
          <w:color w:val="auto"/>
        </w:rPr>
        <w:t>Peace v. LendingTree</w:t>
      </w:r>
      <w:r>
        <w:rPr>
          <w:rFonts w:ascii="Arial" w:cs="Arial" w:eastAsia="Arial" w:hAnsi="Arial"/>
          <w:sz w:val="18"/>
          <w:szCs w:val="18"/>
          <w:b w:val="1"/>
          <w:bCs w:val="1"/>
          <w:color w:val="auto"/>
        </w:rPr>
        <w:t xml:space="preserve">, No. 2009-CP-24-00801 (S.C. Court of Common Pleas, 8th Judicial Cir., filed June 1, 2009). </w:t>
      </w:r>
      <w:r>
        <w:rPr>
          <w:rFonts w:ascii="Arial" w:cs="Arial" w:eastAsia="Arial" w:hAnsi="Arial"/>
          <w:sz w:val="18"/>
          <w:szCs w:val="18"/>
          <w:color w:val="auto"/>
        </w:rPr>
        <w:t>These sixteen lawsuits were filed between August 1, 2008 and June 1, 2009 by the State of South Carolina, through its various circuit solicitors,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LendingTree. These lawsuits allege that LendingTree failed to provide certain disclosures required by the South Carolina Registration of Mortgage Loan Brokers Act. The complaints seek an award of statutory penalties, forfeiture of all fees paid and recovery of actual costs, including attorneys' fees on behalf of the State.</w:t>
      </w:r>
    </w:p>
    <w:p>
      <w:pPr>
        <w:spacing w:after="0" w:line="213"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6, 2009, the Supreme Court of South Carolina assigned exclusive jurisdiction over these cases and any similar cases that might be subsequently filed in or remanded to the state court system to a single circuit judge to promote the effective and expeditious disposition of the litigation. The judge will supervise and coordinate discovery and dispose of all pretrial motions and other pretrial matters including, where appropriate, motions for summary judgment, but not for trial. The matters remain pending in state court and no trial date has been 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Mortgage Broker Litigation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Lavette Love v. LendingTree, et al., No. 09cv009598 (Milwaukee County Circuit Court, Milwaukee, WI). </w:t>
      </w:r>
      <w:r>
        <w:rPr>
          <w:rFonts w:ascii="Arial" w:cs="Arial" w:eastAsia="Arial" w:hAnsi="Arial"/>
          <w:sz w:val="16"/>
          <w:szCs w:val="16"/>
          <w:color w:val="auto"/>
        </w:rPr>
        <w:t>This putative class action was filed June 24,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Plaintiff, individually and on behalf of all similarly-situated Wisconsin residents, against LendingTree and HLC. The complaint alleged that LendingTree failed to provide certain disclosures required by the Wisconsin Mortgage Broker Act. The complaint requested an award of statutory penalties, forfeiture of all fees paid and recovery of actual costs, including attorneys' fees. To avoid the uncertainties of litigation and avoid further expense, the parties reached a tentative settlement agreement in December 2010 which was filed with the court in January 2011; we are waiting for such agreement to be approved by the court. The Company does not admit any liability as part of such settlement. As part of the settlement, the Company agreed to a conditional certification of this case as a class action. The Company also agreed to pay $0.2 million total to class members who make claims in this litigation which would be divided pro rata among each of the claimants. The Company also agreed not to contest an incentive award application in the amount of $5,000 for named plaintiff and proposed class representative Lavette Love, and not to contest a petition for attorneys' fees, costs and expenses filed by Plaintiff's counsel, so long as this petition does not exceed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31"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LendingTree v. Zillow, Inc., et al. Civil Action No. 3:10-cv-439. </w:t>
      </w:r>
      <w:r>
        <w:rPr>
          <w:rFonts w:ascii="Arial" w:cs="Arial" w:eastAsia="Arial" w:hAnsi="Arial"/>
          <w:sz w:val="16"/>
          <w:szCs w:val="16"/>
          <w:color w:val="auto"/>
        </w:rPr>
        <w:t>On September 8, 2010, the Company filed an action for patent infringement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District Court for the Western District of NC against Zillow, Inc., Nextag, Inc., Quinstreet, Inc., Quinstreet Media, Inc., and Adchemy, Inc. The complaint was amended to include Leadpoint, Inc. d/b/a Securerights on September 24, 2010. The Company alleges that each of the defendants infringe one or both of the Company's patents—U.S. Patent No. 6,385,594, entitled "Method and Computer Network for Co-Ordinating a Loan over the Internet," and U.S. Patent No. 6,611,816, entitled "Method and Computer Network for Co-Ordinating a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over the Internet." Collectively, the asserted patents cover computer hardware and software used in facilitating business between computer users and multiple lenders on the Internet.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Boschma v. Home Loan Center, Inc., No. SACV07-613 (U.S. Dist. Ct., C.D. Cal.). </w:t>
      </w:r>
      <w:r>
        <w:rPr>
          <w:rFonts w:ascii="Arial" w:cs="Arial" w:eastAsia="Arial" w:hAnsi="Arial"/>
          <w:sz w:val="16"/>
          <w:szCs w:val="16"/>
          <w:color w:val="auto"/>
        </w:rPr>
        <w:t>On May 25, 2007, Plaintiffs filed this putative class action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 violations of the federal Truth in Lending Act (the "TILA"), violations of the California Unfair Competition Law ("UCL"),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UCL claims. As with each of the seven previous versions of Plaintiffs' complaint, the Second Amended Complaint was dismissed in April 2010. Plaintiffs appealed and filed their opening brief in November 2010. Company's responsive appellate brief was filed in February 2011.</w:t>
      </w:r>
    </w:p>
    <w:p>
      <w:pPr>
        <w:spacing w:after="0" w:line="18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Gaines v. Home Loan Center, Inc., No. SACV08-667 (U.S. Dist. Ct., C.D. Cal.). </w:t>
      </w:r>
      <w:r>
        <w:rPr>
          <w:rFonts w:ascii="Arial" w:cs="Arial" w:eastAsia="Arial" w:hAnsi="Arial"/>
          <w:sz w:val="16"/>
          <w:szCs w:val="16"/>
          <w:color w:val="auto"/>
        </w:rPr>
        <w:t>On June 13, 2008, Plaintiffs filed this putative class action against HLC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LendingTree in the U.S. District Court for the Central District of California. Plaintiffs allege, in essence, that (1) HLC failed to disclose that the bundled amount for certain loan closing services (called the "TrueCost") that HLC charged to Plaintiffs was greater than HLC's actual costs for those services; (2) HLC's option ARM note failed to tell Plaintiffs that the stated interest rate and payment amounts would change after the first month and that the payment amount stated in the note was not sufficient to pay interest charges, resulting in negative amortization; and (3) HLC misrepresented that Plaintiffs would have to obtain a home equity line of credit in order to obtain a low interest rate on their option ARM loans. Based upon these factual allegations, Plaintiffs assert violations of the federal Racketeer Influenced and Corrupt Organizations Act ("RICO"), the TILA, the California UCL, California Business and Professions Code § 17500, the CLRA, breach of contract, breach of the implied covenant of good faith and fair dealing, unjust enrichment, conversion, and money had and received.</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Plaintiffs purport to represent all HLC customers who, since December 14, 2004 (1) were charged by HLC and paid an amount that exceeded HLC's actual costs for those services; and/or (2) entered into option ARM loan agreements with HLC; and/or (3) were misled into taking out a home equity line of credit along with their option ARM mortgage. Plaintiffs seek restitution, disgorgement, damages, attorneys' fees and injunctive relief.</w:t>
      </w:r>
    </w:p>
    <w:p>
      <w:pPr>
        <w:spacing w:after="0" w:line="16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RICO claim, certain claims alleging problems involving home equity lines of credit and all contract-based claims were dismissed with prejudice in May, 2010. This lawsuit is scheduled for trial in April, 2011.</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Schnee v. LendingTree, LLC and Home Loan Center, Inc., No. 06CC00211 (Cal. Super. Ct., Orange Cty.). </w:t>
      </w:r>
      <w:r>
        <w:rPr>
          <w:rFonts w:ascii="Arial" w:cs="Arial" w:eastAsia="Arial" w:hAnsi="Arial"/>
          <w:sz w:val="16"/>
          <w:szCs w:val="16"/>
          <w:color w:val="auto"/>
        </w:rPr>
        <w:t>On October 11, 2006, four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plaintiffs filed this putative class action against LendingTree and HLC in the California Superior Court for Orange County. Plaintiffs allege that they used the LendingTree.com website to find potential lenders and without their knowledge were referred to LendingTree's direct lender, HLC; that Lending Tree, LLC and HLC did not adequately disclose the relationship between them; and that HLC charged Plaintiffs higher rates and fees than they otherwise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would have been charged. Based upon these allegations, Plaintiffs assert that LendingTree and HLC violated the California UCL, California Business and Professions Code § 17500, and the CLRA. Plaintiffs purport to represent a nationwide class of consumers who sought lender referrals from LendingTree and obtained loans from HLC since December 1, 2004. Plaintiffs seek damages, restitution, attorneys' fees and injunctive relief.</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September 25, 2009, Plaintiffs' motion for class certification was denied in its entirety, which action has been appealed by Plaintiffs. Plaintiffs filed their opening brief in May 2010. HLC filed its reply brief in November 2010. No trial date has been set.</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Mortgage Store, Inc. and Castleview Home Loans, Inc. filed this putative class action against HLC in the California Superior Court for Orange County. Plaintiffs, two former Network Lenders, allege that HLC interfered with LendingTree's contracts with Network Lenders by taking referrals from LendingTree. The complaint is largely based upon the factual allegations made in the </w:t>
      </w:r>
      <w:r>
        <w:rPr>
          <w:rFonts w:ascii="Arial" w:cs="Arial" w:eastAsia="Arial" w:hAnsi="Arial"/>
          <w:sz w:val="16"/>
          <w:szCs w:val="16"/>
          <w:i w:val="1"/>
          <w:iCs w:val="1"/>
          <w:color w:val="auto"/>
        </w:rPr>
        <w:t>Schnee</w:t>
      </w:r>
      <w:r>
        <w:rPr>
          <w:rFonts w:ascii="Arial" w:cs="Arial" w:eastAsia="Arial" w:hAnsi="Arial"/>
          <w:sz w:val="16"/>
          <w:szCs w:val="16"/>
          <w:color w:val="auto"/>
        </w:rPr>
        <w:t xml:space="preserve"> complaint (described above). Based upon these factual allegations, Plaintiffs assert claims for intentional interference with contractual relations, intentional interference with prospective economic advantage, and violation of the UCL and California Business and Professions Code § 17500. Plaintiffs purport to represent all Network Lenders from December 14, 2004 to date, and seek damages, restitution, attorneys' fees, and punitive damages.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Plaintiffs have filed a motion for class certification. This matter is currently scheduled for trial in July, 2011.</w:t>
      </w:r>
    </w:p>
    <w:p>
      <w:pPr>
        <w:spacing w:after="0" w:line="225"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Arizona Attorney General Civil Investigation Demand. </w:t>
      </w:r>
      <w:r>
        <w:rPr>
          <w:rFonts w:ascii="Arial" w:cs="Arial" w:eastAsia="Arial" w:hAnsi="Arial"/>
          <w:sz w:val="16"/>
          <w:szCs w:val="16"/>
          <w:color w:val="auto"/>
        </w:rPr>
        <w:t>On March 30, 2010, HLC received a civil investigative demand from the state of Arizona. HLC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agreed to a voluntary compromise of disputed claims made by the Arizona Attorney General concerning alleged violations of the Arizona Consumer Fraud Act pertaining to marketing of payment option ARM loans made to Arizona consumers from 2005 to 2007. The Arizona Attorney General alleged HLC misrepresented the true nature of monthly payment and mortgage structure for pay option ARMs and did not properly disclose the risks of these products. Arizona uses a "least sophisticated consumer" standard to determine if marketing materials might tend to deceive a consumer. On October 29, 2010, HLC entered into a settlement agreement to settle the matter, without admitting wrongdoing, for $1.2 million plus attorneys' fees and costs.</w:t>
      </w:r>
    </w:p>
    <w:p>
      <w:pPr>
        <w:spacing w:after="0" w:line="17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Banxcorp v. LendingTree, LLC, No. 2:10-cv-02467-SDW-MCA (U.S. Dist. Ct., N.J.). </w:t>
      </w:r>
      <w:r>
        <w:rPr>
          <w:rFonts w:ascii="Arial" w:cs="Arial" w:eastAsia="Arial" w:hAnsi="Arial"/>
          <w:sz w:val="18"/>
          <w:szCs w:val="18"/>
          <w:color w:val="auto"/>
        </w:rPr>
        <w:t>On May 14, 2010, Plaintiff filed this lawsuit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LendingTree, LLC alleging that LendingTree, LLC engaged in antitrust violations, including per se horizontal price fixing. Plaintiff filed a similar case against Bankrate, Inc., in July 2007, alleging, among other things, an antitrust conspiracy between Bankrate and LendingTree. Plaintiff subsequently amended the complaint in June 2010 to add several media entities as defendants and alleged federal and state antitrust violations. All defendants filed motions to dismiss, and in early February 2011, the motions were granted as to the media defendants but denied as to LendingTree, LLC. The case will now proceed to the discovery phase. Plaintiff seeks injunctive relief and statutory damages.</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Removed and Reserved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520"/>
        <w:spacing w:after="0" w:line="50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Registrant's Common Equity and Related Stockholder Matters</w:t>
      </w:r>
    </w:p>
    <w:p>
      <w:pPr>
        <w:spacing w:after="0" w:line="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Tree.com common stock is quoted on the NASDAQ Global Market under the ticker symbol "TREE." The table below sets forth, for the calendar periods indicated, the high and low sales prices per share for Tree.com common stock on the NASDAQ Global Market.</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High</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6.51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r>
      <w:tr>
        <w:trPr>
          <w:trHeight w:val="851"/>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10.83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12.89</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bl>
    <w:p>
      <w:pPr>
        <w:spacing w:after="0" w:line="208"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Company has never declared or paid any cash dividends on its common stock. The Company does not intend to declare or pay any cash dividends on its common stock in the foreseeable future. The declaration, payment and amount of future cash dividends, if any, will be at the discretion of the board of directors.</w:t>
      </w:r>
    </w:p>
    <w:p>
      <w:pPr>
        <w:spacing w:after="0" w:line="11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February 23, 2011, there were approximately 1,176 holders of record of the Company's common stock and the closing price of the common stock was $7.20.</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the year ended December 31, 2010, the Company did not issue or sell any shares of its common stock or other equity securities in transactions that were not registered under the Securities Act of 1933, as amended except as disclosed in the Company's Current Report on Form 8-K filed with the SEC on September 1, 2010.</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the Company's purchases of equity securities during the quarter ended December 31, 2010.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Purchased as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Purchased(1)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25"/>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10/01/10 – 10/31/10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11/01/10 – 11/30/10</w:t>
            </w:r>
          </w:p>
        </w:tc>
        <w:tc>
          <w:tcPr>
            <w:tcW w:w="960" w:type="dxa"/>
            <w:vAlign w:val="bottom"/>
          </w:tcPr>
          <w:p>
            <w:pPr>
              <w:jc w:val="right"/>
              <w:spacing w:after="0"/>
              <w:rPr>
                <w:sz w:val="20"/>
                <w:szCs w:val="20"/>
                <w:color w:val="auto"/>
              </w:rPr>
            </w:pPr>
            <w:r>
              <w:rPr>
                <w:rFonts w:ascii="Arial" w:cs="Arial" w:eastAsia="Arial" w:hAnsi="Arial"/>
                <w:sz w:val="18"/>
                <w:szCs w:val="18"/>
                <w:color w:val="auto"/>
              </w:rPr>
              <w:t>7,907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7,907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12/01/10 – 12/31/10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7.58</w:t>
            </w:r>
          </w:p>
        </w:tc>
        <w:tc>
          <w:tcPr>
            <w:tcW w:w="1560" w:type="dxa"/>
            <w:vAlign w:val="bottom"/>
            <w:gridSpan w:val="2"/>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gridSpan w:val="4"/>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453,609</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453,256</w:t>
            </w:r>
          </w:p>
        </w:tc>
        <w:tc>
          <w:tcPr>
            <w:tcW w:w="2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right="40" w:hanging="531"/>
        <w:spacing w:after="0" w:line="256"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ended December 31, 2010, 373 shares of the Company's common stock were delivered by employees to satisfy federal and state withholding obligations upon the vesting of restricted stock awards granted to those individuals under the Tree.com 2008 Stock and Award Incentive Plan. The withholding of those shares does not affect the dollar amount or number of shares that may be purchased under the publicly announced plans or programs described below.</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11, 2010, the Company announced that its Board of Directors approved a stock repurchase program for an amount up to</w:t>
      </w:r>
    </w:p>
    <w:p>
      <w:pPr>
        <w:spacing w:after="0" w:line="38" w:lineRule="exact"/>
        <w:rPr>
          <w:rFonts w:ascii="Arial" w:cs="Arial" w:eastAsia="Arial" w:hAnsi="Arial"/>
          <w:sz w:val="16"/>
          <w:szCs w:val="16"/>
          <w:color w:val="auto"/>
        </w:rPr>
      </w:pPr>
    </w:p>
    <w:p>
      <w:pPr>
        <w:ind w:left="1680"/>
        <w:spacing w:after="0" w:line="295" w:lineRule="auto"/>
        <w:rPr>
          <w:rFonts w:ascii="Arial" w:cs="Arial" w:eastAsia="Arial" w:hAnsi="Arial"/>
          <w:sz w:val="16"/>
          <w:szCs w:val="16"/>
          <w:color w:val="auto"/>
        </w:rPr>
      </w:pPr>
      <w:r>
        <w:rPr>
          <w:rFonts w:ascii="Arial" w:cs="Arial" w:eastAsia="Arial" w:hAnsi="Arial"/>
          <w:sz w:val="16"/>
          <w:szCs w:val="16"/>
          <w:color w:val="auto"/>
        </w:rPr>
        <w:t>$10 million. The program authorizes repurchases of common shares in the open market or through privately-negotiated transactions. The Company began this program in February 2010 and expects to use available cash to finance these repurchases. It will determine the timing and amount of such repurchases based on its evaluation of market conditions, applicable SEC guidelines and regulations, and other factors. This program may be suspended or discontinued at any time at the discretion of the Board of Directors.</w:t>
      </w:r>
    </w:p>
    <w:p>
      <w:pPr>
        <w:spacing w:after="0" w:line="182" w:lineRule="exact"/>
        <w:rPr>
          <w:rFonts w:ascii="Arial" w:cs="Arial" w:eastAsia="Arial" w:hAnsi="Arial"/>
          <w:sz w:val="16"/>
          <w:szCs w:val="16"/>
          <w:color w:val="auto"/>
        </w:rPr>
      </w:pPr>
    </w:p>
    <w:p>
      <w:pPr>
        <w:ind w:left="1680" w:hanging="531"/>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18, 2010, the Company announced it had commenced a modified "Dutch auction" tender offer to repurchase up to</w:t>
      </w:r>
    </w:p>
    <w:p>
      <w:pPr>
        <w:spacing w:after="0" w:line="38" w:lineRule="exact"/>
        <w:rPr>
          <w:rFonts w:ascii="Arial" w:cs="Arial" w:eastAsia="Arial" w:hAnsi="Arial"/>
          <w:sz w:val="16"/>
          <w:szCs w:val="16"/>
          <w:color w:val="auto"/>
        </w:rPr>
      </w:pPr>
    </w:p>
    <w:p>
      <w:pPr>
        <w:ind w:left="1680" w:right="100"/>
        <w:spacing w:after="0" w:line="302" w:lineRule="auto"/>
        <w:rPr>
          <w:rFonts w:ascii="Arial" w:cs="Arial" w:eastAsia="Arial" w:hAnsi="Arial"/>
          <w:sz w:val="16"/>
          <w:szCs w:val="16"/>
          <w:color w:val="auto"/>
        </w:rPr>
      </w:pPr>
      <w:r>
        <w:rPr>
          <w:rFonts w:ascii="Arial" w:cs="Arial" w:eastAsia="Arial" w:hAnsi="Arial"/>
          <w:sz w:val="16"/>
          <w:szCs w:val="16"/>
          <w:color w:val="auto"/>
        </w:rPr>
        <w:t>$15.0 million of its common stock for cash. The Company used available cash to finance these repurchases. The Company suspended its stock repurchase program described above prior to the commencement of the tender offer. Pursuant to the tender offer, the Company purchased 312,339 shares of its common stock at a price of $7.75 per share. The tender offer expired December 17, 2010.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HISTORICAL FINANCIAL DATA</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following table presents summary selected historical consolidated financial information for Tree.com, Inc. This data was derived, in part, from the historical consolidated financial statements of Tree.com included elsewhere herein and reflects the consolidated operations and financial position of Tree.com at the dates and for the periods indicated. The information in this table should be read in conjunction with the consolidated financial statements and accompanying notes and other financial data pertaining to Tree.com included herein. However, this information does not necessarily reflect what the historical financial position and results of operations of Tree.com for periods prior to the spin-off would have been had Tree.com been a stand-alone company during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1"/>
              </w:rPr>
              <w:t>2010(1)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9"/>
              </w:rPr>
              <w:t>2008(3)</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2007(4)</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1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198,181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6"/>
              </w:rPr>
              <w:t>$  216,775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228,572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346,378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476,478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(18,056)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(24,313)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(215,030)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(540,440)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(17,585)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(24,474)</w:t>
            </w:r>
          </w:p>
        </w:tc>
        <w:tc>
          <w:tcPr>
            <w:tcW w:w="1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(202,276)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(550,402)</w:t>
            </w:r>
          </w:p>
        </w:tc>
        <w:tc>
          <w:tcPr>
            <w:tcW w:w="800" w:type="dxa"/>
            <w:vAlign w:val="bottom"/>
          </w:tcPr>
          <w:p>
            <w:pPr>
              <w:jc w:val="right"/>
              <w:spacing w:after="0"/>
              <w:rPr>
                <w:sz w:val="20"/>
                <w:szCs w:val="20"/>
                <w:color w:val="auto"/>
              </w:rPr>
            </w:pPr>
            <w:r>
              <w:rPr>
                <w:rFonts w:ascii="Arial" w:cs="Arial" w:eastAsia="Arial" w:hAnsi="Arial"/>
                <w:sz w:val="18"/>
                <w:szCs w:val="18"/>
                <w:color w:val="auto"/>
              </w:rPr>
              <w:t>8,693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(loss) income per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(57.93)</w:t>
            </w: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840" w:type="dxa"/>
            <w:vAlign w:val="bottom"/>
            <w:gridSpan w:val="2"/>
          </w:tcPr>
          <w:p>
            <w:pPr>
              <w:jc w:val="right"/>
              <w:ind w:right="18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60,949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66,279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(7,380) $</w:t>
            </w:r>
          </w:p>
        </w:tc>
        <w:tc>
          <w:tcPr>
            <w:tcW w:w="800" w:type="dxa"/>
            <w:vAlign w:val="bottom"/>
          </w:tcPr>
          <w:p>
            <w:pPr>
              <w:jc w:val="right"/>
              <w:spacing w:after="0"/>
              <w:rPr>
                <w:sz w:val="20"/>
                <w:szCs w:val="20"/>
                <w:color w:val="auto"/>
              </w:rPr>
            </w:pPr>
            <w:r>
              <w:rPr>
                <w:rFonts w:ascii="Arial" w:cs="Arial" w:eastAsia="Arial" w:hAnsi="Arial"/>
                <w:sz w:val="18"/>
                <w:szCs w:val="18"/>
                <w:color w:val="auto"/>
              </w:rPr>
              <w:t>79,463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282,802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443,587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1,261,045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Long-term obligations, net of current maturities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101,821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138,128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214,624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773,453</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40" w:hanging="531"/>
        <w:spacing w:after="0" w:line="332"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loss in 2010 includes impairment charges of $1.3 million and $9.0 million related to goodwill and trademarks, respectively, and are related to the Real Estate segment. In addition, there were impairment charges of $0.5 million related to trademarks in the Exchanges.</w:t>
      </w:r>
    </w:p>
    <w:p>
      <w:pPr>
        <w:spacing w:after="0" w:line="166" w:lineRule="exact"/>
        <w:rPr>
          <w:rFonts w:ascii="Arial" w:cs="Arial" w:eastAsia="Arial" w:hAnsi="Arial"/>
          <w:sz w:val="16"/>
          <w:szCs w:val="16"/>
          <w:color w:val="auto"/>
        </w:rPr>
      </w:pPr>
    </w:p>
    <w:p>
      <w:pPr>
        <w:ind w:left="1680" w:right="320" w:hanging="531"/>
        <w:spacing w:after="0" w:line="298"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loss in 2009 includes impairment charges of $3.9 million related to definite-lived intangible assets within the new homes referral service business of Real Estate. In addition, 2009 impairment charges of $0.5 million and $1.7 million related to trademarks with the Exchanges and Real Estate, respectively. Tree.com also recorded a $12.8 million charge related to litigation matters that negatively impacted 2009 operating loss. The $12.8 million liability was paid in 2010.</w:t>
      </w:r>
    </w:p>
    <w:p>
      <w:pPr>
        <w:spacing w:after="0" w:line="180" w:lineRule="exact"/>
        <w:rPr>
          <w:rFonts w:ascii="Arial" w:cs="Arial" w:eastAsia="Arial" w:hAnsi="Arial"/>
          <w:sz w:val="16"/>
          <w:szCs w:val="16"/>
          <w:color w:val="auto"/>
        </w:rPr>
      </w:pPr>
    </w:p>
    <w:p>
      <w:pPr>
        <w:ind w:left="1680" w:right="100" w:hanging="531"/>
        <w:spacing w:after="0" w:line="298"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loss in 2008 includes impairment charges of $131.0 million and $33.4 million related to goodwill and an indefinite- 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80" w:lineRule="exact"/>
        <w:rPr>
          <w:rFonts w:ascii="Arial" w:cs="Arial" w:eastAsia="Arial" w:hAnsi="Arial"/>
          <w:sz w:val="16"/>
          <w:szCs w:val="16"/>
          <w:color w:val="auto"/>
        </w:rPr>
      </w:pPr>
    </w:p>
    <w:p>
      <w:pPr>
        <w:ind w:left="1680" w:right="40" w:hanging="531"/>
        <w:spacing w:after="0" w:line="306"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loss in 2007 includes impairment charges of $459.5 million and $16.2 million related to goodwill and an indefinite-lived intangible asset, respectively. The charge related to LendingTree Loans was a goodwill impairment charge of $45.6 million. The charges associated with the Exchanges were $413.9 million related to goodwill and $16.2 million related to an indefinite-lived intangible asset.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Tree.com is the parent of LendingTree, LLC, which owns several brands and businesses that provide information, tools, advice, products and services for critical transactions in our customers' lives. Our family of brands includes: LendingTree.com®, GetSmart.com®, RealEstate.com®, DegreeTree.com®, HealthTree.com®, LendingTreeAutos.com, DoneRight.com®, and InsuranceTree.com®. Together, these brands serve as an ally for consumers who are looking to comparison shop for loans, real estate and other services from multiple businesses and professionals who will compete for their business.</w:t>
      </w:r>
    </w:p>
    <w:p>
      <w:pPr>
        <w:spacing w:after="0" w:line="16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 Additionally, certain shared indirect costs that are described below are reported as "Unallocated—Corporate."</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expenses such as finance, legal, executive, technology support, and human resources, as well as elimination of inter-segment revenue and costs.</w:t>
      </w:r>
    </w:p>
    <w:p>
      <w:pPr>
        <w:spacing w:after="0" w:line="161"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LendingTree Loans segment originates, processes, approves and funds various residential real estate loans through Home Loan Center, Inc., dba LendingTree Loans ("HLC"). The HLC and LendingTree Loans brand names are collectively referred to in this report as "LendingTree Loans."</w:t>
      </w:r>
    </w:p>
    <w:p>
      <w:pPr>
        <w:spacing w:after="0" w:line="13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that connect consumers and service providers principally in the lending, higher education, home services, insurance and automobile marketplaces.</w:t>
      </w:r>
    </w:p>
    <w:p>
      <w:pPr>
        <w:spacing w:after="0" w:line="186"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 xml:space="preserve">The Real Estate segment consists of a proprietary full-service real estate brokerage (RealEstate.com, REALTORS®) that operates in 20 U.S. markets as of December 31, 2010, as well as an online lead generation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third party real estate brokerages around the country. In January and February of 2011, the Company closed 5 brokerage markets that were unprofitable, and we anticipate closing 2 additional unprofitable brokerage markets in March 2011. The Company is continuing to evaluate the future profitability of all brokerage markets as part of aligning our cost structure with revenue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 Mortgage Banking Trends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Interest rate and market risk can be substantial in the mortgage business. Fluctuations in interest rates drive consumer demand for new mortgages and the level of refinancing activity, which in turn affects total revenue from the origination and sale of loans. Typically, a decline in mortgage interest rates will lead to an increase in mortgage originations and revenue, and an increase in mortgage interest rates will lead to a decrease in mortgage originations and revenue.</w:t>
      </w:r>
    </w:p>
    <w:p>
      <w:pPr>
        <w:spacing w:after="0" w:line="16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Mortgage rates began 2010 slightly above 5.0%, and fluctuated very little through May, but then declined to 4.2% by November. Then in the last two months of 2010, mortgage rates swiftly increased to 5.0% by year-end, and mortgage applications dropped off significantly in December 2010 as a result. Most economic forecasts also predict an increase in mortgage rates of another 0.50% throughout 2011.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Estate Market</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Declines in the housing market since 2008 have impacted various aspects of our businesses. In particular, revenue from the Real Estate segment decreased in 2010 and 2009 from previous years as a result of fewer real estate transactions and lower sales prices. Further, revenues for the LendingTree Loans and Exchange segments have been impacted by falling home prices and increased foreclosures.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revenues have declined the Company has focused on expense savings and is taking various initiatives to reduce costs. During the first quarter of 2011, the Company commenced a voluntary severance plan for certain corporate employees and conducted a reduction in force at HLC. In addition, the Company intends to cut certain ineffective marketing costs. The Company is seeking to set expenses consistent with its reduced revenues.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SurePoint Acquisition</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November 2010, LendingTree Loans entered into an agreement to purchase certain assets and liabilities of SurePoint. SurePoint has been a Network Lender for more than 11 years and was named the number one refinance lender on the LendingTree network in 2009. SurePoint has nearly 500 employees, including more than 300 licensed loan officers. Under the terms of the agreement, LendingTree Loans will make an initial payment of approximately $6 million in cash upon the closing of the transaction and will make contingent consideration payments on an annual basis for the next thirty-six months based on LendingTree Loans' pre-tax net income derived from the assets acquired. The aggregate purchase price, including the initial payment and contingent consideration, will not exceed $23 million. The transaction is projected to close in March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2010, 2009 and 2008: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86"/>
              </w:rPr>
              <w:t>Years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2"/>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113,425</w:t>
            </w:r>
          </w:p>
        </w:tc>
        <w:tc>
          <w:tcPr>
            <w:tcW w:w="1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3,105</w:t>
            </w:r>
          </w:p>
        </w:tc>
        <w:tc>
          <w:tcPr>
            <w:tcW w:w="16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110,320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21,352</w:t>
            </w:r>
          </w:p>
        </w:tc>
        <w:tc>
          <w:tcPr>
            <w:tcW w:w="1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c>
          <w:tcPr>
            <w:tcW w:w="640" w:type="dxa"/>
            <w:vAlign w:val="bottom"/>
          </w:tcPr>
          <w:p>
            <w:pPr>
              <w:jc w:val="right"/>
              <w:spacing w:after="0"/>
              <w:rPr>
                <w:sz w:val="20"/>
                <w:szCs w:val="20"/>
                <w:color w:val="auto"/>
              </w:rPr>
            </w:pPr>
            <w:r>
              <w:rPr>
                <w:rFonts w:ascii="Arial" w:cs="Arial" w:eastAsia="Arial" w:hAnsi="Arial"/>
                <w:sz w:val="18"/>
                <w:szCs w:val="18"/>
                <w:color w:val="auto"/>
              </w:rPr>
              <w:t>88,968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Total LendingTree Loans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124,180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6,510</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117,670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19,741</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3,886</w:t>
            </w:r>
          </w:p>
        </w:tc>
        <w:tc>
          <w:tcPr>
            <w:tcW w:w="16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(12,904)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(14,933)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Total Exchanges</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60,118</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(10,542)</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70,660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(25,262)</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(14,362)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1,206</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198,181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(18,594)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Revenue from LendingTree Loans increased only slightly in 2010 from 2009. Both the number of closed loans and the dollar value of closed loans decreased by 2% in 2010, and the average loan amount was flat year-over-year. An increase of 3% in the revenue generated per funded loan offset the declines noted above. LendingTree Loans was able to increase pricing in certain areas as the supply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qualified consumers was at or near capacity for much of 2010. The increased pricing combined with the high numbers of leads caused revenue to be higher than in 2009. In addition, the provision for previously sold loans, which is recorded as reduction of revenue, decreased $4.0 million in 2010 from 2009 to $12.4 million. In 2009, the provision included the loan loss settlements with two buyers of previously purchased limited documentation loans.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Revenue from LendingTree Loans increased in 2009 from 2008 primarily due to an increase in the number of loans sold, up 21% over 2008, and a 4% increase in the average loan amount originated. The number of loans sold increased primarily due to a historically low mortgage interest rate environment that began late in the fourth quarter of 2008 and continued through the first half of 2009, which increased the number of consumers seeking a loan and increased their propensity to close a loan. The average loan amount increased over 2008, reflecting a higher percentage of refinance loans which carried a higher average loan amount than the purchase loans in 2009. Offsetting these increases, in part, was a higher charge to the provision for previously sold loans. The provision increased from $1.3 million in 2008 to $16.4 million in 2009, reflecting an increase in 2009 in the quantity and amount of losses realized for representation and warranty issues related primarily to second lien position loans previously sold from 2005 through 2007. The Company attributes the increased loan loss experience to relatively higher levels of borrower defaults on loans from that period which were originated with lower underwriting standards (such as stated income, a practice that was discontinued in late 2007).</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(Dollars in millions)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Purchase mortgages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12%, 11% and 5% of Tree.com's consolidated revenue for the years ended December 31, 2010, 2009, and 2008, respectively.</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Revenue from the Exchanges in 2010 declined from 2009 primarily due to fewer loan requests from consumers, resulting in fewer matched requests and fewer loans closed through Network Lenders. Overall, matched requests for 2010 declined 12% from 2009, which reflects a decline of 39% in home loan matches offset by an increase of 65% in matches for the new consumer vertical areas of higher education, home services, insurance, and automobile. Home loan matches were down because of the expansion of volume taken by LendingTree Loans and many lenders experiencing their own high levels of organic lead volume during the low interest rate environment in 2010. Matches in new consumer verticals have grown as a result of both business acquisitions completed in 2009 and increased marketing spending. The overall impact on match fees was an increase of 9%, reflecting a shift in pricing on home loan related matches to increase the average match fee (and decrease the average close loan fee). Also impacting the revenue from closed loan fees was a 31% decline in closed units in the period as a result of the decline in matched loan requests.</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Revenue from the Exchanges in 2009 declined from 2008 primarily due to fewer loan requests from consumers, resulting in fewer matched requests and fewer loans closed through Network Lenders. Due to five Federal Reserve interest rate cuts during the first quarter of 2008, significant consumer refinance demand was stimulated on our network in the early part of 2008. Although mortgage rates remained near historical lows in 2009, matched requests in 2009 were still down 25% from the peak levels in 2008. As a result of fewer matched requests, closed loan units through the Exchange also declined, resulting in 34% lower closed loan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8"/>
              </w:rPr>
              <w:t>(Dollars in millions)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(2,798)</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Purchase mortgages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0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(37)%</w:t>
            </w:r>
          </w:p>
        </w:tc>
        <w:tc>
          <w:tcPr>
            <w:tcW w:w="2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(3,528)</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(2,678)</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12,568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Real Estate revenue in 2010 and 2009 decreased from the previous years principally due to a decrease in closings each year due to the persistent negative real estate market conditions contributing to lower home sales prices and fewer real estate transactions overall. The dollar value of the Company's real estate closings decreased 51% in 2010, from $1.2 billion in 2009 to $0.6 billion in 2010, and decreased 35% in 2009, from $1.9 billion in 2008 to $1.2 billion in 2009. The number of agents working for our company-owned brokerage remained constant from 2008 to 2009 at approximately 1,200, but decreased in 2010 to approximately 650. The company-owned brokerage also operated in 20 markets in 2010, 2009 and 2008.</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gridSpan w:val="5"/>
          </w:tcPr>
          <w:p>
            <w:pPr>
              <w:jc w:val="right"/>
              <w:ind w:right="12"/>
              <w:spacing w:after="0" w:line="142" w:lineRule="exact"/>
              <w:rPr>
                <w:sz w:val="20"/>
                <w:szCs w:val="20"/>
                <w:color w:val="auto"/>
              </w:rPr>
            </w:pPr>
            <w:r>
              <w:rPr>
                <w:rFonts w:ascii="Arial" w:cs="Arial" w:eastAsia="Arial" w:hAnsi="Arial"/>
                <w:sz w:val="14"/>
                <w:szCs w:val="14"/>
                <w:b w:val="1"/>
                <w:bCs w:val="1"/>
                <w:color w:val="auto"/>
                <w:w w:val="79"/>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8"/>
              </w:rPr>
              <w:t>(10)%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48,998</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44,405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Exchanges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w w:val="99"/>
              </w:rPr>
              <w:t>(25)%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(3,013)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(50)%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21,293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Unallocated—corporate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w w:val="99"/>
              </w:rPr>
              <w:t>(72)%</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58,064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(16,696)</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8"/>
              </w:rPr>
              <w:t>(22)%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74,760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76,797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360" w:type="dxa"/>
            <w:vAlign w:val="bottom"/>
            <w:gridSpan w:val="2"/>
          </w:tcPr>
          <w:p>
            <w:pPr>
              <w:spacing w:after="0"/>
              <w:rPr>
                <w:sz w:val="20"/>
                <w:szCs w:val="20"/>
                <w:color w:val="auto"/>
              </w:rPr>
            </w:pPr>
            <w:r>
              <w:rPr>
                <w:rFonts w:ascii="Arial" w:cs="Arial" w:eastAsia="Arial" w:hAnsi="Arial"/>
                <w:sz w:val="18"/>
                <w:szCs w:val="18"/>
                <w:color w:val="auto"/>
                <w:w w:val="89"/>
              </w:rPr>
              <w:t>As a percentage of total revenue</w:t>
            </w:r>
          </w:p>
        </w:tc>
        <w:tc>
          <w:tcPr>
            <w:tcW w:w="2720" w:type="dxa"/>
            <w:vAlign w:val="bottom"/>
          </w:tcPr>
          <w:p>
            <w:pPr>
              <w:jc w:val="right"/>
              <w:ind w:right="1332"/>
              <w:spacing w:after="0"/>
              <w:rPr>
                <w:sz w:val="20"/>
                <w:szCs w:val="20"/>
                <w:color w:val="auto"/>
              </w:rPr>
            </w:pPr>
            <w:r>
              <w:rPr>
                <w:rFonts w:ascii="Arial" w:cs="Arial" w:eastAsia="Arial" w:hAnsi="Arial"/>
                <w:sz w:val="18"/>
                <w:szCs w:val="18"/>
                <w:color w:val="auto"/>
              </w:rPr>
              <w:t>29%</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44"/>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 a Percentage of Segment Revenue</w:t>
            </w:r>
          </w:p>
        </w:tc>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2720" w:type="dxa"/>
            <w:vAlign w:val="bottom"/>
          </w:tcPr>
          <w:p>
            <w:pPr>
              <w:spacing w:after="0"/>
              <w:rPr>
                <w:sz w:val="18"/>
                <w:szCs w:val="18"/>
                <w:color w:val="auto"/>
              </w:rPr>
            </w:pP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7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15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revenue in 2010 decreased from 2009 primarily due to decreases of $7.7 million in costs associated with originations at LendingTree Loans,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$7.3 million in reduced real estate commissions related to fewer closings in Real Estate, $2.2 million in consumer incentive rebates related to fewer closings at the Exchanges and in Real Estate, and $0.6 million in compensation and other employee-related costs. The decreases in the cost of loan originations are primarily due to a change in the fee structure in October 2009 whereby the origination fee charged to the borrower was reduced and no longer covered certain origination costs that were previously paid and recorded as expense by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LendingTree Loans. Under the current fee structure, these origination costs are passed through to the borrower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Offsetting these decreases in cost of revenue was an increase of $0.6 million in the cost of credit scoring and licensing fees.</w:t>
      </w:r>
    </w:p>
    <w:p>
      <w:pPr>
        <w:spacing w:after="0" w:line="225"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Cost of revenue in 2009 decreased from 2008 primarily due to decreases of $5.8 million in consumer incentive rebates related to fewer closings at the Exchanges and in Real Estate, $3.2 million in compensation and other employee-related costs and $1.6 million related to closing the settlement services operations in the fourth quarter of 2008. The decrease in compensation and other employee-related costs reflects the combination of reduced personnel costs associated with Tree.com's customer call center, settlement services operation and portions of its loan processing department, offset by an increase in commissions paid to loan officers at LendingTree Loans due to higher loan originations.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Offsetting these decreases in cost of revenue was an increase of $6.3 million in costs associated with loan originations in LendingTree Loans and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 million increase in commissions paid to real estate agents. The increase in loan origination costs corresponds to the increases in both revenue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origination and sales of loans and the dollar value of loans closed directly by LendingTree Loans. The increase in commissions paid to real estate agents both 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dollars and as a percentage of revenue is primarily due to an increase in the number of closings from agent-generated leads compared to closings from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generated leads. Commissions paid to agents for closings from self-generated leads are typically paid out at a higher percentage of revenue than closings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company-generated leads.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11,921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10,227</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50,045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3,035</w:t>
            </w:r>
          </w:p>
        </w:tc>
        <w:tc>
          <w:tcPr>
            <w:tcW w:w="160" w:type="dxa"/>
            <w:vAlign w:val="bottom"/>
          </w:tcPr>
          <w:p>
            <w:pPr>
              <w:spacing w:after="0"/>
              <w:rPr>
                <w:sz w:val="18"/>
                <w:szCs w:val="18"/>
                <w:color w:val="auto"/>
              </w:rPr>
            </w:pP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47,010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(23,459)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70,469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Inter-segment marketing</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4"/>
              </w:rPr>
              <w:t>Selling and marketing expense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12,117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61,957</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w w:val="89"/>
              </w:rPr>
              <w:t>As a percentage of total revenue</w:t>
            </w: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844"/>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 a Percentage of Segment Revenue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During the third quarter of 2010, the Company changed its accounting policy for inter-segment revenue and inter-segment marketing expense between the LendingTree Loans and Exchanges segments. This change only impacts the individual segment results, and does not impact the consolidated financial results of Tree.com.</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Marketing expense for the Exchanges is primarily related to the building and maintaining of the Company's core brands, using both online and offline spending, and generates leads not only for the Exchanges but for other segments as well. Previously, marketing expense for LendingTree Loans was primarily comprised of inter-segment purchases of leads from the Exchanges, leveraging the LendingTree and GetSmart brands. The Exchanges received inter-segment revenue for the sale of these leads, and that revenue and the related marketing expense at LendingTree Loans would then be eliminated in consolidation of the total Company results. Advertising for Real Estate primarily consists of lead generation through online spending, as well as lead purchases from Exchanges.</w:t>
      </w:r>
    </w:p>
    <w:p>
      <w:pPr>
        <w:spacing w:after="0" w:line="15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now uses a cost sharing approach for these marketing expenses, whereby LendingTree Loans and the Exchanges share the marketing expense on a pro rata basis, based on the quantity of leads received by each segment. There is no longer inter-segment revenue or inter-segment marketing expense between these two segments related to these leads. Management believes that this cost sharing approach is preferable because it more closely aligns the overall goals of the Company with the goals of segment management, and may ultimately drive the Company to better performance.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reporting results for prior periods have been restated to conform to the new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gridSpan w:val="7"/>
          </w:tcPr>
          <w:p>
            <w:pPr>
              <w:jc w:val="right"/>
              <w:ind w:right="700"/>
              <w:spacing w:after="0" w:line="142" w:lineRule="exact"/>
              <w:rPr>
                <w:sz w:val="20"/>
                <w:szCs w:val="20"/>
                <w:color w:val="auto"/>
              </w:rPr>
            </w:pPr>
            <w:r>
              <w:rPr>
                <w:rFonts w:ascii="Arial" w:cs="Arial" w:eastAsia="Arial" w:hAnsi="Arial"/>
                <w:sz w:val="14"/>
                <w:szCs w:val="14"/>
                <w:b w:val="1"/>
                <w:bCs w:val="1"/>
                <w:color w:val="auto"/>
                <w:w w:val="82"/>
              </w:rPr>
              <w:t>(Dollars in thousands)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47,244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10,678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36,566</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(20,158)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56,724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Broadcast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15,921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14,760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(10,934)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w:t>
            </w:r>
          </w:p>
        </w:tc>
        <w:tc>
          <w:tcPr>
            <w:tcW w:w="2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69,790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11,904</w:t>
            </w:r>
          </w:p>
        </w:tc>
        <w:tc>
          <w:tcPr>
            <w:tcW w:w="108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57,886</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(32,430)</w:t>
            </w: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overall increase in advertising expense from 2009 to 2010 is due to several factors. In 2009, Exchanges was able to decrease advertising spending as it experienced naturally higher consumer demand that was driven by the lower mortgage interest rate environment and improvements in organic traffic. Also, LendingTree Loans received "overflow" leads during the early part of 2009 from a partner whose volume of leads exceeded its capacity. While overall mortgage interest rates remained low in 2010, there was not the significant and swift decline in rates as in 2009 that captured the attention of the consumer, so Exchanges responded by increasing advertising spending by 21% and generated a lower quantity of matched requests (a 12% decrease from the same period in 2009). This resulted in marketing expense as a percentage of revenue returning to a more normalized level of 37% in 2010. This increase also directly impacts the allocated cost per lead for LendingTree Loans, which is reflected in the increase in marketing expense for that segment in the table above.</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2009, the decline in advertising expense compared to 2008 levels, both in dollars and as a percentage of revenue, was related to a decrease in the cost per lead acquired for LendingTree Loans because of the overflow volume noted above. The Exchanges segment also experienced a decline in its expense due to naturally higher consumer demand driven by the favorable mortgage rate trends and improvements in organic traffic.</w:t>
      </w:r>
    </w:p>
    <w:p>
      <w:pPr>
        <w:spacing w:after="0" w:line="16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expense will continue to represent a high percentage of revenue as it continues to promote its brands both online and offline.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5"/>
          </w:tcPr>
          <w:p>
            <w:pPr>
              <w:jc w:val="right"/>
              <w:ind w:right="12"/>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20,374</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15,308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19,598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26,744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27,361</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7"/>
              </w:rPr>
              <w:t>General and administrative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64,901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72,932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360" w:type="dxa"/>
            <w:vAlign w:val="bottom"/>
            <w:gridSpan w:val="2"/>
          </w:tcPr>
          <w:p>
            <w:pPr>
              <w:spacing w:after="0"/>
              <w:rPr>
                <w:sz w:val="20"/>
                <w:szCs w:val="20"/>
                <w:color w:val="auto"/>
              </w:rPr>
            </w:pPr>
            <w:r>
              <w:rPr>
                <w:rFonts w:ascii="Arial" w:cs="Arial" w:eastAsia="Arial" w:hAnsi="Arial"/>
                <w:sz w:val="18"/>
                <w:szCs w:val="18"/>
                <w:color w:val="auto"/>
                <w:w w:val="89"/>
              </w:rPr>
              <w:t>As a percentage of total revenue</w:t>
            </w:r>
          </w:p>
        </w:tc>
        <w:tc>
          <w:tcPr>
            <w:tcW w:w="2720" w:type="dxa"/>
            <w:vAlign w:val="bottom"/>
          </w:tcPr>
          <w:p>
            <w:pPr>
              <w:jc w:val="right"/>
              <w:ind w:right="1292"/>
              <w:spacing w:after="0"/>
              <w:rPr>
                <w:sz w:val="20"/>
                <w:szCs w:val="20"/>
                <w:color w:val="auto"/>
              </w:rPr>
            </w:pPr>
            <w:r>
              <w:rPr>
                <w:rFonts w:ascii="Arial" w:cs="Arial" w:eastAsia="Arial" w:hAnsi="Arial"/>
                <w:sz w:val="18"/>
                <w:szCs w:val="18"/>
                <w:color w:val="auto"/>
              </w:rPr>
              <w:t>28%</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844"/>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 a Percentage of Segment Revenue</w:t>
            </w:r>
          </w:p>
        </w:tc>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2720" w:type="dxa"/>
            <w:vAlign w:val="bottom"/>
          </w:tcPr>
          <w:p>
            <w:pPr>
              <w:spacing w:after="0"/>
              <w:rPr>
                <w:sz w:val="18"/>
                <w:szCs w:val="18"/>
                <w:color w:val="auto"/>
              </w:rPr>
            </w:pP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7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General and administrative expense in 2010 decreased from 2009, reflecting a $4.1 million reduction in compensation and other employee-related costs (excluding non-cash compensation) as a result of prior restructuring activities, a $2.7 million decrease in professional fees, a $1.2 million decrease in facilities costs due to occupying fewer facilities, a $1.1 million reduction of expense related to post acquisition adjustments, and a $0.8 million reduction in the loss on sales of fixed assets. The post acquisition adjustments are a result of the change in fair value of the estimated contingent consideration to be paid for business acquisitions that were completed in 2009. These adjustments are shown as a reduction of expense within general and administrative expense, but are excluded from our definition of Adjusted EBITDA.</w:t>
      </w:r>
    </w:p>
    <w:p>
      <w:pPr>
        <w:spacing w:after="0" w:line="17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General and administrative expense within the LendingTree Loans segment in 2010 increased primarily due to increases of $2.0 million in compensation and other employee-related costs (excluding non-cash compensation) and $1.1 million in professional fees. The increase in compensation expense is due to increased headcount compared to 2009. The increase in professional fees is due to our acquisition of certain assets of SurePoint that was announced in November 2010 and expected to close in March 2011.</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General and administrative expense within the Exchanges segment in 2010 decreased primarily due to a reduction of $0.9 million in compensation and other employee-related costs (excluding non-cash compensation), $0.9 million reduction in fixed asset losses, $0.9 million reduction of expense related to post acquisition adjustments, and a decrease of $0.5 million in building rent. The decrease in compensation is due to a reduction in headcount. The reduction in rent expense is a result of occupying fewer facilities in 2010.</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General and administrative expense within the Real Estate segment in 2010 decreased primarily due to a reduction of $2.2 million in cash compensation and other employee-related costs as a result of prior restructuring activities, a reduction of $0.8 million in facilities costs, and $0.2 million reduction of expense related to post acquisition adjustments. Occupying fewer offices caused the decrease in facilities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in 2010 declined primarily due to reductions of $3.8 million in professional fees and $3.0 million in compensation and benefits (excluding non-cash compensation). The reduction in professional fees was a result of two lawsuits settled in late 2009 that generated considerable legal consulting expenses in 2009.</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General and administrative expense in 2009 decreased from 2008. However, 2008 included a $5.5 million charge to non-cash compensation expense due to the modification of equity-based awards related to the spin-off, which consisted of accelerated vesting of certain restricted stock units and the modification of vested stock options. The overall decrease also reflects a $2.6 million reduction in compensation and other employee-related costs (excluding non-cash compensation) as a result of prior restructuring activities, a $0.7 million decrease in facilities costs due to lower headcount and occupying fewer facilities, and a $0.7 million decrease in franchise and local taxes. Offsetting these reductions were increases in the loss on disposal of fixed assets of $1.1 million, and professional fees of $0.7 million related to various litigation, regulatory and general corporate matters.</w:t>
      </w:r>
    </w:p>
    <w:p>
      <w:pPr>
        <w:spacing w:after="0" w:line="174"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General and administrative expense within the LendingTree Loans segment in 2009 declined $1.5 million from 2008 primarily due to decreases of $0.9 million in facilities costs and $0.6 million in compensation and other employee-related costs (excluding non-cash compensation), both due to lower headcount.</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General and administrative expense within the Exchanges segment in 2009 increased $0.6 million from 2008 primarily due to increases of $0.4 million in compensation and other employee-related costs (excluding non-cash compensation) and $0.3 million in software maintenance costs. The increase in compensation is due to additional headcount from business acquisitions completed by the Company in 2009.</w:t>
      </w:r>
    </w:p>
    <w:p>
      <w:pPr>
        <w:spacing w:after="0" w:line="16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General and administrative expense within the Real Estate segment in 2009 declined $6.6 million from 2008 due to a reduction of $3.0 million in non-cash compensation and a decrease of $3.0 million in cash compensation and other employee-related costs as a result of prior restructuring activities.</w:t>
      </w:r>
    </w:p>
    <w:p>
      <w:pPr>
        <w:spacing w:after="0" w:line="13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General and administrative expense within the Unallocated-corporate segment in 2009 declined $0.6 million from 2008 due to reductions of $3.0 million in non-cash compensation and $0.7 million in franchise and local taxes. Offsetting these reductions were increases of $2.4 million in professional fees related to various litigation, regulatory and general corporate matters and $0.6 million in cash compensation and other employee-related costs.</w:t>
      </w:r>
    </w:p>
    <w:p>
      <w:pPr>
        <w:spacing w:after="0" w:line="16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Additionally, general and administrative expense includes non-cash compensation expense of $3.3 million in 2010, $3.5 million in 2009 and $9.5 million in 2008. As discussed above, non-cash compensation in 2008 includes a $5.5 million charge due to the modification of equity-based awards related to the spin-off, consisting of the accelerated vesting of certain restricted stock units and the modification of vested stock options. The Company has placed greater emphasis on equity compensation than did IAC. The Compensation Committee determined that the Company's compensation programs should have less of a fixed component and, instead, should be much more variable and tied to individual and corporate performance.</w:t>
      </w:r>
    </w:p>
    <w:p>
      <w:pPr>
        <w:spacing w:after="0" w:line="170"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As of December 31, 2010, there was approximately $1.6 million, $2.9 million and $1.9 million of unrecognized compensation cost, net of estimated forfeitures, related to stock options, restricted stock units and restricted stock, respectively. These costs are expected to be recognized over a weighted-average period of approximately 1.9 years for stock options, 2.0 years for restricted stock units and 2.1 years for restricted stock.</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360" w:type="dxa"/>
            <w:vAlign w:val="bottom"/>
            <w:gridSpan w:val="2"/>
          </w:tcPr>
          <w:p>
            <w:pPr>
              <w:spacing w:after="0"/>
              <w:rPr>
                <w:sz w:val="20"/>
                <w:szCs w:val="20"/>
                <w:color w:val="auto"/>
              </w:rPr>
            </w:pPr>
            <w:r>
              <w:rPr>
                <w:rFonts w:ascii="Arial" w:cs="Arial" w:eastAsia="Arial" w:hAnsi="Arial"/>
                <w:sz w:val="18"/>
                <w:szCs w:val="18"/>
                <w:color w:val="auto"/>
                <w:w w:val="89"/>
              </w:rPr>
              <w:t>As a percentage of total revenue</w:t>
            </w:r>
          </w:p>
        </w:tc>
        <w:tc>
          <w:tcPr>
            <w:tcW w:w="2660" w:type="dxa"/>
            <w:vAlign w:val="bottom"/>
          </w:tcPr>
          <w:p>
            <w:pPr>
              <w:jc w:val="right"/>
              <w:ind w:right="1432"/>
              <w:spacing w:after="0"/>
              <w:rPr>
                <w:sz w:val="20"/>
                <w:szCs w:val="20"/>
                <w:color w:val="auto"/>
              </w:rPr>
            </w:pPr>
            <w:r>
              <w:rPr>
                <w:rFonts w:ascii="Arial" w:cs="Arial" w:eastAsia="Arial" w:hAnsi="Arial"/>
                <w:sz w:val="18"/>
                <w:szCs w:val="18"/>
                <w:color w:val="auto"/>
              </w:rPr>
              <w:t>2%</w:t>
            </w: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844"/>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 a Percentage of Segment Revenue</w:t>
            </w:r>
          </w:p>
        </w:tc>
        <w:tc>
          <w:tcPr>
            <w:tcW w:w="2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2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2660" w:type="dxa"/>
            <w:vAlign w:val="bottom"/>
          </w:tcPr>
          <w:p>
            <w:pPr>
              <w:spacing w:after="0"/>
              <w:rPr>
                <w:sz w:val="18"/>
                <w:szCs w:val="18"/>
                <w:color w:val="auto"/>
              </w:rPr>
            </w:pPr>
          </w:p>
        </w:tc>
        <w:tc>
          <w:tcPr>
            <w:tcW w:w="264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66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18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is not capitalized.</w:t>
      </w:r>
    </w:p>
    <w:p>
      <w:pPr>
        <w:spacing w:after="0" w:line="11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Product development expense decreased in 2010 and 2009, due to decreased compensation and other employee-related costs due to decreased headcount, offset by an increase in outsourcing and technology contractors.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later in this report. For a reconciliation of Adjusted EBITDA to operating income (loss) for Tree.com's operating segments and to net loss in total, see Note 8 to the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gridSpan w:val="2"/>
          </w:tcPr>
          <w:p>
            <w:pPr>
              <w:jc w:val="right"/>
              <w:ind w:right="4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gridSpan w:val="2"/>
          </w:tcPr>
          <w:p>
            <w:pPr>
              <w:spacing w:after="0"/>
              <w:rPr>
                <w:sz w:val="12"/>
                <w:szCs w:val="12"/>
                <w:color w:val="auto"/>
              </w:rPr>
            </w:pPr>
          </w:p>
        </w:tc>
        <w:tc>
          <w:tcPr>
            <w:tcW w:w="8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(10,639)</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NM</w:t>
            </w:r>
          </w:p>
        </w:tc>
        <w:tc>
          <w:tcPr>
            <w:tcW w:w="620" w:type="dxa"/>
            <w:vAlign w:val="bottom"/>
          </w:tcPr>
          <w:p>
            <w:pPr>
              <w:jc w:val="right"/>
              <w:spacing w:after="0"/>
              <w:rPr>
                <w:sz w:val="20"/>
                <w:szCs w:val="20"/>
                <w:color w:val="auto"/>
              </w:rPr>
            </w:pPr>
            <w:r>
              <w:rPr>
                <w:rFonts w:ascii="Arial" w:cs="Arial" w:eastAsia="Arial" w:hAnsi="Arial"/>
                <w:sz w:val="18"/>
                <w:szCs w:val="18"/>
                <w:color w:val="auto"/>
              </w:rPr>
              <w:t>7,477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(6,449)</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Unallocated—corporate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(18,152)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8,899</w:t>
            </w:r>
          </w:p>
        </w:tc>
        <w:tc>
          <w:tcPr>
            <w:tcW w:w="160" w:type="dxa"/>
            <w:vAlign w:val="bottom"/>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(27,051)</w:t>
            </w:r>
          </w:p>
        </w:tc>
        <w:tc>
          <w:tcPr>
            <w:tcW w:w="20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(1,617)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(25,434)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NM   $</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(13,730)</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gridSpan w:val="2"/>
            <w:vMerge w:val="restart"/>
          </w:tcPr>
          <w:p>
            <w:pPr>
              <w:ind w:left="1140"/>
              <w:spacing w:after="0"/>
              <w:rPr>
                <w:sz w:val="20"/>
                <w:szCs w:val="20"/>
                <w:color w:val="auto"/>
              </w:rPr>
            </w:pPr>
            <w:r>
              <w:rPr>
                <w:rFonts w:ascii="Arial" w:cs="Arial" w:eastAsia="Arial" w:hAnsi="Arial"/>
                <w:sz w:val="18"/>
                <w:szCs w:val="18"/>
                <w:color w:val="auto"/>
                <w:w w:val="89"/>
              </w:rPr>
              <w:t>As a percentage of total revenue</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(6)%</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35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w w:val="93"/>
              </w:rPr>
              <w:t>As a Percentage of Segment Revenue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12"/>
          </w:tcPr>
          <w:p>
            <w:pPr>
              <w:jc w:val="center"/>
              <w:ind w:right="150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5"/>
          </w:tcPr>
          <w:p>
            <w:pPr>
              <w:jc w:val="right"/>
              <w:ind w:right="72"/>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gridSpan w:val="9"/>
          </w:tcPr>
          <w:p>
            <w:pPr>
              <w:spacing w:after="0"/>
              <w:rPr>
                <w:sz w:val="20"/>
                <w:szCs w:val="20"/>
                <w:color w:val="auto"/>
              </w:rPr>
            </w:pPr>
            <w:r>
              <w:rPr>
                <w:rFonts w:ascii="Arial" w:cs="Arial" w:eastAsia="Arial" w:hAnsi="Arial"/>
                <w:sz w:val="18"/>
                <w:szCs w:val="18"/>
                <w:color w:val="auto"/>
                <w:w w:val="94"/>
              </w:rPr>
              <w:t>Unallocated—corporate, as a percentage of total revenue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5"/>
          </w:tcPr>
          <w:p>
            <w:pPr>
              <w:jc w:val="right"/>
              <w:ind w:right="72"/>
              <w:spacing w:after="0"/>
              <w:rPr>
                <w:sz w:val="20"/>
                <w:szCs w:val="20"/>
                <w:color w:val="auto"/>
              </w:rPr>
            </w:pPr>
            <w:r>
              <w:rPr>
                <w:rFonts w:ascii="Arial" w:cs="Arial" w:eastAsia="Arial" w:hAnsi="Arial"/>
                <w:sz w:val="18"/>
                <w:szCs w:val="18"/>
                <w:color w:val="auto"/>
              </w:rPr>
              <w:t>(9)%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57"/>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decrease in Adjusted EBITDA from 2009 to 2010 reflects the Company's increased operating costs as detailed above. Revenue also decreased in 2010 compared to 2009, but was essentially offset by a similar reduction in cost of revenue.</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increase in Adjusted EBITDA from 2008 to 2009 reflects an increase in the gross margin at LendingTree Loans and decreases in operating costs principally due to the marketing reductions and previous restructuring activities noted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w w:val="82"/>
              </w:rPr>
              <w:t>$ Change</w:t>
            </w:r>
          </w:p>
        </w:tc>
        <w:tc>
          <w:tcPr>
            <w:tcW w:w="160" w:type="dxa"/>
            <w:vAlign w:val="bottom"/>
            <w:gridSpan w:val="2"/>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(8,805)</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NM</w:t>
            </w:r>
          </w:p>
        </w:tc>
        <w:tc>
          <w:tcPr>
            <w:tcW w:w="620" w:type="dxa"/>
            <w:vAlign w:val="bottom"/>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105,922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8"/>
              </w:rPr>
              <w:t>(104,113)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(16,340)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5"/>
              </w:rPr>
              <w:t>(16,481)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(24,867)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19,805</w:t>
            </w:r>
          </w:p>
        </w:tc>
        <w:tc>
          <w:tcPr>
            <w:tcW w:w="180" w:type="dxa"/>
            <w:vAlign w:val="bottom"/>
          </w:tcPr>
          <w:p>
            <w:pPr>
              <w:spacing w:after="0"/>
              <w:rPr>
                <w:sz w:val="19"/>
                <w:szCs w:val="19"/>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8"/>
                <w:szCs w:val="18"/>
                <w:color w:val="auto"/>
                <w:w w:val="95"/>
              </w:rPr>
              <w:t>(44,672)</w:t>
            </w:r>
          </w:p>
        </w:tc>
        <w:tc>
          <w:tcPr>
            <w:tcW w:w="12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(9,989)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(18,056)</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 $</w:t>
            </w: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5"/>
              </w:rPr>
              <w:t>(24,313)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190,717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(215,030)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40" w:type="dxa"/>
            <w:vAlign w:val="bottom"/>
            <w:gridSpan w:val="3"/>
            <w:vMerge w:val="restart"/>
          </w:tcPr>
          <w:p>
            <w:pPr>
              <w:spacing w:after="0"/>
              <w:rPr>
                <w:sz w:val="20"/>
                <w:szCs w:val="20"/>
                <w:color w:val="auto"/>
              </w:rPr>
            </w:pPr>
            <w:r>
              <w:rPr>
                <w:rFonts w:ascii="Arial" w:cs="Arial" w:eastAsia="Arial" w:hAnsi="Arial"/>
                <w:sz w:val="18"/>
                <w:szCs w:val="18"/>
                <w:color w:val="auto"/>
                <w:w w:val="93"/>
              </w:rPr>
              <w:t>As a percentage of total revenue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4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(94)</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4"/>
        </w:trPr>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As a Percentage of Segment Revenue</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12"/>
          </w:tcPr>
          <w:p>
            <w:pPr>
              <w:jc w:val="right"/>
              <w:ind w:right="7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5"/>
          </w:tcPr>
          <w:p>
            <w:pPr>
              <w:jc w:val="right"/>
              <w:ind w:right="72"/>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(116)%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9"/>
          </w:tcPr>
          <w:p>
            <w:pPr>
              <w:spacing w:after="0"/>
              <w:rPr>
                <w:sz w:val="20"/>
                <w:szCs w:val="20"/>
                <w:color w:val="auto"/>
              </w:rPr>
            </w:pPr>
            <w:r>
              <w:rPr>
                <w:rFonts w:ascii="Arial" w:cs="Arial" w:eastAsia="Arial" w:hAnsi="Arial"/>
                <w:sz w:val="18"/>
                <w:szCs w:val="18"/>
                <w:color w:val="auto"/>
                <w:w w:val="93"/>
              </w:rPr>
              <w:t>Unallocated—corporate, as a percentage of total revenue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5"/>
          </w:tcPr>
          <w:p>
            <w:pPr>
              <w:jc w:val="right"/>
              <w:ind w:right="72"/>
              <w:spacing w:after="0"/>
              <w:rPr>
                <w:sz w:val="20"/>
                <w:szCs w:val="20"/>
                <w:color w:val="auto"/>
              </w:rPr>
            </w:pPr>
            <w:r>
              <w:rPr>
                <w:rFonts w:ascii="Arial" w:cs="Arial" w:eastAsia="Arial" w:hAnsi="Arial"/>
                <w:sz w:val="18"/>
                <w:szCs w:val="18"/>
                <w:color w:val="auto"/>
              </w:rPr>
              <w:t>(13)%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Operating loss in 2010 improved from 2009, primarily as a result of decreased operating expenses. In addition to the reasons provided in the analysis above,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were less in 2010 due to decreased legal settlement costs, partially offset by increased impairment charges for intangible assets. The reduction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legal settlement costs was the result of two lawsuits settled in 2009. The impairment charges were recorded in connection with the Company's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assessment as of October 1, 2010. Tree.com identified and recorded impairment charges related to goodwill and trademarks of $1.3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 million, respectively, in Real Estate. These impairments were the result of the Company's reassessment of Real Estate's future anticipated cash flows given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continued challenging real estate market conditions. These include an increased rate of mortgage loan delinquencies and home foreclosures, which ultimately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lead to declines in real estate values, which is the basis for Real Estate commission revenue. In addition, there were impairment charges of $0.5 million related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trademarks in the Exchanges.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loss in 2009 improved from 2008, primarily as a result of asset impairment charges totaling $164.3 million that were incurred in 2008.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2008, Tree.com recorded impairment charges of $131.0 million and $33.4 million related to goodwill and an indefinite-lived intangible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charge related to LendingTree Loans was a goodwill impairment charge of $0.9 million. The charges associated with the Exchanges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$69.3 million related to goodwill and $33.4 million related to an indefinite-lived intangible asset. The charge related to Real Estate was a goodwill impairment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 of $60.8 million.</w:t>
      </w:r>
    </w:p>
    <w:p>
      <w:pPr>
        <w:spacing w:after="0" w:line="21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to the increase in Adjusted EBITDA discussed above, operating loss in 2009 includes impairment charges of $6.1 million related to definite-lived and indefinite-lived intangible assets. In the second quarter of 2009, the new Real Estate operating segment leadership undertook significant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changes in management, operational focus and marketing efforts related to the new homes referral services business. These changes combined with the continued deterioration of new housing starts and new homes sales in 2009, caused the Company to reassess the remaining useful lives and the likely future recoverability of the remaining value of certain definite-lived intangible assets. In testing the recoverability of these assets, indications of impairment were determined to exist, and subsequent impairment testing resulted in a $3.9 million charge in Real Estate. Additionally, as part of the annual impairment test in the fourth quarter of 2009, Tree.com recorded impairment charges of $0.5 million in the Exchanges and $1.7 million in Real Estate related to indefinite-lived intangible assets.</w:t>
      </w:r>
    </w:p>
    <w:p>
      <w:pPr>
        <w:spacing w:after="0" w:line="15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Finally, in the fourth quarter of 2009, Tree.com recorded a $12.8 million charge related to litigation matters that negatively impacted operating loss. The litigation matters were either settled, or a firm offer for settlement was extended by Tree.com in the fourth quarter, thereby establishing an accrual amount that was both probable and reasonably estimable. The $12.8 million liability was paid in 2010.</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Continued adverse market conditions may cause continued operating losses and require additional restructuring of Tree.com's operations, which could result in additional restructuring charges and additional impairment charges.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For the years ended December 31, 2010, 2009, and 2008, Tree.com recorded a tax benefit of $0.9 million, $0.4 million and $13.3 million, respectively, which represents effective tax rates of 5.1%, 1.5%, and 6.2%, respectively. The 2010, 2009 and 2008 tax rate is lower than the federal statutory rate of 35% due principally to a full valuation allowance on deferred tax assets.</w:t>
      </w:r>
    </w:p>
    <w:p>
      <w:pPr>
        <w:spacing w:after="0" w:line="194"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December 31, 2010 and 2009, the unrecognized tax benefits, including interest, were $0.1 million and $1.0 million, respectively. The 2008 unrecognized beginning tax benefit included approximately $1.0 million for tax positions included in IAC's consolidated tax return filings. In 2010, unrecognized tax benefits decreased due to lapse of statute of limitations. The amount of unrecognized tax benefits that, if recognized, would impact the effective tax rate is approximately $0.1 million.</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Tree.com recognizes interest and, if applicable, penalties related to unrecognized tax benefits in income tax expense. Included in income tax expense for the years ended December 31, 2010 and 2009 is $0.01 and $0.07 million, respectively, for interest on unrecognized tax benefits. At December 31, 2010 and 2009, Tree.com has accrued $0.01 million and $0.07 million, respectively, for the payment of interest. There are no material accruals for penalties.</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Tree.com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67"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Internal Revenue Service is currently examining IAC consolidated tax returns for the years ended December 31, 2001 through 2006. The statute of limitations for these years has been extended to December 31, 2011. These examinations are expected to be completed in 2011. Various state and local jurisdictions are currently under examination, the most significant of which are California, New York, and New York City for various tax years beginning with December 31, 2003. These examinations are expected to be completed in 2011. Under the terms of a tax sharing agreement with IAC, which was executed in connection with the spin-off, IAC generally retains the liability related to federal and state returns filed on a consolidated or unitary basis for all periods prior to the spin-off.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North Carolina Department of Revenue ("NCDOR") is currently examining the Company's North Carolina corporate income and franchise tax returns for the years ended December 31, 2006 through 2008, and issued preliminary audit reports to the Company in January 2011. The Company has until March 17, 2011 to respond to the NCDOR regarding the preliminary audit reports. The Company has evaluated this matter as a potential loss contingency, and has determined that it is reasonably possible that a loss could be incurred. The range of a possible loss is estimated to be $-0- to $4.0 million. No reserve has been established for this matter as the Company has determined that the likelihood of a loss is not probable.</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2010, Tree.com had $79.5 million of cash and cash equivalents and restricted cash and cash equivalents.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operating activities was $25.0 million in the year ended December 31, 2010, compared to net cash provided by operating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$13.2 million in the same period in 2009. This net $38.2 million decrease in cash provided from operations was primarily due to a $14.4 million decrease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net cash proceeds from the origination and sale of loans, and a $10.5 million decrease in accounts payable and other current liabilities in 2010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compared to a $15.2 million increase in 2009. The 2009 increase in accounts payable and other current liabilities was primarily caused by a $12.8 million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litigation related accruals for settled matters and other contingencies as well as a $2.6 million increase in accrued advertising related to relatively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spending levels in 2009 compared to 2008. The 2010 decrease in accounts payable and other current liabilities was primarily caused by the payment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litigation related accruals noted above.</w:t>
      </w:r>
    </w:p>
    <w:p>
      <w:pPr>
        <w:spacing w:after="0" w:line="219"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Net cash used in investing activities in the year ended December 31, 2010 of $5.3 million primarily resulted from capital expenditures of $7.2 million, offset by the release of restricted cash of $2.2 million. Net cash used in investing activities in the year ended December 31, 2009 of $5.6 million primarily resulted from business acquisitions of $5.7 million and capital expenditures of $3.9 million, offset by the release of restricted cash of $4.0 million.</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Net cash provided by financing activities in 2010 of $13.0 million was primarily due to net borrowings under warehouse lines of credit of $22.1 million offset by the use of $8.5 million to purchase treasury stock. Net cash provided by financing activities in 2009 of $4.8 million was primarily due to net borrowings under warehouse lines of credit of $2.3 million and proceeds from the sale of common stock of $3.4 million. The net borrowings and repayments under warehouse lines of credit are related to the change in loans held for sale at LendingTree Loans and are included within cash flows from operations.</w:t>
      </w:r>
    </w:p>
    <w:p>
      <w:pPr>
        <w:spacing w:after="0" w:line="167" w:lineRule="exact"/>
        <w:rPr>
          <w:sz w:val="20"/>
          <w:szCs w:val="20"/>
          <w:color w:val="auto"/>
        </w:rPr>
      </w:pPr>
    </w:p>
    <w:p>
      <w:pPr>
        <w:jc w:val="both"/>
        <w:ind w:right="20" w:firstLine="341"/>
        <w:spacing w:after="0" w:line="298" w:lineRule="auto"/>
        <w:rPr>
          <w:sz w:val="20"/>
          <w:szCs w:val="20"/>
          <w:color w:val="auto"/>
        </w:rPr>
      </w:pPr>
      <w:r>
        <w:rPr>
          <w:rFonts w:ascii="Arial" w:cs="Arial" w:eastAsia="Arial" w:hAnsi="Arial"/>
          <w:sz w:val="16"/>
          <w:szCs w:val="16"/>
          <w:color w:val="auto"/>
        </w:rPr>
        <w:t>As of December 31, 2010, LendingTree Loans had two committed lines of credit totaling $150.0 million of borrowing capacity. The total borrowing capacity under these lines was increased from $125.0 million to $150.0 million effective October 29, 2010 upon renewal of the second line.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held for sale by LendingTree Loans.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June 29, 2011. This line can be cancelled at the option of the lender without default upon sixty days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first line includes an additional uncommitted credit facility of $25.0 million. This first line is also guaranteed by Tree.com, Inc., LendingTree, LLC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LendingTree Holdings Corp. The interest rate under the first line is 30-day LIBOR or 2.00% (whichever is greater) plus 2.25%. The interest rate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uncommitted line is 30-day LIBOR plus 1.50%. LendingTree Loans is also required to sell at least 25% of the loans it originates to the lender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line or pay a "pair-off fee" of 0.25% on the difference between the required and actual volume of loans sold.</w:t>
      </w:r>
    </w:p>
    <w:p>
      <w:pPr>
        <w:spacing w:after="0" w:line="219"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borrowing capacity of the second line was increased from $75.0 million to $100.0 million upon renewal of the line effective October 29, 2010. The expiration date of this line is October 28, 2011. This second line is also guaranteed by Tree.com, Inc., LendingTree, LLC and LendingTree Holdings Corp. The interest rate under this line was decreased from 30-day Adjusted LIBOR or 2.0% (whichever is greater) plus 2.50% to 3.0% prior to renewal, to 30-day Adjusted LIBOR or 2.0% (whichever is greater) plus 2.25% to 2.5% after renewal, for loans being sold to the lender. Additionally, the interest rate for loans not being sold to the lender was decreased from 30-day Adjusted LIBOR or 2.0% (whichever is greater) plus 2.75% prior to renewal, to 30-day Adjusted LIBOR or 2.0% (whichever is greater) plus 2.25% after renewal.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 (vi) pre-tax net income requirements and (vii) a maximum warehouse capacity ratio. During the year ended December 31, 2010, LendingTree Loans was in compliance with the covenants under the lines.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intend to renew the lines that are expiring on June 29, 2011 and October 28, 2011.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In November 2010, LendingTree Loans entered into an Asset Purchase Agreement with First Residential Mortgage Network, Inc. dba SurePoint Lending ("SurePoint") and the shareholders of SurePoint. The Agreement provides for the purchase by LendingTree Loans of certain specified assets and liabilities of SurePoint. The acquired assets also include all of the equity interests of Real Estate Title Services, LLC. Under the terms of the agreement, LendingTree Loans will make an initial payment of approximately $6 million in cash upon the closing of the transaction and will make contingent consideration payments on an annual basis for the next thirty-six months based on LendingTree Loans' pre-tax net income derived from the assets acquired. The aggregate purchase price, including the initial payment and contingent consideration, will not exceed $23 million. The Company expects to use available cash to fund the acquisition. The transaction is projected to close in March 2011.</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2011, cash and cash equivalents, current capacity under its warehouse lines of credit and access to capital markets, subject to restrictions in the tax sharing agreement, and believes that these are sufficient to fund its operating needs, including debt requirements, commitments, contingencies, capital and investing commitments for the foreseeable future.</w:t>
      </w:r>
    </w:p>
    <w:p>
      <w:pPr>
        <w:spacing w:after="0" w:line="167"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discussed in Item 9A—Controls and Procedures, the Company did not have controls designed and in place to ensure effective oversight of the work performed by and the accuracy of financial information provided by third party tax advisors. Until remediated, this material weakness could result in a misstatement in tax-related accounts that could result in a material misstatement to our interim or annual consolidated financial statements and disclosures that may not be prevented or detected on a timely basis. We are in the process of addressing and remediating the deficiencies that gave rise to this material weakness. Since the above material weakness was identified,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the Company by the third party tax advisor and identifying changes as required. However, the deficiencies have not been remediated as of the date of this filing. The Company does not believe this to have a significant impact on liquidity.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More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Than</w:t>
            </w:r>
          </w:p>
        </w:tc>
      </w:tr>
      <w:tr>
        <w:trPr>
          <w:trHeight w:val="161"/>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Contractual Obligations as of December 31, 2010</w:t>
            </w:r>
          </w:p>
        </w:tc>
        <w:tc>
          <w:tcPr>
            <w:tcW w:w="16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5 Years</w:t>
            </w: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100,623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Purchase obligations(b)</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loss settlement obligations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Preferred stock liquidation value and accreted interest(c)</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Termination fee for restructured lease agreement(d)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SurePoint acquisition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131,257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1680" w:right="4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short-term borrowings are the Company's warehouse lines of credit which are used exclusively for funding loans held for sale. These borrowings are collateralized by and are repaid from proceeds from selling the loans held for sale. Interest accrual on these borrowings as of December 31, 2010 is not significant.</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event contracts in 2011.</w:t>
      </w:r>
    </w:p>
    <w:p>
      <w:pPr>
        <w:spacing w:after="0" w:line="238" w:lineRule="exact"/>
        <w:rPr>
          <w:rFonts w:ascii="Arial" w:cs="Arial" w:eastAsia="Arial" w:hAnsi="Arial"/>
          <w:sz w:val="18"/>
          <w:szCs w:val="18"/>
          <w:color w:val="auto"/>
        </w:rPr>
      </w:pPr>
    </w:p>
    <w:p>
      <w:pPr>
        <w:ind w:left="1680" w:hanging="531"/>
        <w:spacing w:after="0" w:line="294" w:lineRule="auto"/>
        <w:tabs>
          <w:tab w:leader="none" w:pos="1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preferred stock obligation, as more fully described in Note 16 to the consolidated financial statements, represents the obligation the Company has to redeem at maturity the remaining 2,902 shares of preferred stock which the Company's CEO was granted in LendingTree Holdings Corp., a subsidiary of Tree.com at the time of the spin-off from IAC. The Preferred Stock has a liquidation preference of $1,000 per share and cumulative cash dividends accrue on the Preferred Stock at the rate of 12% of the liquidation preference per share per year and unpaid dividends compound at a rate per annum equal to the dividend rate.</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fee payable to lessor for early building lease cancellation.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LendingTree Loans, Exchanges and Real Estate revenue are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following disclosure is provided to supplement the descriptions of Tree.com's accounting policies contained in Note 2 to the consolidated financial statements in regard to significant areas of judgment. Management of the Company is required to make certain estimates and assumptions during the preparation of its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make estimates as to our exposure related to our obligation to repurchase loans previously sold to investors or to repay the premium paid by the buyer. The reserves are required in the cases of underwriting deficiencies, borrower fraud, documentation defects, early payment defaults and early loan payoffs. The exposure is based on historical and projected loss frequency and loss severity using our loss history (as adjusted for recent trends in loss experience), the original principal amount of the loans previously sold, the year the loans were sold, the lien position of the mortgage in the underlying property, and the extent of documentation received. Given current general industry trends in mortgage loans as well as housing prices, market expectations around losses related to the Company's obligations could vary significantly from the obligation of $17.0 million recorded as of December 31, 2010.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Estimates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make estimates as to the value of our derivatives and loans held for sale, which are carried at fair value. These assets and liabilities are valued using tools such as quantitative risk models and a proprietary database program. The data inputs used in these valuations include market data and quotes as well as the company's own experience in funding and selling loans. These calculations inherently require management's judgment regarding the valuation methodology and the most relevant data to use in the valuation calculations. Due to volatility in the markets and judgments inherent in our estimates, the actual liquidation value of these assets could differ from their carrying values. See Note 10 to the consolidated financial statements for a discussion of our valuation methodologies and the assumptions.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Recoverability of Goodwill and Indefinite-Lived Intangible Assets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review the carrying value of goodwill and indefinite-lived intangible assets on an annual basis as of October 1 or more frequently if an event occurs or circumstances change that would more likely than not reduce the fair value of a reporting unit below its carrying value. We determine the fair value of a reporting unit based upon an evaluation of its expected discounted cash flows and market approach (if applicable). This discounted cash flow analysis utilizes an evaluation of historical and forecasted operating results. The determination of discounted cash flows is based upon forecasted operating results that may not occur. The assessments for 2010, 2009 and 2008 identified impairment charges as more fully described above in "Results of operations for the years ended December 31, 2010, 2009 and 2008". The value of goodwill and indefinite-lived intangible assets that is subject to assessment for impairment is $11.6 million and $43.2 million, respectively, at December 31, 2010.</w:t>
      </w:r>
    </w:p>
    <w:p>
      <w:pPr>
        <w:spacing w:after="0" w:line="172"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As of December 31, 2010, the goodwill balance relates to the Exchanges and Real Estate segments. The annual goodwill impairment test as of October 1, 2010 included the following material assumptions: a discounted cash flow model utilizing a discount rate of 22% to 30%, a perpetual growth rate of 3% and Adjusted EBITDA margin rates of 3% to 44% of revenue from 2011 to 2015. (See Note 8 to the consolidated financial statements for the definition of Adjusted EBITDA.) As of December 31, 2010, the remaining indefinite-lived intangible assets balance relates to the Exchanges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and Real Estate segments. The material assumptions included in the annual indefinite-lived intangible assets impairment test as of October 1, 2010 were an assumed relief from royalties model, discount rates of 22% to 30%, perpetual growth rates of 3%, and royalty rates of 1% to 5%. Management of Tree.com believes that the assumptions used in the impairment tests are reasonable. However, Tree.com's reporting units continue to operate in dynamic and challenged industry segments.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Recoverability of Long-Lived Assets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exceeds the sum of the undiscounted cash flows that is expected to result from the use and eventual disposition of the asset. The determination of cash flows is based upon assumptions that may not occur. The value of long-lived assets that is subject to assessment for impairment is $15.0 million at December 31, 2010.</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Estimates of deferred income taxes and the significant items giving rise to the deferred assets and liabilities are shown in Note 12 to the consolidated financial statements,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of the Company that vary significantly from anticipated results. We also recognize liabilities for uncertain tax positions based on the two-step process prescribed by the accounting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disclosed in Note 3 to the consolidated financial statements, the Company estimated the fair value of options issued in 2008 using a Black-Scholes option pricing model with the following weighted average assumptions: risk-free interest rates of 3.4%, a dividend yield of zero, a volatility factor of 70% and a weighted average expected life of the options of 6.7 years. There were no significant stock options granted by the Company during the years ended December 31, 2010 and 2009. The Company also issues restricted stock units and restricted stock, and the value of the instrument is measured at the grant date as the fair value of common stock and amortized ratably as non-cash compensation expense over the vesting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0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Adjusted EBITDA is defined as EBITDA excluding (1) non-cash compensation expense, (2) non-cash intangible asset impairment charges, (3) gain/loss on disposal of assets, (4) restructuring expenses, (5) litigation settlements and contingencies, (6) pro forma adjustments for significant acquisitions,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EBITDA and Adjusted EBITDA are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a reconciliation of EBITDA and Adjusted EBITDA to operating income (loss) for Tree.com's operating segments and to net loss in total for the years ended December 31, 2010, 2009 and 2008, see Note 8 to the consolidated financial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and interest rate lock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"to be announced mortgage-backed securities" ("TBA MBS") and best efforts forward delivery commitments. The changes in fair value of the derivative instruments are recognized in current earnings as a component of revenue.</w:t>
      </w:r>
    </w:p>
    <w:p>
      <w:pPr>
        <w:spacing w:after="0" w:line="15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TBA MBS and best efforts forward delivery commitments.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December 31, 2010, if market interest rates had increased by 1.00%, the aggregate fair value of the derivative financial instruments and the hedged items at LendingTree Loans would have decreased by $1.0 million. As of December 31, 2010, if market interest rates had decreased by 1.00%, the aggregate fair value of the derivative financial instruments and the hedged items at LendingTree Loans would have decreased by $0.5 million. Valuation techniques are described in Note 10—Fair Value Measurements to the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audited the accompanying consolidated balance sheets of Tree.com, Inc. and subsidiaries (the "Company") as of December 31, 2010 and 2009, and the related consolidated statements of operations, shareholders' equity, and cash flows for each of the two years in the period ended December 31, 2010. Our audits also included the financial statement schedule listed in the Index at Item 15(a). These financial statements and financial statement schedule are the responsibility of the Company's management. Our responsibility is to express an opinion on these financial statements and financial statement schedule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300" w:firstLine="351"/>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Tree.com, Inc. and subsidiaries at December 31, 2010 and 2009, and the results of their operations and their cash flows for each of the two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discussed in Note 2 to the consolidated financial statements, beginning January 1, 2009, the Company adopted a new accounting standard for business combinations.</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 and subsidiaries</w:t>
      </w:r>
    </w:p>
    <w:p>
      <w:pPr>
        <w:spacing w:after="0" w:line="21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audited the accompanying consolidated statements of operations, shareholders' equity, and cash flows of Tree.com, Inc. and subsidiaries for the year ended December 31, 2008. Our audit also included the financial statement schedule listed in the Index at Item 15(a). These financial statements are the responsibility of the Company's management. Our responsibility is to express an opinion on these financial statements based on our audit.</w:t>
      </w:r>
    </w:p>
    <w:p>
      <w:pPr>
        <w:spacing w:after="0" w:line="16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Tree.com, Inc. and subsidiaries' operations and their cash flows for the year ended December 31, 2008,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10"/>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124,180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117,670</w:t>
            </w:r>
          </w:p>
        </w:tc>
        <w:tc>
          <w:tcPr>
            <w:tcW w:w="160" w:type="dxa"/>
            <w:vAlign w:val="bottom"/>
          </w:tcPr>
          <w:p>
            <w:pPr>
              <w:spacing w:after="0"/>
              <w:rPr>
                <w:sz w:val="18"/>
                <w:szCs w:val="18"/>
                <w:color w:val="auto"/>
              </w:rPr>
            </w:pPr>
          </w:p>
        </w:tc>
        <w:tc>
          <w:tcPr>
            <w:tcW w:w="2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198,181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Total cost of revenue (exclusive of depreciation shown separately below)</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164,335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158,173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166,328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vMerge w:val="restart"/>
          </w:tcPr>
          <w:p>
            <w:pPr>
              <w:ind w:left="260"/>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(18,056)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(215,030)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(18,521)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(24,842)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(215,550)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(17,585)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(202,276)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available to common shareholders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December 31, 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w w:val="87"/>
              </w:rPr>
              <w:t>except par 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and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68,819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Accounts receivable, net of allowance of $213 and $518, respectively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Loans held for sale ($115,908 and $92,236 measured at fair value, respectively)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Warehouse lines of credit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100,623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trade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Commitments and contingencies (Notes 14 and 15)</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Preferred stock $.01 par value; authorized 5,000,000 shares; none issued or</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Common stock $.01 par value; authorized 50,000,000 shares; issued 11,893,468 and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10,904,330 shares, respectively, and outstanding 10,770,207 and 10,904,330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respectively</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908,837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(798,602)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Treasury stock 1,123,261 and -0- shares, respectively</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(8,532)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3" w:name="page54"/>
    <w:bookmarkEnd w:id="53"/>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Payables to</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8"/>
              </w:rPr>
              <w:t>Treasury Stock</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Invested</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IAC and</w:t>
            </w:r>
          </w:p>
        </w:tc>
        <w:tc>
          <w:tcPr>
            <w:tcW w:w="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Subsidiaries</w:t>
            </w:r>
          </w:p>
        </w:tc>
        <w:tc>
          <w:tcPr>
            <w:tcW w:w="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as of</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$ 214,624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$ 751,923</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20,067</w:t>
            </w: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(557,366)</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Comprehensive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loss: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for the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(202,276)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(202,276)</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Comprehensive</w:t>
            </w: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loss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(202,276)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adoption of a</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principle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Non-cash</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Spin-off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IAC, net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invested capital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extinguishment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intercompany</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111,423</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(751,923)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883,413</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(20,067)</w:t>
            </w: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Issuance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upon spin off</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9,367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upon exercise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stock options and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net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Restricted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units payable in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as of</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138,128</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894,577</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(756,543)</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Comprehensive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loss: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for the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(24,474)</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Comprehensive</w:t>
            </w: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loss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(24,474)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Non-cash</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Issuance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3,636</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3,627</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upon exercise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stock options and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net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43" w:orient="portrait"/>
          <w:cols w:equalWidth="0" w:num="1">
            <w:col w:w="10400"/>
          </w:cols>
          <w:pgMar w:left="240" w:top="131" w:right="1259" w:bottom="0" w:gutter="0" w:footer="0" w:header="0"/>
        </w:sectPr>
      </w:pPr>
    </w:p>
    <w:bookmarkStart w:id="54" w:name="page55"/>
    <w:bookmarkEnd w:id="54"/>
    <w:p>
      <w:pPr>
        <w:spacing w:after="0" w:line="227" w:lineRule="auto"/>
        <w:framePr w:w="1280" w:h="589" w:wrap="auto" w:vAnchor="page" w:hAnchor="page" w:x="1340" w:y="7614"/>
        <w:rPr>
          <w:rFonts w:ascii="Arial" w:cs="Arial" w:eastAsia="Arial" w:hAnsi="Arial"/>
          <w:sz w:val="18"/>
          <w:szCs w:val="18"/>
          <w:b w:val="1"/>
          <w:bCs w:val="1"/>
          <w:color w:val="auto"/>
        </w:rPr>
      </w:pPr>
      <w:r>
        <w:rPr>
          <w:rFonts w:ascii="Arial" w:cs="Arial" w:eastAsia="Arial" w:hAnsi="Arial"/>
          <w:sz w:val="18"/>
          <w:szCs w:val="18"/>
          <w:b w:val="1"/>
          <w:bCs w:val="1"/>
          <w:color w:val="auto"/>
        </w:rPr>
        <w:t>Balance as of December 31, 2010</w:t>
      </w:r>
    </w:p>
    <w:p>
      <w:pPr>
        <w:spacing w:after="0" w:line="259" w:lineRule="auto"/>
        <w:framePr w:w="1320" w:h="373" w:wrap="auto" w:vAnchor="page" w:hAnchor="page" w:x="1340" w:y="146"/>
        <w:rPr>
          <w:rFonts w:ascii="Arial" w:cs="Arial" w:eastAsia="Arial" w:hAnsi="Arial"/>
          <w:sz w:val="15"/>
          <w:szCs w:val="15"/>
          <w:b w:val="1"/>
          <w:bCs w:val="1"/>
          <w:color w:val="auto"/>
        </w:rPr>
      </w:pPr>
      <w:r>
        <w:rPr>
          <w:rFonts w:ascii="Arial" w:cs="Arial" w:eastAsia="Arial" w:hAnsi="Arial"/>
          <w:sz w:val="15"/>
          <w:szCs w:val="15"/>
          <w:b w:val="1"/>
          <w:bCs w:val="1"/>
          <w:color w:val="auto"/>
        </w:rPr>
        <w:t>Issuance of restricted stock</w:t>
      </w:r>
    </w:p>
    <w:tbl>
      <w:tblPr>
        <w:tblLayout w:type="fixed"/>
        <w:tblInd w:w="0" w:type="dxa"/>
        <w:tblCellMar>
          <w:top w:w="0" w:type="dxa"/>
          <w:left w:w="0" w:type="dxa"/>
          <w:bottom w:w="0" w:type="dxa"/>
          <w:right w:w="0" w:type="dxa"/>
        </w:tblCellMar>
      </w:tblPr>
      <w:tr>
        <w:trPr>
          <w:trHeight w:val="45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as of</w:t>
            </w: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120,910</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901,818</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(781,017)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Comprehensive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loss: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for the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Comprehensive</w:t>
            </w: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loss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(17,585)</w:t>
            </w:r>
          </w:p>
        </w:tc>
        <w:tc>
          <w:tcPr>
            <w:tcW w:w="340" w:type="dxa"/>
            <w:vAlign w:val="bottom"/>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Non-cash</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Issuance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upon exercise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8"/>
              </w:rPr>
              <w:t>stock options and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vesting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units, net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taxes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340" w:type="dxa"/>
            <w:vAlign w:val="bottom"/>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(573)</w:t>
            </w: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Exchange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issued by a</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subsidiary to</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issued by parent</w:t>
            </w:r>
          </w:p>
        </w:tc>
        <w:tc>
          <w:tcPr>
            <w:tcW w:w="760" w:type="dxa"/>
            <w:vAlign w:val="bottom"/>
          </w:tcPr>
          <w:p>
            <w:pPr>
              <w:jc w:val="right"/>
              <w:spacing w:after="0"/>
              <w:rPr>
                <w:sz w:val="20"/>
                <w:szCs w:val="20"/>
                <w:color w:val="auto"/>
              </w:rPr>
            </w:pPr>
            <w:r>
              <w:rPr>
                <w:rFonts w:ascii="Arial" w:cs="Arial" w:eastAsia="Arial" w:hAnsi="Arial"/>
                <w:sz w:val="18"/>
                <w:szCs w:val="18"/>
                <w:color w:val="auto"/>
              </w:rPr>
              <w:t>3,958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Purchase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(8,532)</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$ 101,821</w:t>
            </w:r>
          </w:p>
        </w:tc>
        <w:tc>
          <w:tcPr>
            <w:tcW w:w="16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11,893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$ 908,837</w:t>
            </w:r>
          </w:p>
        </w:tc>
        <w:tc>
          <w:tcPr>
            <w:tcW w:w="16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 (798,602)</w:t>
            </w:r>
          </w:p>
        </w:tc>
        <w:tc>
          <w:tcPr>
            <w:tcW w:w="620" w:type="dxa"/>
            <w:vAlign w:val="bottom"/>
          </w:tcPr>
          <w:p>
            <w:pPr>
              <w:jc w:val="right"/>
              <w:spacing w:after="0"/>
              <w:rPr>
                <w:sz w:val="20"/>
                <w:szCs w:val="20"/>
                <w:color w:val="auto"/>
              </w:rPr>
            </w:pPr>
            <w:r>
              <w:rPr>
                <w:rFonts w:ascii="Arial" w:cs="Arial" w:eastAsia="Arial" w:hAnsi="Arial"/>
                <w:sz w:val="18"/>
                <w:szCs w:val="18"/>
                <w:color w:val="auto"/>
              </w:rPr>
              <w:t>1,123</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 (8,532)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rFonts w:ascii="Arial" w:cs="Arial" w:eastAsia="Arial" w:hAnsi="Arial"/>
          <w:sz w:val="15"/>
          <w:szCs w:val="15"/>
          <w:b w:val="1"/>
          <w:bCs w:val="1"/>
          <w:color w:val="auto"/>
        </w:rPr>
      </w:pPr>
    </w:p>
    <w:p>
      <w:pPr>
        <w:jc w:val="center"/>
        <w:ind w:right="12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rFonts w:ascii="Arial" w:cs="Arial" w:eastAsia="Arial" w:hAnsi="Arial"/>
          <w:sz w:val="15"/>
          <w:szCs w:val="15"/>
          <w:b w:val="1"/>
          <w:bCs w:val="1"/>
          <w:color w:val="auto"/>
        </w:rPr>
      </w:pPr>
    </w:p>
    <w:p>
      <w:pPr>
        <w:jc w:val="center"/>
        <w:ind w:right="120"/>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45" w:right="1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(17,585)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(24,474)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(202,276)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provided by (used in) operating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Gain on origination and sale of loans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(113,425)</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(110,320)</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impaired loans not sold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Loss on real estate acquired in satisfaction of loans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(2,792,041)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(2,855,246)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(2,206,065)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2,892,070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2,969,658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2,291,022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w w:val="94"/>
              </w:rPr>
              <w:t>Payments to investors for loan repurchases, settlements and early payoff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280"/>
              <w:spacing w:after="0"/>
              <w:rPr>
                <w:sz w:val="20"/>
                <w:szCs w:val="20"/>
                <w:color w:val="auto"/>
              </w:rPr>
            </w:pPr>
            <w:r>
              <w:rPr>
                <w:rFonts w:ascii="Arial" w:cs="Arial" w:eastAsia="Arial" w:hAnsi="Arial"/>
                <w:sz w:val="18"/>
                <w:szCs w:val="18"/>
                <w:color w:val="auto"/>
              </w:rPr>
              <w:t>obligations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(12,154)</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(41,920)</w:t>
            </w: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acquisition consideration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1,864,905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2,475,106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1,993,938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(1,842,764)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(2,472,811)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Principal payments on long-term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Spin-off capital contributions from IAC</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benefits from stock-based awards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(8,532)</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0280"/>
          </w:cols>
          <w:pgMar w:left="240" w:top="131" w:right="1379" w:bottom="1440" w:gutter="0" w:footer="0" w:header="0"/>
        </w:sect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businesses that formerly comprised IAC's Lending and Real Estate segments as well as newly acquired or developed brands and businesses. We refer herein to these businesses as the "Tree.com Businesses" as more fully described in the Company Overview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conjunction with the spin-off, Tree.com completed the following transactions: (1) extinguished all intercompany payable balances with IAC,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totaled $56.2 million, by recording a non-cash contribution from IAC, (2) recapitalized the invested capital balances with common stock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whereby holders of IAC stock received one-thirtieth of a share of common stock of Tree.com, and (3) received $55.2 million of cash from IAC.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that connect consumers and service providers principally in the lending, higher education, home services, insurance and automobile marketplaces.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 xml:space="preserve">The Real Estate segment consists of a proprietary full service real estate brokerage (RealEstate.com, REALTORS®) that operates in 20 U.S. markets as of December 31, 2010, as well as an online lead generation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third party real estate brokerages around the country. In January and February of 2011, the Company closed 5 brokerage markets that were unprofitable, and we anticipate closing 2 additional unprofitable brokerage markets in March 2011. The Company is continuing to evaluate the future profitability of all brokerage markets as part of aligning our cost structure with revenue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2010, Tree.com purchased certain assets of a company with an aggregate purchase price of $0.8 million in cash and contingent consideration. The contingent consideration amount is based on a percentage of estimated cumulative earnings over a period of thirty-six months from the date of acquisition. The minimum payout under the arrangement is zero and the maximum payout is unlimited. There have been no changes in the amount recognized or in the range of payouts since the date of acquisition. The purchase is part of our strategic initiative to diversify our revenue streams outside of the mortgage and real estate industries.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2009, Tree.com purchased certain assets of four separate companies, with an aggregate purchase price of $5.7 million in cash and $1.0 million in contingent consideration. The contingent consideration relates to one of the purchases, and the amount is based on a percentage of estimated cumulative earnings over a period of thirty-six months from the date of acquisition. The minimum payout under the arrangement is zero and the maximum payout is unlimited. In 2010, there was a reduction of $0.8 million in the amount recognized since the date of acquisition. All four transactions are part of our strategic initiative to diversify our revenue streams outside of the mortgage and real estate industries.</w:t>
      </w:r>
    </w:p>
    <w:p>
      <w:pPr>
        <w:spacing w:after="0" w:line="170"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These asset purchases are being accounted for under the acquisition method of accounting. Accordingly, the purchase price is allocated to the acquired assets and liabilities based on their estimated fair values at the acquisition date. The purchase price for acquisitions in 2010 has been allocated resulting in $0.8 million to be accounted for as goodwill in the Exchanges segment. The purchase price of the 2009 purchases has been allocated as $3.9 million to intangible assets with useful lives of five months to thirteen years and $2.9 million to goodwill, all of which are recorded in the Exchanges segment. For the 2009 purchases, the goodwill recognized primarily relates to synergies of the combined organizations and intangible assets that do not qualify for separate recognition.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effect of these 2010 and 2009 purchases were not material to our results of operations.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November 2010, LendingTree Loans entered into an Asset Purchase Agreement with First Residential Mortgage Network, Inc. dba SurePoint Lending ("SurePoint") and the shareholders of SurePoint. The Agreement provides for the purchase by LendingTree Loans of certain specified assets and liabilities of SurePoint. The acquired assets also include all of the equity interests of Real Estate Title Services, LLC. Under the terms of the Agreement, LendingTree Loans will make an initial payment of approximately $6 million in cash upon the closing of the transaction and will make contingent consideration payments on an annual basis for the next thirty-six months based 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LendingTree Loans' pre-tax net income derived from the assets acquired. The aggregate purchase price, including the initial payment and contingent consideration, shall not exceed $23 million. The Company expects to use available cash to fund the acquisition. The transaction is projected to close in March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all entities that are wholly-owned by the Company.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Certain prior period amounts have been reclassified to conform with the current presentation with no effect on net loss or accumulated deficit. Specifically, compensation and other-employee related costs within the Exchanges segment totaling $1.7 million and $3.2 million for the years ended December 31, 2009 and 2008, respectively, were reclassified from the Exchanges segment to the LendingTree Loans segment, both within cost of revenue. There was no impact on the consolidated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LendingTree Loans' revenues are primarily derived from the origination and sale of mortgage loans. Loans are funded through warehouse lines of credit and are sold to investors, typically within thirty days. The gain or loss on the sale of loans is realized on the date the loans are sold. The Company sells its loans on a servicing released basis in which the Company gives up the right to service the loans.</w:t>
      </w:r>
    </w:p>
    <w:p>
      <w:pPr>
        <w:spacing w:after="0" w:line="19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Loans are recorded at fair value at the time of origination. Changes in the fair value of loans are recorded through revenue prior to the sale of the loans to investors. At the time of sale, any difference between the estimated fair value of the loan and the sales price is recorded as an adjustment to the gain.</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Loans funded prior to January 1, 2008 are carried at the lower of cost or market value determined on an aggregate basis except for loans that are impaired, which are assessed on an individual basis. Loans are deemed impaired when they have a significant defect impacting the ability of the Company to sell the loan and recoup substantially all of the balance due. Loan origination fees and certain direct costs related to the origination of loans prior to January 1, 2008 were capitalized and deferred until the loans were sold. Upon sale of the loans, the origination fees and costs were recognized as a component of the gain on sale of loans.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Exchange revenue principally represents match fees and closed-loan fees paid by lenders that received a transmitted loan request or closed a loan for a consumer that originated through one of LendingTree's websites or affiliates. Exchange revenue also includes match fees paid by institutions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education and professionals in the home services, insurance and automobile industries for a transmitted lead or service request. Match fees are recognized at the time qualification forms are transmitted, while closed-loan fees are recognized at the time the lender reports the closed loan to LendingTree, which may be several months after the loan request is transmitted.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Real Estate earns revenue from commissions paid by consumers for our agents closing a real estate transaction on their behalf and from cooperative brokerage fees paid by real estate professionals participating on its exchange. Commissions are recognized at the time the real estate transaction is closed. Cooperative brokerage fees are recognized when the transmission of a consumer's information results in the purchase or sale of a home and the transaction is reported closed by the participating real estate professional.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future operating lease commitments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5,030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5,030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1,925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Mortgage lending escrow funds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1,291</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12,019</w:t>
            </w: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225"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Accounts receivable outstanding longer than the contractual payment terms are considered past due. The Company determines its allowance for doubtful accounts by considering a number of factors, including the length of time accounts receivable are past due, the Company's previous loss history, the specific customer's current ability to pay its obligation to the Company and the condition of the general economy and the customer's industry as a whole. The Company writes off accounts receivable when management deems them uncollectible. Write-offs were $0.4 million, $0.3 million and $0.6 million for the years ended December 31, 2010, 2009 and 2008, respectively.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and second mortgage loans that are secured by residential real estate throughout the United States.</w:t>
      </w:r>
    </w:p>
    <w:p>
      <w:pPr>
        <w:spacing w:after="0" w:line="186"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Loans held for sale are recorded at fair value, with the exception of any loans that have been repurchased from investors or loans originated prior to January 1, 2008 on which we did not elect the fair value option. As of December 31, 2010 and 2009, $0.8 million and $1.4 million, respectively, of such loans were impaired and carried on the balance sheet at the lower of cost or market value assessed on an individual loan basis.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fair value of loans held for sale is determined using current secondary market prices for loans with similar coupons, maturities and credit quality. Loans held for sale are pledged as collateral under LendingTree Loans' warehouse lines of credit. LendingTree Loans relies substantially on the secondary mortgage market as all of the loans originated are sold into this market.</w:t>
      </w:r>
    </w:p>
    <w:p>
      <w:pPr>
        <w:spacing w:after="0" w:line="194"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Prior to August 2010, fees received from borrowers for a commitment to originate a mortgage loan at a specified rate (interest rate lock commitment or "IRLC") were deferred. Such fees are generally credited toward loan origination fees when the loan is funded or recognized as income upon expiration of the commitment in the case of unexercised commitments. Effective August 2010, the Company no longer collects commitment fees for IRLCs.</w:t>
      </w:r>
    </w:p>
    <w:p>
      <w:pPr>
        <w:spacing w:after="0" w:line="16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Interest on mortgage loans held for sale is recognized as earned and is only accrued if deemed collectible. Interest is generally deemed uncollectible when a loan becomes three months or more delinquent or when a loan has a defect affecting its salability. Delinquency is calculated based on the contractual due date of the loan. Loans are written off when deemed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LendingTree Loans sells loans it originates to investors on a servicing released basis and the risk of loss or default by the borrower is generally transferred to the investor. However, LendingTree Loans is required by these investors to make certain representations relating to credit information, loan documentation and collateral. To the extent LendingTree Loans does not comply with such representations or there are early payment defaults, LendingTree Loans may be required to repurchase loans or indemnify the investors for any losses from borrower defaults. The Company initially records the liability for this obligation at fair value as a reduction in revenue. Subsequently, LendingTree Loans maintains a liability for the estimated obligation related to this exposure based, in part, on historical and projected loss frequency and loss severity using its loan loss history (adjusted for recent trends in loan loss experience as well as market pricing information on loans repurchased), the original principal amount of the loans previously sold, the year the loans were sold, and loan type. There are four loan types used in this analysis that are determined based on the extent of the documentation received (full or limited) and the lien position of the mortgage in the underling property (first or second position). In the case of early payoffs, which occur when a borrower prepays a loan prior to the end of a specified period, LendingTree Loans may be required to repay all or a portion of the premium initially paid by the investor. The estimated obligation associated with early payoffs is calculated based on historical loss experience by loan type.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Properties Acquired in Satisfaction of Loans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Real estate properties acquired in satisfaction of loans are recorded at the lower of carrying amount or estimated fair value less selling costs on their acquisition dates. Subsequent write-downs, costs to maintain the property, and gains or losses realized upon disposition are included in operating expenses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Property and equipment, including significant improvements, are recorded at cost less accumulated depreciation. Repairs and maintenance and any gains or losses on dispositions are included in operations.</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Depreciation is recorded on a straight-line basis to allocate the cost of depreciable assets to operations over their estimated service lives. Amortization of assets recorded under capital leases is included in depreciation expense. The following table presents the depreciation period for each asset category: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Depreciation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to 5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Lesser of asset life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or life of lease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 to 7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Software development costs primarily include expenses incurred to develop the software that powers our websites. Certain costs incurred during the application development stage are capitalized based on specific activities tracked on internal timesheets and external invoices (or timesheets), while costs incurred during the preliminary project stage and post-implementation/operation stage are expensed as incurred. Capitalized software development costs are amortized over estimated lives of one to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acquired in business combinations is assigned to the reporting units that are expected to benefit from the combination as of the acquisition date.</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Goodwill impairment is determined using a two-step process. The first step of the process is to compare the fair value of a reporting unit with its carrying amount, including goodwill. In performing the first step, Tree.com determines the fair value of its reporting units by using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impairment test for indefinite-lived intangible assets involves a comparison of the estimated fair value of the intangible asset with its carrying value. If the carrying value of the indefinite-lived intangible asset exceeds its fair value, an impairment loss is recognized in an amount equal to that excess. The estimates of fair value of indefinite-lived intangible assets are determined using a DCF valuation analysis that employs a "relief from royalty" methodology in estimating the fair value of its trade names and trademarks. Significant judgments inherent in this analysis include the determination of royalty rates, discount rates and the terminal growth rates.</w:t>
      </w:r>
    </w:p>
    <w:p>
      <w:pPr>
        <w:spacing w:after="0" w:line="197"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Goodwill and indefinite-lived intangible assets, primarily trade names and trademarks, are tested annually for impairment as of October 1 or earlier upon the occurrence of certain events or substantive changes in circumstances. In light of the substantive changes in the mortgage and real estate markets and significant changes in leadership and operational focus in the real estate segment, Tree.com performed interim tests as of June 30, 2009, in addition to the annual test on October 1, 2010 and 2009. Tree.com identified impairments in the interim test in 2009, and in the annual tests in 2010 and 2009, as described in Note 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Long-lived assets, including property and equipment and intangible assets with definite lives, are tested for recoverability whenever events or changes in circumstances indicate that their carrying amount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 Amortization of definite lived intangible assets is recorded on a straight-line basis over their estimated lives.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Tree.com is exposed to certain risks in connection with its mortgage banking operations. LendingTree Loans is exposed to interest rate risk for loans it originates until those loans are sold in the secondary market. The fair value of interest rate lock commitments ("IRLCs") and loans held for sale are subject to change primarily due to changes in market interest rates. LendingTree Loans economically hedges the changes in fair value of IRLCs and loans held for sale primarily by using derivative instruments that are fully described in Note 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and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Promotional Costs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offers certain consumers that utilize our exchange services promotional incentives to complete a transaction. These include cash payments, gift certificates, airline miles or other discounts or coupons in the event a transaction is completed utilizing our services. The liability is estimated for these consumer promotional costs each period based on the number of consumers that are presented such offers, the cost of the item being offered and the historical trends of consumers qualifying for the offer and our payout rates. The estimated costs of the consumer promotional incentives are charged to cost of revenue each period. Consumer promotional expense was $1.3 million, $3.6 million, and $9.4 million for the years ended December 31, 2010, 2009 and 2008, respectively. Consumer promotional costs accrued totaled $0.6 million at both December 31, 2010 and 2009, and are included in accrued expenses and other current liabilities in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31"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ind w:right="280" w:firstLine="341"/>
        <w:spacing w:after="0" w:line="256" w:lineRule="auto"/>
        <w:rPr>
          <w:sz w:val="20"/>
          <w:szCs w:val="20"/>
          <w:color w:val="auto"/>
        </w:rPr>
      </w:pPr>
      <w:r>
        <w:rPr>
          <w:rFonts w:ascii="Arial" w:cs="Arial" w:eastAsia="Arial" w:hAnsi="Arial"/>
          <w:sz w:val="18"/>
          <w:szCs w:val="18"/>
          <w:color w:val="auto"/>
        </w:rPr>
        <w:t>Advertising costs are expensed in the period incurred (when the advertisement first runs for production costs that are initially capitalized) and principally represent offline costs, including television, print and radio advertising, and online advertising costs, including fees paid to search engines and distribution partners. Advertising expense was $69.8 million, $57.9 million, and $92.0 million for the years ended December 31, 2010, 2009 and 2008, respectively. There was no prepaid advertising at December 31, 2010 or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Tree.com accounts for income taxes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Tree.com records interest on potential tax contingencies as a component of income tax expense and records interest net of any applicable related income tax benefit.</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accordance with the accounting standard for uncertainty in income taxes, Tree.com recognizes liabilities for uncertain tax positions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tax benefit as the largest amount which is more than 50% likely of being realized upon ultimate settlement.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records stock-based compensation in accordance with the accounting standard for share based payments. See Note 3 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Tree.com's business is subject to certain risks and concentrations including dependence on third party technology providers, exposure to risks associated with online commerce security and credit card fraud.</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Financial instruments, which potentially subject Tree.com to concentration of credit risk, consist primarily of cash and cash equivalents. Cash and cash equivalents are maintained with quality financial institutions of high credit and are in excess of Federal Deposit Insurance Corporation insurance limits.</w:t>
      </w:r>
    </w:p>
    <w:p>
      <w:pPr>
        <w:spacing w:after="0" w:line="11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Due to the nature of the mortgage lending industry, changes in interest rates may significantly impact revenue from originating mortgages and subsequent sales of loans to investors, which are the primary source of income for LendingTree Loans. LendingTree Loans originates mortgage loans on property located throughout the United States, with revenue from loans originated for property located in California totaling approximately 12%, 11%, and 5% of Tree.com's consolidated revenue in 2010, 2009 and 2008, respectively.</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LendingTree Loans monitors its relationships with investors and, from time to time, makes adjustments in the amount it sells to any one investor based upon a number of factors, including but not limited to, price, loan review time and funding turnaround, underwriting guidelines and the overall efficiency of its relationship with the investor.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table represents the approximate percentage of Tree.com's revenue for LendingTree Loan's four largest investors (purchasers of the loans originated) for the years ended December 31, 2010, 2009 and 2008:</w:t>
      </w:r>
    </w:p>
    <w:p>
      <w:pPr>
        <w:spacing w:after="0" w:line="236"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Years Ended December 31,</w:t>
      </w:r>
    </w:p>
    <w:tbl>
      <w:tblPr>
        <w:tblLayout w:type="fixed"/>
        <w:tblInd w:w="2300" w:type="dxa"/>
        <w:tblCellMar>
          <w:top w:w="0" w:type="dxa"/>
          <w:left w:w="0" w:type="dxa"/>
          <w:bottom w:w="0" w:type="dxa"/>
          <w:right w:w="0" w:type="dxa"/>
        </w:tblCellMar>
      </w:tblPr>
      <w:tr>
        <w:trPr>
          <w:trHeight w:val="142"/>
        </w:trPr>
        <w:tc>
          <w:tcPr>
            <w:tcW w:w="4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Investor 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Investor 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LendingTree Loans funds loans through warehouse lines of credit. As of December 31, 2010 and 2009, 68% and 56%, respectively, of the total balance due on the lines of credit was payable to one lender. The decision regarding how to allocate this balance amongst lenders is based on several factors, including the interest rate and commitment fee.</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lending networks as well as revenue from originating and selling loans.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 lenders participating on our lending networks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On July 1, 2009, the Financial Accounting Standards Board ("FASB") issued guidance with the objective of establishing the Accounting Standards Codification as the source of authoritative nongovernmental GAAP. All existing accounting standards have been superseded and all other accounting literature not included in the codification will be considered non-authoritative. Accordingly, all references to accounting standards have been conformed to the new codification hierarchy.</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January 1, 2010, Tree.com adopted the accounting standard for transfers and servicing of financial assets, with no material impact to the financials.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is effective for annual reporting periods beginning after November 15, 2009.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and for interim periods within those fiscal years. Early adoption is permitted. See Note 10 for further information.</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1, 2009, Tree.com adopted the accounting standard for business combinations, which establishes principles and requirements for how an acquirer recognizes and measures in its financial statements the identifiable assets acquired, the liabilities assumed, any non-controlling interest in the acquiree and the goodwill acquired. This standard also establishes disclosure requirements that will enable users to evaluate the nature and financial effects of the business combination. The standard applies prospectively to business combinations in fiscal years beginning after December 15, 2008. The Company applied this standard to its business combinations made subsequent to January 1, 2009. See Note 1 for further information.</w:t>
      </w:r>
    </w:p>
    <w:p>
      <w:pPr>
        <w:spacing w:after="0" w:line="170"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 2009, Tree.com adopted the updated accounting standard for derivatives and hedging. This standard amends and expands the existing disclosure requirements with the intent to provide users of financial statements with an enhanced understanding of: (i) how and why an entity uses derivative instruments; (ii) how derivative instruments and related hedged items are accounted for; and (iii) how derivative instruments and related hedged items affect an entity's financial position, financial performance and cash flows. The adoption of this standard did not have a material impact on the Company's consolidated financial statements. See Note 10 for further information.</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On April 9, 2009, the FASB issued and Tree.com adopted the updated accounting standards for financial instruments and interim reporting. The new standards require disclosures about fair value of financial instruments for interim reporting periods of publicly traded companies as well as in annual financial statements. The new standards also require those disclosures in summarized financial information at interim reporting periods. See Note 10 for further information.</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February 2007, the FASB issued the accounting standard for the fair value option for financial assets and financial liabilities. The standard permits entities to choose to measure many financial instruments and certain other assets and liabilities at fair value with the objective of reducing both the complexity in the accounting for financial instruments and the volatility in earnings caused by measuring related assets and liabilities differently. This standard is effective for fiscal years beginning after November 15, 2007. Tree.com adopted this standard effective January 1, 2008 and elected the fair value option on loans funded after December 31, 2007. Therefore, there was no cumulative effect related to the adoption of this standard.</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September 2006, the FASB issued the accounting standard for fair value measurements, which provides enhanced guidance for using fair value to measure assets and liabilities. This standard is effective for fiscal years beginning after November 15, 2007, and interim periods within those fiscal years. This standard defines fair value, establishes a framework for measuring fair value and expands disclosures about fair value measurements and the effect of the measurements on earnings or changes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net assets. Among other things, this standard clarifies the principle that fair value should be based on the assumptions that market participants would use when pricing the asset or liability and establishes a fair value hierarchy that prioritizes the information used to develop those assumptions. The most significant financial impact of adopting the provisions of this standard is related to the valuing of interest rate lock commitments (related to loans intended to be held for sale). Under this standard, the fair value of a closed loan includes the embedded cash flows that are ultimately realized as servicing value or through the sale of a loan on a servicing released basis. The valuation of loan commitments includes assumptions related to the likelihood that a commitment will ultimately result in a closed loan ("expected close rates"). These expected close rates are based on Tree.com's historical data, which is a significant unobservable assumption. Prior accounting requirements precluded the recognition of any day one gains and losses if fair value was not based on observable market data. Rather, these gains and losses were recognized when the underlying loan was ultimately sold. The change in valuation methodology under this standard accelerates the recognition of these day one gains and losses. The cumulative effect of adopting the provisions of this standard is required to be reported as an adjustment to beginning retained earnings in the year of adoption. Accordingly, upon adoption of this standard on January 1, 2008, Tree.com recorded a $3.1 million reduction to accumulated deficit.</w:t>
      </w:r>
    </w:p>
    <w:p>
      <w:pPr>
        <w:spacing w:after="0" w:line="18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adoption of the fair value accounting standards above generally results in higher fair values of interest rate lock commitments and loans held for sale being recorded at loan origination. Prior to adoption certain aspects of the loan value associated with the cash flows related to the servicing of a loan, origination fees and day one gains on derivative transactions would be deferred until the sale of the loan. However, as loans are typically sold within thirty days of origination, Tree.com has determined that adoption of the above mentioned accounting standards did not have a material impact on its consolidated financial position, results of operations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Tree.com currently has one active plan ("Tree.com 2008 Stock and Annual Incentive Plan") under which future awards may be granted, which currently covers outstanding stock options to acquire shares of Tree.com common stock and restricted stock units ("RSUs"), and provides for the future grant of these and other equity awards. Under the Tree.com 2008 Stock and Annual Incentive Plan, the Company is authorized to grant stock options, RSUs and other equity based awards for up to 2.75 million shares of Tree.com common stock. The active plan described above authorizes the Company to grant awards to its employees, officers and directors. Finally, this active plan also governs certain equity awards of IAC that were converted into equity awards of Tree.com in connection with the spin-off.</w:t>
      </w:r>
    </w:p>
    <w:p>
      <w:pPr>
        <w:spacing w:after="0" w:line="19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In addition, the plan described above has a stated term of ten years and provides that the exercise price of stock options granted will not be less than the market price of the Company's common stock on the grant date. The plan does not specify grant dates or vesting schedules as those determinations have been delegated to the Compensation Committee of Tree.com's Board of Directors (the "Committee"). Each grant agreement reflects the vesting schedule for that particular grant as determined by the Committee.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Prior to the spin-off, Tree.com employees received equity awards that were granted under various IAC stock and annual incentive plans. Upon spin-off, these IAC awards were converted into awards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both Tree.com and other former IAC companies. Tree.com will continue to recognize non-cash compensation expense for all of these awards granted to Tree.com employees.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Non-cash stock-based compensation expense related to equity awards is included in the following line items in the accompanying consolidated statements of operations for the years ended December 31, 2010, 2009 and 2008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9,518</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1"/>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stock-based compensation expense before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3,892</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11,237</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(1,537)</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(4,438)</w:t>
            </w:r>
          </w:p>
        </w:tc>
      </w:tr>
      <w:tr>
        <w:trPr>
          <w:trHeight w:val="21"/>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Non-cash stock-based compensation expense after income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6,799</w:t>
            </w:r>
          </w:p>
        </w:tc>
      </w:tr>
      <w:tr>
        <w:trPr>
          <w:trHeight w:val="27"/>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Non-cash stock-based compensation in 2008 includes a $6.6 million charge due to the modification of equity-based awards related to the spin-off, which consists of the accelerated vesting of certain restricted stock units and the modification of vested stock options.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forms of stock-based awards granted to Tree.com employees are principally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7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Tax benefits resulting from tax deductions in excess of the stock-based compensation expense recognized in the consolidated statement of operations are reported as a component of financing cash flows. For the year ended December 31, 2008, excess tax benefits from stock-based compensation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$0.4 million was included as a component of financing cash flows. There were no excess tax benefits from stock-based compensation for the years ended December 31, 2010 or 2009.</w:t>
      </w:r>
    </w:p>
    <w:p>
      <w:pPr>
        <w:spacing w:after="0" w:line="186" w:lineRule="exact"/>
        <w:rPr>
          <w:sz w:val="20"/>
          <w:szCs w:val="20"/>
          <w:color w:val="auto"/>
        </w:rPr>
      </w:pPr>
    </w:p>
    <w:p>
      <w:pPr>
        <w:jc w:val="both"/>
        <w:ind w:right="580" w:firstLine="341"/>
        <w:spacing w:after="0" w:line="306" w:lineRule="auto"/>
        <w:rPr>
          <w:sz w:val="20"/>
          <w:szCs w:val="20"/>
          <w:color w:val="auto"/>
        </w:rPr>
      </w:pPr>
      <w:r>
        <w:rPr>
          <w:rFonts w:ascii="Arial" w:cs="Arial" w:eastAsia="Arial" w:hAnsi="Arial"/>
          <w:sz w:val="16"/>
          <w:szCs w:val="16"/>
          <w:color w:val="auto"/>
        </w:rPr>
        <w:t>As of December 31, 2010, there was approximately $1.6 million, $2.9 million and $1.9 million of unrecognized compensation cost, net of estimated forfeitures, related to stock options, RSUs and restricted stock, respectively. These costs are expected to be recognized over a weighted-average period of approximately 1.9 years for stock options, 2.0 years for RSUs and 2.1 years for restricted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(68,464)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2010</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8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952,669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287,506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12.40</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Substantially all options outstanding at December 31, 2010 are vested or are expected to vest over a weighted-average period of approximately 1.9 years.</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fair value of each stock option award is estimated on the grant date using the Black-Scholes option pricing model. There were no stock options granted by the Company during the year ended December 31, 2010. There were 21,250 stock options granted by the Company during the year ended December 31, 2009. There were 364,696 stock options converted from IAC options to Tree.com options in connection with the spin-off and 1,558,950 stock options granted by the Company during the year ended December 31, 2008.</w:t>
      </w:r>
    </w:p>
    <w:p>
      <w:pPr>
        <w:spacing w:after="0" w:line="197"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Black-Scholes option pricing model incorporates various assumptions, including expected volatility and expected term. For purposes of this model, no dividends have been assumed. Expected stock price volatilities are estimated based on the historical volatility of similar companies, as the stock of Tree.com began trading on August 21, 2008, and there was insufficient data at the 2008 grant date to calculate its own historical volatility. The risk-free interest rates are based on U.S. Treasury yields for notes with comparable terms as the awards, in effect at the grant date. The expected term of options granted is based on analyses of historical employee termination rates and option exercise patterns, giving consideration to expectations of future employee behavior. The following are the weighted average assumptions used in the Black-Scholes option pricing model for years ended December 31, 2009 and 2008: volatility factor of 70%, risk-free interest rate of 3.4%, expected term of 6.7 years, and a dividend yield of zero.</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weighted average grant date fair value of stock options granted during the year ended December 31, 2008 at market prices equal to Tree.com's common stock on the grant date was $5.04. The stock options granted during the year ended December 31, 2009 were not significant.</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spin-off, the Chairman and CEO was awarded two grants of 589,950 stock options, each of which represents the right to acquire 2.5% of the fully diluted equity at exercise prices representing a total equity value of the Company of $100 million and $300 million. The stock options all cliff vest at the end of five years. The weighted average exercise price and the weighted average fair value related to these stock option grants were $16.95 and $4.19, respectively. In 2009, the Company entered into an Option Cancellation Agreement with the Chairman and CEO, in which he surrendered for cancellation in its entirety one stock option award to purchase 589,850 shares of the Company's common stock at an exercise price of $25.43 per share.</w:t>
      </w:r>
    </w:p>
    <w:p>
      <w:pPr>
        <w:spacing w:after="0" w:line="170"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Tree.com's closing stock price on the last trading day of 2010 and the exercise price, multiplied by the number of in-the-money options) that would have been received by the option holders had all option holders exercised their options on December 31, 2010. This amount changes based on the fair market value of Tree.com's common stock. The total intrinsic value of stock options exercised during the years ended December 31, 2010, 2009 and 2008 was $87,000, $33,000 and $10,000, respectively.</w:t>
      </w:r>
    </w:p>
    <w:p>
      <w:pPr>
        <w:spacing w:after="0" w:line="16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Cash received from stock option exercises and the related actual tax benefit realized were $302,000 and $36,000 for the year ended December 31, 2010; $95,000 and $14,000 for the year ended December 31, 2009; and, $7,000 and $4,000 for the year ended December 31, 2008,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December 31,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20" w:type="dxa"/>
            <w:vAlign w:val="bottom"/>
            <w:gridSpan w:val="4"/>
          </w:tcPr>
          <w:p>
            <w:pPr>
              <w:ind w:left="1140"/>
              <w:spacing w:after="0"/>
              <w:rPr>
                <w:sz w:val="20"/>
                <w:szCs w:val="20"/>
                <w:color w:val="auto"/>
              </w:rPr>
            </w:pPr>
            <w:r>
              <w:rPr>
                <w:rFonts w:ascii="Arial" w:cs="Arial" w:eastAsia="Arial" w:hAnsi="Arial"/>
                <w:sz w:val="14"/>
                <w:szCs w:val="14"/>
                <w:b w:val="1"/>
                <w:bCs w:val="1"/>
                <w:color w:val="auto"/>
                <w:w w:val="90"/>
              </w:rPr>
              <w:t>Options 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6"/>
          </w:tcPr>
          <w:p>
            <w:pPr>
              <w:ind w:left="6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Outstanding at</w:t>
            </w:r>
          </w:p>
        </w:tc>
        <w:tc>
          <w:tcPr>
            <w:tcW w:w="1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300" w:type="dxa"/>
            <w:vAlign w:val="bottom"/>
          </w:tcPr>
          <w:p>
            <w:pPr>
              <w:jc w:val="right"/>
              <w:ind w:right="187"/>
              <w:spacing w:after="0" w:line="149" w:lineRule="exact"/>
              <w:rPr>
                <w:sz w:val="20"/>
                <w:szCs w:val="20"/>
                <w:color w:val="auto"/>
              </w:rPr>
            </w:pPr>
            <w:r>
              <w:rPr>
                <w:rFonts w:ascii="Arial" w:cs="Arial" w:eastAsia="Arial" w:hAnsi="Arial"/>
                <w:sz w:val="14"/>
                <w:szCs w:val="14"/>
                <w:b w:val="1"/>
                <w:bCs w:val="1"/>
                <w:color w:val="auto"/>
              </w:rPr>
              <w:t>Exercisable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Range of Exercise Prices</w:t>
            </w:r>
          </w:p>
        </w:tc>
        <w:tc>
          <w:tcPr>
            <w:tcW w:w="1280" w:type="dxa"/>
            <w:vAlign w:val="bottom"/>
          </w:tcPr>
          <w:p>
            <w:pPr>
              <w:jc w:val="right"/>
              <w:ind w:right="18"/>
              <w:spacing w:after="0"/>
              <w:rPr>
                <w:sz w:val="20"/>
                <w:szCs w:val="20"/>
                <w:color w:val="auto"/>
              </w:rPr>
            </w:pPr>
            <w:r>
              <w:rPr>
                <w:rFonts w:ascii="Arial" w:cs="Arial" w:eastAsia="Arial" w:hAnsi="Arial"/>
                <w:sz w:val="14"/>
                <w:szCs w:val="14"/>
                <w:b w:val="1"/>
                <w:bCs w:val="1"/>
                <w:color w:val="auto"/>
                <w:w w:val="91"/>
              </w:rPr>
              <w:t>December 31, 2010</w:t>
            </w:r>
          </w:p>
        </w:tc>
        <w:tc>
          <w:tcPr>
            <w:tcW w:w="1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Life in Years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300" w:type="dxa"/>
            <w:vAlign w:val="bottom"/>
          </w:tcPr>
          <w:p>
            <w:pPr>
              <w:jc w:val="right"/>
              <w:ind w:right="47"/>
              <w:spacing w:after="0"/>
              <w:rPr>
                <w:sz w:val="20"/>
                <w:szCs w:val="20"/>
                <w:color w:val="auto"/>
              </w:rPr>
            </w:pPr>
            <w:r>
              <w:rPr>
                <w:rFonts w:ascii="Arial" w:cs="Arial" w:eastAsia="Arial" w:hAnsi="Arial"/>
                <w:sz w:val="14"/>
                <w:szCs w:val="14"/>
                <w:b w:val="1"/>
                <w:bCs w:val="1"/>
                <w:color w:val="auto"/>
                <w:w w:val="91"/>
              </w:rPr>
              <w:t>December 31, 2010</w:t>
            </w:r>
          </w:p>
        </w:tc>
        <w:tc>
          <w:tcPr>
            <w:tcW w:w="160" w:type="dxa"/>
            <w:vAlign w:val="bottom"/>
          </w:tcPr>
          <w:p>
            <w:pPr>
              <w:spacing w:after="0"/>
              <w:rPr>
                <w:sz w:val="14"/>
                <w:szCs w:val="14"/>
                <w:color w:val="auto"/>
              </w:rPr>
            </w:pPr>
          </w:p>
        </w:tc>
        <w:tc>
          <w:tcPr>
            <w:tcW w:w="218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280" w:type="dxa"/>
            <w:vAlign w:val="bottom"/>
          </w:tcPr>
          <w:p>
            <w:pPr>
              <w:jc w:val="right"/>
              <w:spacing w:after="0"/>
              <w:rPr>
                <w:sz w:val="20"/>
                <w:szCs w:val="20"/>
                <w:color w:val="auto"/>
              </w:rPr>
            </w:pPr>
            <w:r>
              <w:rPr>
                <w:rFonts w:ascii="Arial" w:cs="Arial" w:eastAsia="Arial" w:hAnsi="Arial"/>
                <w:sz w:val="18"/>
                <w:szCs w:val="18"/>
                <w:color w:val="auto"/>
              </w:rPr>
              <w:t>12,213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12,213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280" w:type="dxa"/>
            <w:vAlign w:val="bottom"/>
          </w:tcPr>
          <w:p>
            <w:pPr>
              <w:jc w:val="right"/>
              <w:spacing w:after="0"/>
              <w:rPr>
                <w:sz w:val="20"/>
                <w:szCs w:val="20"/>
                <w:color w:val="auto"/>
              </w:rPr>
            </w:pPr>
            <w:r>
              <w:rPr>
                <w:rFonts w:ascii="Arial" w:cs="Arial" w:eastAsia="Arial" w:hAnsi="Arial"/>
                <w:sz w:val="18"/>
                <w:szCs w:val="18"/>
                <w:color w:val="auto"/>
              </w:rPr>
              <w:t>54,250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280" w:type="dxa"/>
            <w:vAlign w:val="bottom"/>
          </w:tcPr>
          <w:p>
            <w:pPr>
              <w:jc w:val="right"/>
              <w:spacing w:after="0"/>
              <w:rPr>
                <w:sz w:val="20"/>
                <w:szCs w:val="20"/>
                <w:color w:val="auto"/>
              </w:rPr>
            </w:pPr>
            <w:r>
              <w:rPr>
                <w:rFonts w:ascii="Arial" w:cs="Arial" w:eastAsia="Arial" w:hAnsi="Arial"/>
                <w:sz w:val="18"/>
                <w:szCs w:val="18"/>
                <w:color w:val="auto"/>
              </w:rPr>
              <w:t>46,663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gridSpan w:val="2"/>
            <w:vMerge w:val="restart"/>
          </w:tcPr>
          <w:p>
            <w:pPr>
              <w:jc w:val="right"/>
              <w:ind w:right="589"/>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December 31, 2010 and changes during the year ended December 31, 2010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509,370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(284,731)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weighted average grant date fair value of RSUs granted during the years ended December 31, 2010, 2009 and 2008 at market prices equal to Tree.com's common stock on the grant date was $8.09, $5.29 and $5.43, respectively.</w:t>
      </w:r>
    </w:p>
    <w:p>
      <w:pPr>
        <w:spacing w:after="0" w:line="18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total fair value of RSUs that vested during the years ended December 31, 2010, 2009 and 2008 was $2.3 million, $0.3 million and $1.2 million, respectively.</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In connection with the spin-off, the Chairman and CEO was granted 117,970 shares of restricted stock in 2008, which were equal to 1% of the fully diluted equity of the Company at the spin-off date. These shares of restricted stock vested during the year ended December 31, 2009, had a total fair value of</w:t>
      </w:r>
    </w:p>
    <w:p>
      <w:pPr>
        <w:ind w:right="180"/>
        <w:spacing w:after="0" w:line="292" w:lineRule="auto"/>
        <w:rPr>
          <w:sz w:val="20"/>
          <w:szCs w:val="20"/>
          <w:color w:val="auto"/>
        </w:rPr>
      </w:pPr>
      <w:r>
        <w:rPr>
          <w:rFonts w:ascii="Arial" w:cs="Arial" w:eastAsia="Arial" w:hAnsi="Arial"/>
          <w:sz w:val="16"/>
          <w:szCs w:val="16"/>
          <w:color w:val="auto"/>
        </w:rPr>
        <w:t>$0.9 million, and their weighted average grant date fair value was $7.46. The Chairman and CEO was also granted 350,000 shares of restricted stock in 2009, which was treated as a modification of the cancelled stock option award of 589,850 shares discussed above. These shares of restricted stock had a weighted average grant date fair value of $5.42. The incremental non-cash compensation expense for this modification is $0.7 million, which will be recognized over the vesting period of four years. During the year ended December 31, 2010, the Chairman and CEO was granted 150,000 shares of restricted stock. These shares of restricted stock had a weighted average grant date fair value of $9.21 and a total fair value of $1.4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Instruments Denominated in the Shares of Certain Subsidiaries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Subsequent to December 31, 2010, the Company has granted common shares in various operating subsidiaries to certain members of the subsidiaries' management. These equity awards vest over a period of years or upon the occurrence of certain prescribed events. The Company has taken a preferred interest in the subsidiary with a face value equal to its investment cost or a certain other fixed amount. These preferred interests accrete with paid-in-kind dividends at a prescribed rate of return. The equity awards management receives as a whole generally represent a small minority of the total common stock outstanding of each subsidiary. Accordingly, these interests only have value to the extent the relevant business appreciates in value above the preferred interest (including the accretion of dividends), our investment cost or other fixed amount. These interests can have significant value in the event of significant appreciation. The interests are ultimately settled in Tree.com common stock or cash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at the sole option of Tree.com, with fair market value determined by negotiation or arbitration, at various dates through 2015. The expense associated with these equity awards is initially measured at fair value at the grant date and is amortized ratably as non-cash compensation over the vesting term. The aggregate number of Tree.com common shares that would be required to settle these interests at current estimated fair values, including vested and unvested interests, will be included in future calculations of diluted earnings per share if the effect is dilutive.</w:t>
      </w:r>
    </w:p>
    <w:p>
      <w:pPr>
        <w:spacing w:after="0" w:line="167"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The operating subsidiaries are party to fair value put and call arrangements with respect to these interests. These put and call arrangements allow management of these businesses to require the relevant operating subsidiary to purchase their interests or allow the operating subsidiary to acquire such interests at fair value, respectively. These put and call arrangements become exercisable by the operating subsidiary and the counter-party at various dates through 2015. These put arrangements are exercisable by the counter-party outside the control of the Company. Accordingly, to the extent that the fair value of these interests exceeds the value determined by normal non-controlling interest accounting, the value of such interests is adjusted to fair value with a corresponding adjustment to additional paid-in capital. Non-controlling interests in the consolidated subsidiaries of the Company should be reported on the consolidated balance sheet within shareholders' equity, separately from the Company's equity. However, in accordance with Accounting Standards Update 2009-04, "Accounting for Redeemable Equity Investments-Amendment to ASC 480-10-599", securities that are redeemable at the option of the holder and not solely within the control of the issuer, must be classified outside of shareholders' equity. Since the redemption of the non-controlling interests is outside the control of the Company, these interests will be included in the mezzanine section of future consolidated balance sheets, outside of shareholders'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2009</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Intangible assets with indefinite lives</w:t>
            </w:r>
          </w:p>
        </w:tc>
        <w:tc>
          <w:tcPr>
            <w:tcW w:w="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continu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43,242</w:t>
            </w: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52,733</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Intangible assets with definite lives,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40" w:type="dxa"/>
            <w:vAlign w:val="bottom"/>
            <w:vMerge w:val="restart"/>
          </w:tcPr>
          <w:p>
            <w:pPr>
              <w:ind w:left="120"/>
              <w:spacing w:after="0"/>
              <w:rPr>
                <w:sz w:val="20"/>
                <w:szCs w:val="20"/>
                <w:color w:val="auto"/>
              </w:rPr>
            </w:pPr>
            <w:r>
              <w:rPr>
                <w:rFonts w:ascii="Arial" w:cs="Arial" w:eastAsia="Arial" w:hAnsi="Arial"/>
                <w:sz w:val="18"/>
                <w:szCs w:val="18"/>
                <w:color w:val="auto"/>
              </w:rPr>
              <w:t>Total intangible assets, net</w:t>
            </w:r>
          </w:p>
        </w:tc>
        <w:tc>
          <w:tcPr>
            <w:tcW w:w="10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45,419</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 At December 31, 2010, intangible assets with definite lives relate to the following ($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75,453</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(75,288)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(29,838)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(8,346)</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r>
      <w:tr>
        <w:trPr>
          <w:trHeight w:val="21"/>
        </w:trPr>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122,341</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(120,164)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5780" w:type="dxa"/>
            <w:vAlign w:val="bottom"/>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8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5960" w:type="dxa"/>
            <w:vAlign w:val="bottom"/>
            <w:gridSpan w:val="4"/>
          </w:tcPr>
          <w:p>
            <w:pPr>
              <w:jc w:val="right"/>
              <w:spacing w:after="0"/>
              <w:rPr>
                <w:sz w:val="20"/>
                <w:szCs w:val="20"/>
                <w:color w:val="auto"/>
              </w:rPr>
            </w:pPr>
            <w:r>
              <w:rPr>
                <w:rFonts w:ascii="Arial" w:cs="Arial" w:eastAsia="Arial" w:hAnsi="Arial"/>
                <w:sz w:val="18"/>
                <w:szCs w:val="18"/>
                <w:color w:val="auto"/>
                <w:w w:val="89"/>
              </w:rPr>
              <w:t>At December 31, 2009, intangible assets with definite lives relate to the following ($</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8"/>
              </w:rPr>
              <w:t>in thousands):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76,352</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(74,657)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(29,396)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(8,467)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r>
      <w:tr>
        <w:trPr>
          <w:trHeight w:val="21"/>
        </w:trPr>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124,044</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(119,151)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8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December 31, 2010 balances, such amortization is estimated to be as follows (in thousands):</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-103505</wp:posOffset>
            </wp:positionV>
            <wp:extent cx="434784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2012</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2014</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43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220" w:hanging="219"/>
        <w:spacing w:after="0"/>
        <w:tabs>
          <w:tab w:leader="none" w:pos="2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1,084</w:t>
      </w:r>
    </w:p>
    <w:p>
      <w:pPr>
        <w:spacing w:after="0" w:line="4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410</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143</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2,177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2800"/>
          </w:cols>
          <w:pgMar w:left="240" w:top="131" w:right="499" w:bottom="1440" w:gutter="0" w:footer="0" w:header="0"/>
          <w:type w:val="continuous"/>
        </w:sectPr>
      </w:pP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presents the balance of goodwill by segment, including changes in the carrying amount of goodwill, for the years ended December 31, 2010, 2009 and 2008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LendingTree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Exchanges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2008</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483,703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(413,835)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(459,463)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Impairment losses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(69,253)</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(60,806)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2008</w:t>
            </w: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(46,526)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(483,088)</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(60,806)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(590,420)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Goodwill acquired during the year</w:t>
            </w: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deductions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485,955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602,572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(60,806)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(590,420)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during the year</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Impairment losses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deductions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2010</w:t>
            </w: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(46,526)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(483,088)</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(62,124)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(591,738)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principally relate to business combinations. See Note 1.</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Other deductions principally relate to the establishment of deferred tax assets related to acquired tax attributes and the income tax benefit realized pursuant to the exercise of stock options assumed in a business acquisition that were vested at the transaction date and are treated as a reduction in goodwill when the income tax deductions are realized. The impairments are described below.</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its annual impairment assessment as of October 1, 2010, Tree.com identified and recorded impairment charges related to goodwill and trademarks of $1.3 million and $9.0 million, respectively, in Real Estate. These impairments were the result of the Company's reassessment of Real Estate's future anticipated cash flows given the continued challenging real estate market conditions. These include an increased rate of mortgage loan delinquencies and home foreclosures,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ultimately lead to declines in real estate values, which is the basis for Real Estate commission revenue. In addition, there were impairment charges of $0.5 million related to trademarks in the Exchanges.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the annual impairment assessment as of October 1, 2009, Tree.com performed an interim impairment test in the second quarter of 2009 and recorded impairment charges of $3.9 million related to definite-lived intangible assets within the new homes referral service business of Real Estate. In the second quarter of 2009, the new Real Estate operating segment leadership undertook significant changes in management, operational focus and marketing efforts related to the new homes referral service business. These changes combined with the continued deterioration of new housing starts and new homes sales during the first half of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 In connection with the annual impairment test as of October 1, 2009, Tree.com recorded impairment charges of $0.5 million and $1.7 million related to trademarks within the Exchanges and Real Estate segments, respectively.</w:t>
      </w:r>
    </w:p>
    <w:p>
      <w:pPr>
        <w:spacing w:after="0" w:line="17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addition to the annual impairment assessment as of October 1, 2008, Tree.com performed an interim impairment test in the second quarter of 2008 in light of continued adverse developments in the mortgage and real estate markets. In the second quarter of 2008, Tree.com recorded impairment charges of</w:t>
      </w:r>
    </w:p>
    <w:p>
      <w:pPr>
        <w:ind w:right="20"/>
        <w:spacing w:after="0" w:line="254" w:lineRule="auto"/>
        <w:rPr>
          <w:sz w:val="20"/>
          <w:szCs w:val="20"/>
          <w:color w:val="auto"/>
        </w:rPr>
      </w:pPr>
      <w:r>
        <w:rPr>
          <w:rFonts w:ascii="Arial" w:cs="Arial" w:eastAsia="Arial" w:hAnsi="Arial"/>
          <w:sz w:val="18"/>
          <w:szCs w:val="18"/>
          <w:color w:val="auto"/>
        </w:rPr>
        <w:t>$131.0 million and $33.4 million related to goodwill and an indefinite-lived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 No further impairment was indicated in the test as of October 1, 2008.</w:t>
      </w:r>
    </w:p>
    <w:p>
      <w:pPr>
        <w:spacing w:after="0" w:line="198"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impairments resulted from the Company's reassessment of its likely future profitability in light of the adverse developments in the mortgage and real estate market conditions and the operational strategies Tree.com has undertaken in response to these market realities. These adverse conditions include, among others, constrained liquidity, lender focus on low margin conforming loans, uncertainty as to the eventuality and timing of the return of higher margin mortgage offerings, the decline in real estate values and a high rate of delinquency for existing mortgages. Tree.com updated its assessment of mortgage and real estate market conditions and Tree.com's responsive operational strategies and quantified these considerations in the future forecasted results.</w:t>
      </w:r>
    </w:p>
    <w:p>
      <w:pPr>
        <w:spacing w:after="0" w:line="170"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Company determines the fair values of its reporting units using discounted cash flow ("DCF") analyses. Determining fair value requires the exercise of significant judgment, including judgment about the amount and timing of expected future cash flows and appropriate discount rates. The expected cash flows used in the DCF analyses are based on the Company's most recent budget and, for years beyond the budget, the Company's estimates, which are based, in part, on forecasted growth rates. The discount rates used in the DCF analyses reflect the risks inherent in the expected future cash flows of the respective reporting units.</w:t>
      </w:r>
    </w:p>
    <w:p>
      <w:pPr>
        <w:spacing w:after="0" w:line="15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determines the fair values of its indefinite-lived intangible assets using avoided royalty DCF valuation analyses. Significant judgments inherent in these analyses include the selection of appropriate royalty and discount rates and estimating the amount and timing of expected future cash flows. The discount rates used in the DCF analyses reflect the risks inherent in the expected future cash flows generated by the respective intangible assets. The royalty rates used in the DCF analyses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based upon an estimate of the royalty rates that a market participant would pay to license the Company's trade names and trademarks.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35,881</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2,888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4,096</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Projects in progress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1,532</w:t>
            </w: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44,397</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(34,081)</w:t>
            </w: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(32,140)</w:t>
            </w: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12,257</w:t>
            </w:r>
          </w:p>
        </w:tc>
      </w:tr>
      <w:tr>
        <w:trPr>
          <w:trHeight w:val="27"/>
        </w:trPr>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The Company capitalized $6.1 million, $2.7 million, and $2.1 million of internal software development costs during the years ended December 31, 2010, 2009 and 2008, respectively. Unamortized capitalized software development costs were $7.5 million and $4.8 million at December 31, 2010 and 2009, respectively. Capitalized software development amortization expense was $3.1 million, $2.0 million, and $1.7 million for the years ended December 31, 2010, 2009 and 2008, respectively. Software development costs increased in 2010 due to our expanded investment in the businesses outside of the mortgage and real estate industries.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December 31, 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loan loss liability related to loans previously</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Loan loss settlement liability related to loans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previously sold</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8,095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and escrows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Arial" w:cs="Arial" w:eastAsia="Arial" w:hAnsi="Arial"/>
                <w:sz w:val="18"/>
                <w:szCs w:val="18"/>
                <w:color w:val="auto"/>
                <w:w w:val="93"/>
              </w:rPr>
              <w:t>Total accrued expenses and other current liabilities</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39,425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40" w:type="dxa"/>
            <w:vAlign w:val="bottom"/>
            <w:gridSpan w:val="2"/>
            <w:vMerge w:val="restart"/>
          </w:tcPr>
          <w:p>
            <w:pPr>
              <w:jc w:val="right"/>
              <w:ind w:right="35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 (Continued)</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other category above reflects an estimated earnout payable related to an acquisition, franchise taxes, self-insured health claims and other miscellaneous accrued expenses.</w:t>
      </w:r>
    </w:p>
    <w:p>
      <w:pPr>
        <w:spacing w:after="0" w:line="186"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 additional $11.5 million and $6.4 million of accrued loan loss liability related to loans previously sold is classified in other long term liabilities at December 31, 2010 and December 31, 2009, respectively.</w:t>
      </w:r>
    </w:p>
    <w:p>
      <w:pPr>
        <w:spacing w:after="0" w:line="186" w:lineRule="exact"/>
        <w:rPr>
          <w:sz w:val="20"/>
          <w:szCs w:val="20"/>
          <w:color w:val="auto"/>
        </w:rPr>
      </w:pPr>
    </w:p>
    <w:p>
      <w:pPr>
        <w:ind w:right="940" w:firstLine="341"/>
        <w:spacing w:after="0" w:line="268" w:lineRule="auto"/>
        <w:rPr>
          <w:sz w:val="20"/>
          <w:szCs w:val="20"/>
          <w:color w:val="auto"/>
        </w:rPr>
      </w:pPr>
      <w:r>
        <w:rPr>
          <w:rFonts w:ascii="Arial" w:cs="Arial" w:eastAsia="Arial" w:hAnsi="Arial"/>
          <w:sz w:val="18"/>
          <w:szCs w:val="18"/>
          <w:color w:val="auto"/>
        </w:rPr>
        <w:t>An additional $1.4 million and $0.8 million of accrued restructuring liability is classified in other long term liabilities at December 31, 2010 and December 31, 2009,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Borrowings on warehouse lines of credit were $100.6 million and $78.5 million at December 31, 2010 and December 31, 2009, respectively.</w:t>
      </w:r>
    </w:p>
    <w:p>
      <w:pPr>
        <w:spacing w:after="0" w:line="248"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of December 31, 2010, LendingTree Loans had two committed lines of credit totaling $150.0 million of borrowing capacity.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held for sale by LendingTree Loans.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$50.0 million first line is scheduled to expire June 29, 2011. This line can be cancelled at the option of the lender without default upon sixty days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first line includes an additional uncommitted credit facility of $25.0 million. This first line is also guaranteed by Tree.com, Inc., LendingTree, LLC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LendingTree Holdings Corp. The interest rate under the first line is 30-day LIBOR or 2.00% (whichever is greater) plus 2.25%. The interest rate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uncommitted line is 30-day LIBOR plus 1.50%. LendingTree Loans is also required to sell at least 25% of the loans it originates to the lender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line or pay a "pair-off fee" of 0.25% on the difference between the required and actual volume of loans sold.</w:t>
      </w:r>
    </w:p>
    <w:p>
      <w:pPr>
        <w:spacing w:after="0" w:line="219"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borrowing capacity of the second line was increased from $75.0 million to $100.0 million upon renewal of the line effective October 29, 2010. The expiration date of this line is October 28, 2011. This second line is also guaranteed by Tree.com, Inc., LendingTree, LLC and LendingTree Holdings Corp. The interest rate under this line was decreased from 30-day Adjusted LIBOR or 2.0% (whichever is greater) plus 2.50% to 3.0% prior to renewal, to 30-day Adjusted LIBOR or 2.0% (whichever is greater) plus 2.25% to 2.5% after renewal, for loans being sold to the lender. Additionally, the interest rate for loans not being sold to the lender was decreased from 30-day Adjusted LIBOR or 2.0% (whichever is greater) plus 2.75% prior to renewal, to 30-day Adjusted LIBOR or 2.0% (whichever is greater) plus 2.25% after renewal.</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 (vi) pre-tax net income requirements and (vii) a maximum warehouse capacity ratio. During the year ended December 31, 2010, LendingTree Loans was in compliance with the covenants under the lines.</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7—WAREHOUSE LINES OF CREDIT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intend to renew the lines that are expiring on June 29, 2011 and October 28, 2011.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expenses such as finance, legal, executive, technology support, and human resources, as well as elimination of inter-segment revenue and costs.</w:t>
      </w:r>
    </w:p>
    <w:p>
      <w:pPr>
        <w:spacing w:after="0" w:line="161" w:lineRule="exact"/>
        <w:rPr>
          <w:sz w:val="20"/>
          <w:szCs w:val="20"/>
          <w:color w:val="auto"/>
        </w:rPr>
      </w:pPr>
    </w:p>
    <w:p>
      <w:pPr>
        <w:ind w:right="54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right="60" w:firstLine="8"/>
        <w:spacing w:after="0" w:line="287"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litigation settlements and contingencies, (6) pro forma adjustments for significant acquisitions, and (7) one-time items, which are truly one-time in nature and non-recurring, infrequent or unusual, and have not occurred in the past two years or are not expected to recur in the next two years, in accordance with SEC rules. For the periods presented in this report, there are no one-time items.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During the third quarter of 2010, the Company changed its accounting policy for inter-segment revenue and inter-segment marketing expense between the LendingTree Loans and Exchanges segments. This change only impacts the individual segment results, and does not impact the consolidated financial results of Tree.com.</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Marketing expense for the Exchanges is primarily related to the building and maintaining of the Company's core brands, using both online and offline spending, and generates leads not only for the Exchanges but for other segments as well. Previously, marketing expense for LendingTree Loans was primarily comprised of inter-segment purchases of leads from the Exchanges, leveraging the LendingTree and GetSmart brands. The Exchanges received inter-segment revenue for the sale of these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leads, and that revenue and the related marketing expense at LendingTree Loans would then be eliminated in consolidation of the total Company results.</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now uses a cost sharing approach for these marketing expenses, whereby LendingTree Loans and the Exchanges now share the marketing expense on a pro rata basis, based on the quantity of leads received by each segment. There is no longer inter-segment revenue or inter-segment marketing expense between these two segments related to these leads. Management believes that this cost sharing approach is preferable because it more closely aligns the overall goals of the Company with the goals of segment management, and may ultimately drive the Company to better performance. Segment reporting results for prior periods have been restated to conform to the new presentation.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reconciliations to EBITDA, Adjusted EBITDA and net loss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w w:val="89"/>
              </w:rPr>
              <w:t>For the Year Ended December 31, 2010: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Real</w:t>
            </w:r>
          </w:p>
        </w:tc>
        <w:tc>
          <w:tcPr>
            <w:tcW w:w="60" w:type="dxa"/>
            <w:vAlign w:val="bottom"/>
          </w:tcPr>
          <w:p>
            <w:pPr>
              <w:spacing w:after="0"/>
              <w:rPr>
                <w:sz w:val="11"/>
                <w:szCs w:val="11"/>
                <w:color w:val="auto"/>
              </w:rPr>
            </w:pPr>
          </w:p>
        </w:tc>
        <w:tc>
          <w:tcPr>
            <w:tcW w:w="110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Exchanges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198,181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58,064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140,117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54,682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158,173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(18,056)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Post acquisition adjustments</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(18,152)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Reconciliation to net loss in total:</w:t>
            </w: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per above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88"/>
              </w:rPr>
              <w:t>For the Year Ended December 31, 2009:</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LendingTree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74,760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142,015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64,901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13,208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166,328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(16,481)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(44,672)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(24,313)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(11,696)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(43,001)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(24,313)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(24,842)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(24,474)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center"/>
              <w:ind w:right="133"/>
              <w:spacing w:after="0"/>
              <w:rPr>
                <w:sz w:val="20"/>
                <w:szCs w:val="20"/>
                <w:color w:val="auto"/>
              </w:rPr>
            </w:pPr>
            <w:r>
              <w:rPr>
                <w:rFonts w:ascii="Arial" w:cs="Arial" w:eastAsia="Arial" w:hAnsi="Arial"/>
                <w:sz w:val="18"/>
                <w:szCs w:val="18"/>
                <w:color w:val="auto"/>
                <w:w w:val="89"/>
              </w:rPr>
              <w:t>78</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 2008: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LendingTree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Real</w:t>
            </w:r>
          </w:p>
        </w:tc>
        <w:tc>
          <w:tcPr>
            <w:tcW w:w="60" w:type="dxa"/>
            <w:vAlign w:val="bottom"/>
          </w:tcPr>
          <w:p>
            <w:pPr>
              <w:spacing w:after="0"/>
              <w:rPr>
                <w:sz w:val="11"/>
                <w:szCs w:val="11"/>
                <w:color w:val="auto"/>
              </w:rPr>
            </w:pPr>
          </w:p>
        </w:tc>
        <w:tc>
          <w:tcPr>
            <w:tcW w:w="11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Exchanges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Estate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228,572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76,797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102,630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(76,852)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(215,030)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(71,551)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(197,005)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(215,030)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(215,550)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(202,276)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years ended December 31, 2010, 2009, and 2008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113,425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110,320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88,968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Other(a)</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8,961</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LendingTree Loans revenue</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124,180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117,670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48,506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44,620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57,524</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35,570</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2,893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Inter-segment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60,118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70,660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35,927</w:t>
            </w: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198,181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216,775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228,572</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140" w:hanging="550"/>
        <w:spacing w:after="0" w:line="268" w:lineRule="auto"/>
        <w:tabs>
          <w:tab w:leader="none" w:pos="2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revenue within the LendingTree Loans segment includes $1.2 million of inter-segment revenue for the year ended December 31, 2008 which is also included in the inter-segment elimination.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December 31, 2010 and 2009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194,244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167,976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28,031</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95,825</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282,802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840" w:hanging="550"/>
        <w:spacing w:after="0" w:line="268"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expenditures by segment during the years ended December 31, 2010 and 2009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LendingTree Loans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w w:val="93"/>
              </w:rPr>
              <w:t>Exchanges and Unallocated—Corporate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2,136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140" w:type="dxa"/>
            <w:vAlign w:val="bottom"/>
            <w:vMerge w:val="restart"/>
          </w:tcPr>
          <w:p>
            <w:pPr>
              <w:jc w:val="right"/>
              <w:ind w:right="169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computation of basic and diluted earnings per share for the years ended December 31, 2010, 2009 and 2008: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2"/>
              </w:rPr>
              <w:t>Diluted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Basic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Basic</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Diluted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2"/>
                <w:szCs w:val="12"/>
                <w:b w:val="1"/>
                <w:bCs w:val="1"/>
                <w:color w:val="auto"/>
                <w:w w:val="81"/>
              </w:rPr>
              <w:t>(In</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thousands,</w:t>
            </w:r>
          </w:p>
        </w:tc>
        <w:tc>
          <w:tcPr>
            <w:tcW w:w="9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7"/>
              </w:rPr>
              <w:t>except per share</w:t>
            </w: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7"/>
              </w:rPr>
              <w:t>data)</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1"/>
              </w:rPr>
              <w:t>Net loss available to common shareholders</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(17,585)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(24,474)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(24,474)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(202,276)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(202,276)</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9,368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w:t>
            </w: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40" w:hanging="531"/>
        <w:spacing w:after="0" w:line="268" w:lineRule="auto"/>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common shares for the period from January 1, 2008 until the spin-off from IAC is equal to the number of shares outstanding immediately following the spin-off from IAC.</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Equity awards that could potentially dilute basic earnings per share in the future were not included in the computation of diluted earnings per share because to do so would have been anti-dilutive for the periods presented. See Note 3 for a full description of outstanding equity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January 11, 2010, the Company announced that its Board of Directors authorized the repurchase of up to $10 million of Tree.com common stock. During 2010, the Company purchased 810,922 shares of Tree.com common stock for aggregate consideration of $5.7 million. At December 31, 2010, the Company had approximately $4.3 million remaining in its share repurchase authorization.</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during the fourth quarter of 2010 Tree.com suspended its share repurchase program in lieu of a "Dutch auction" tender offer. The completion of the tender offer was announced on December 23, 2010. During the offer period, which expired on December 17, 2010, Tree.com accepted for purchase 312,339 shares of its common stock at a price of $7.75 per share, for an aggregate purchase price of approximately $2.4 million, excluding fees and expenses related to the tender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21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with changes in fair value being recorded in current earnings as a component of revenue from the origination and sale of loans.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 is adjusted at the loan level to consider the servicing release premium and loan pricing adjustments specific to each loan. The Company applies an anticipated loan funding probability based on its own experience to value IRLCs, which results in the classification of these derivatives as Level 3. The value of the underlying loan and the anticipated loan funding probability are the most significant assumptions affecting the valuation of IRLCs. There were no significant changes to the methods and assumptions for valuing IRLCs in 2010. At December 31, 2010 and 2009, there were $216.6 million and $258.4 million, respectively, of IRLCs notional value outstanding.</w:t>
      </w:r>
    </w:p>
    <w:p>
      <w:pPr>
        <w:spacing w:after="0" w:line="17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equally both lien position and current status of the loan. There were no significant changes to the method and assumptions used to estimate the fair value of impaired loans in 2010. LendingTree Loans recognizes interest income separately from other changes in fair value.</w:t>
      </w:r>
    </w:p>
    <w:p>
      <w:pPr>
        <w:spacing w:after="0" w:line="162" w:lineRule="exact"/>
        <w:rPr>
          <w:sz w:val="20"/>
          <w:szCs w:val="20"/>
          <w:color w:val="auto"/>
        </w:rPr>
      </w:pPr>
    </w:p>
    <w:p>
      <w:pPr>
        <w:ind w:right="100" w:firstLine="351"/>
        <w:spacing w:after="0" w:line="312" w:lineRule="auto"/>
        <w:rPr>
          <w:sz w:val="20"/>
          <w:szCs w:val="20"/>
          <w:color w:val="auto"/>
        </w:rPr>
      </w:pPr>
      <w:r>
        <w:rPr>
          <w:rFonts w:ascii="Arial" w:cs="Arial" w:eastAsia="Arial" w:hAnsi="Arial"/>
          <w:sz w:val="15"/>
          <w:szCs w:val="15"/>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There were no significant changes to the methods and assumptions for valuing hedging instruments in 2010. TBA MBS used to hedge both IRLCs and loans are valued using quantitative risk models based primarily on inputs related to characteristics of the MBS stratified by product, coupon, and settlement date. These 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contracts as Level 3. The current base loan price and the anticipated loan funding probability are the most significant assumptions affecting the value of the best efforts commitments.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presents Tree.com's assets and liabilities that are measured at fair value on a recurring basis at December 31, 2010 and 2009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4"/>
              </w:rPr>
              <w:t>As of December 31, 2010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9"/>
          </w:tcPr>
          <w:p>
            <w:pPr>
              <w:ind w:left="84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4"/>
              </w:rPr>
              <w:t>As of December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9"/>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83</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years ended December 31, 2010, 2009 and 2008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2010</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Interest Rate Lock</w:t>
            </w:r>
          </w:p>
        </w:tc>
        <w:tc>
          <w:tcPr>
            <w:tcW w:w="13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Forward Delivery</w:t>
            </w:r>
          </w:p>
        </w:tc>
        <w:tc>
          <w:tcPr>
            <w:tcW w:w="84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5"/>
              </w:rPr>
              <w:t>Loans Held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for 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60" w:type="dxa"/>
            <w:vAlign w:val="bottom"/>
          </w:tcPr>
          <w:p>
            <w:pPr>
              <w:ind w:left="120"/>
              <w:spacing w:after="0"/>
              <w:rPr>
                <w:sz w:val="20"/>
                <w:szCs w:val="20"/>
                <w:color w:val="auto"/>
              </w:rPr>
            </w:pPr>
            <w:r>
              <w:rPr>
                <w:rFonts w:ascii="Arial" w:cs="Arial" w:eastAsia="Arial" w:hAnsi="Arial"/>
                <w:sz w:val="18"/>
                <w:szCs w:val="18"/>
                <w:color w:val="auto"/>
              </w:rPr>
              <w:t>Total net gains (losses) included in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300"/>
              <w:spacing w:after="0"/>
              <w:rPr>
                <w:sz w:val="20"/>
                <w:szCs w:val="20"/>
                <w:color w:val="auto"/>
              </w:rPr>
            </w:pPr>
            <w:r>
              <w:rPr>
                <w:rFonts w:ascii="Arial" w:cs="Arial" w:eastAsia="Arial" w:hAnsi="Arial"/>
                <w:sz w:val="18"/>
                <w:szCs w:val="18"/>
                <w:color w:val="auto"/>
              </w:rPr>
              <w:t>earnings (realized and unrealized)</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(17,301)</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(88,049)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2009</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Interest Rate Lock</w:t>
            </w:r>
          </w:p>
        </w:tc>
        <w:tc>
          <w:tcPr>
            <w:tcW w:w="13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Forward Delivery</w:t>
            </w:r>
          </w:p>
        </w:tc>
        <w:tc>
          <w:tcPr>
            <w:tcW w:w="84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5"/>
              </w:rPr>
              <w:t>Loans Held</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for 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Total net gains (losses) included in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060" w:type="dxa"/>
            <w:vAlign w:val="bottom"/>
          </w:tcPr>
          <w:p>
            <w:pPr>
              <w:ind w:left="300"/>
              <w:spacing w:after="0"/>
              <w:rPr>
                <w:sz w:val="20"/>
                <w:szCs w:val="20"/>
                <w:color w:val="auto"/>
              </w:rPr>
            </w:pPr>
            <w:r>
              <w:rPr>
                <w:rFonts w:ascii="Arial" w:cs="Arial" w:eastAsia="Arial" w:hAnsi="Arial"/>
                <w:sz w:val="18"/>
                <w:szCs w:val="18"/>
                <w:color w:val="auto"/>
              </w:rPr>
              <w:t>earnings (realized and unrealized)</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(38,523)</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December 31, 2009</w:t>
            </w: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37"/>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2008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Interest Rate Lock</w:t>
            </w:r>
          </w:p>
        </w:tc>
        <w:tc>
          <w:tcPr>
            <w:tcW w:w="13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Forward Delivery</w:t>
            </w:r>
          </w:p>
        </w:tc>
        <w:tc>
          <w:tcPr>
            <w:tcW w:w="84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5"/>
              </w:rPr>
              <w:t>Loans Held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for 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60" w:type="dxa"/>
            <w:vAlign w:val="bottom"/>
          </w:tcPr>
          <w:p>
            <w:pPr>
              <w:ind w:left="120"/>
              <w:spacing w:after="0"/>
              <w:rPr>
                <w:sz w:val="20"/>
                <w:szCs w:val="20"/>
                <w:color w:val="auto"/>
              </w:rPr>
            </w:pPr>
            <w:r>
              <w:rPr>
                <w:rFonts w:ascii="Arial" w:cs="Arial" w:eastAsia="Arial" w:hAnsi="Arial"/>
                <w:sz w:val="18"/>
                <w:szCs w:val="18"/>
                <w:color w:val="auto"/>
              </w:rPr>
              <w:t>Total net gains (losses) included in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300"/>
              <w:spacing w:after="0"/>
              <w:rPr>
                <w:sz w:val="20"/>
                <w:szCs w:val="20"/>
                <w:color w:val="auto"/>
              </w:rPr>
            </w:pPr>
            <w:r>
              <w:rPr>
                <w:rFonts w:ascii="Arial" w:cs="Arial" w:eastAsia="Arial" w:hAnsi="Arial"/>
                <w:sz w:val="18"/>
                <w:szCs w:val="18"/>
                <w:color w:val="auto"/>
              </w:rPr>
              <w:t>earnings (realized and unrealized)</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61,152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(24,023)</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presents the gains included in earnings for the years ended December 31, 2010, 2009 and 2008 relating to Tree.com's assets and liabilities that are measured at fair value on a recurring basis using significant unobservable inputs (Level 3)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2010</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24"/>
              <w:spacing w:after="0" w:line="129" w:lineRule="exact"/>
              <w:rPr>
                <w:sz w:val="20"/>
                <w:szCs w:val="20"/>
                <w:color w:val="auto"/>
              </w:rPr>
            </w:pPr>
            <w:r>
              <w:rPr>
                <w:rFonts w:ascii="Arial" w:cs="Arial" w:eastAsia="Arial" w:hAnsi="Arial"/>
                <w:sz w:val="14"/>
                <w:szCs w:val="14"/>
                <w:b w:val="1"/>
                <w:bCs w:val="1"/>
                <w:color w:val="auto"/>
                <w:w w:val="85"/>
              </w:rPr>
              <w:t>Interest Rate Lock</w:t>
            </w:r>
          </w:p>
        </w:tc>
        <w:tc>
          <w:tcPr>
            <w:tcW w:w="160" w:type="dxa"/>
            <w:vAlign w:val="bottom"/>
          </w:tcPr>
          <w:p>
            <w:pPr>
              <w:spacing w:after="0"/>
              <w:rPr>
                <w:sz w:val="11"/>
                <w:szCs w:val="11"/>
                <w:color w:val="auto"/>
              </w:rPr>
            </w:pPr>
          </w:p>
        </w:tc>
        <w:tc>
          <w:tcPr>
            <w:tcW w:w="13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Forward Delivery</w:t>
            </w:r>
          </w:p>
        </w:tc>
        <w:tc>
          <w:tcPr>
            <w:tcW w:w="84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Loans Held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Sale</w:t>
            </w: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gains (losses) included in</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which are included 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107,656</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8"/>
                <w:szCs w:val="18"/>
                <w:color w:val="auto"/>
              </w:rPr>
              <w:t>Change in unrealized gains (losses)</w:t>
            </w: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relating to assets and liabilities still</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w w:val="94"/>
              </w:rPr>
              <w:t>held at December 31, 2010, which are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w w:val="94"/>
              </w:rPr>
              <w:t>included in revenue from LendingTree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5,986</w:t>
            </w: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9"/>
        </w:trPr>
        <w:tc>
          <w:tcPr>
            <w:tcW w:w="3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89"/>
              </w:rPr>
              <w:t>Year Ended December 31, 2009</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5"/>
              </w:rPr>
              <w:t>Interest Rate Lock</w:t>
            </w:r>
          </w:p>
        </w:tc>
        <w:tc>
          <w:tcPr>
            <w:tcW w:w="160" w:type="dxa"/>
            <w:vAlign w:val="bottom"/>
          </w:tcPr>
          <w:p>
            <w:pPr>
              <w:spacing w:after="0"/>
              <w:rPr>
                <w:sz w:val="11"/>
                <w:szCs w:val="11"/>
                <w:color w:val="auto"/>
              </w:rPr>
            </w:pPr>
          </w:p>
        </w:tc>
        <w:tc>
          <w:tcPr>
            <w:tcW w:w="13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Forward Delivery</w:t>
            </w: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Loans Held</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42"/>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140" w:type="dxa"/>
            <w:vAlign w:val="bottom"/>
          </w:tcPr>
          <w:p>
            <w:pPr>
              <w:spacing w:after="0"/>
              <w:rPr>
                <w:sz w:val="14"/>
                <w:szCs w:val="14"/>
                <w:color w:val="auto"/>
              </w:rPr>
            </w:pPr>
          </w:p>
        </w:tc>
        <w:tc>
          <w:tcPr>
            <w:tcW w:w="314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gains (losses) included in</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which are included 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91,712</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2300"/>
              <w:spacing w:after="0"/>
              <w:rPr>
                <w:sz w:val="20"/>
                <w:szCs w:val="20"/>
                <w:color w:val="auto"/>
              </w:rPr>
            </w:pPr>
            <w:r>
              <w:rPr>
                <w:rFonts w:ascii="Arial" w:cs="Arial" w:eastAsia="Arial" w:hAnsi="Arial"/>
                <w:sz w:val="18"/>
                <w:szCs w:val="18"/>
                <w:color w:val="auto"/>
              </w:rPr>
              <w:t>Change in unrealized gains (losses)</w:t>
            </w: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relating to assets and liabilities still</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w w:val="94"/>
              </w:rPr>
              <w:t>held at December 31, 2009, which are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w w:val="94"/>
              </w:rPr>
              <w:t>included in revenue from LendingTree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3,680</w:t>
            </w: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42"/>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 2008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24"/>
              <w:spacing w:after="0" w:line="129" w:lineRule="exact"/>
              <w:rPr>
                <w:sz w:val="20"/>
                <w:szCs w:val="20"/>
                <w:color w:val="auto"/>
              </w:rPr>
            </w:pPr>
            <w:r>
              <w:rPr>
                <w:rFonts w:ascii="Arial" w:cs="Arial" w:eastAsia="Arial" w:hAnsi="Arial"/>
                <w:sz w:val="14"/>
                <w:szCs w:val="14"/>
                <w:b w:val="1"/>
                <w:bCs w:val="1"/>
                <w:color w:val="auto"/>
                <w:w w:val="85"/>
              </w:rPr>
              <w:t>Interest Rate Lock</w:t>
            </w:r>
          </w:p>
        </w:tc>
        <w:tc>
          <w:tcPr>
            <w:tcW w:w="160" w:type="dxa"/>
            <w:vAlign w:val="bottom"/>
          </w:tcPr>
          <w:p>
            <w:pPr>
              <w:spacing w:after="0"/>
              <w:rPr>
                <w:sz w:val="11"/>
                <w:szCs w:val="11"/>
                <w:color w:val="auto"/>
              </w:rPr>
            </w:pPr>
          </w:p>
        </w:tc>
        <w:tc>
          <w:tcPr>
            <w:tcW w:w="13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Forward Delivery</w:t>
            </w:r>
          </w:p>
        </w:tc>
        <w:tc>
          <w:tcPr>
            <w:tcW w:w="84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Loans Held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8"/>
              </w:rPr>
              <w:t>Commitments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Sale</w:t>
            </w: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gains (losses) included in</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which are included 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61,152</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8"/>
                <w:szCs w:val="18"/>
                <w:color w:val="auto"/>
              </w:rPr>
              <w:t>Change in unrealized gains (losses)</w:t>
            </w: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relating to assets and liabilities still</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w w:val="94"/>
              </w:rPr>
              <w:t>held at December 31, 2008, which are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w w:val="94"/>
              </w:rPr>
              <w:t>included in revenue from LendingTree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5,904</w:t>
            </w: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9"/>
        </w:trPr>
        <w:tc>
          <w:tcPr>
            <w:tcW w:w="3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December 31, 2010 and 2009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As of December 31, 2010</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As of December 31, 2009</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4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c>
          <w:tcPr>
            <w:tcW w:w="2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2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Rate Lock</w:t>
            </w:r>
          </w:p>
        </w:tc>
        <w:tc>
          <w:tcPr>
            <w:tcW w:w="2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Prepaid and other current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Prepaid and other current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4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Forward Delivery</w:t>
            </w: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Prepaid and other current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Prepaid and other current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8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2,633</w:t>
            </w:r>
          </w:p>
        </w:tc>
        <w:tc>
          <w:tcPr>
            <w:tcW w:w="14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Rate Lock</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Forward Delivery</w:t>
            </w:r>
          </w:p>
        </w:tc>
        <w:tc>
          <w:tcPr>
            <w:tcW w:w="2820" w:type="dxa"/>
            <w:vAlign w:val="bottom"/>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6"/>
              </w:rPr>
              <w:t>Accrued expenses and other current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82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(1,629)</w:t>
            </w:r>
          </w:p>
        </w:tc>
        <w:tc>
          <w:tcPr>
            <w:tcW w:w="282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9"/>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gain recognized in the consolidated statements of operations for derivatives for the years ended December 31, 2010, 2009 and 2008 was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4"/>
              </w:rPr>
              <w:t>Location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4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Gain Recognized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Year Ended</w:t>
            </w:r>
          </w:p>
        </w:tc>
      </w:tr>
      <w:tr>
        <w:trPr>
          <w:trHeight w:val="149"/>
        </w:trPr>
        <w:tc>
          <w:tcPr>
            <w:tcW w:w="24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Income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40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on Derivative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r>
      <w:tr>
        <w:trPr>
          <w:trHeight w:val="201"/>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LendingTree Loans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61,152</w:t>
            </w: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LendingTree Loans revenue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(1,970)</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5,070</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r>
      <w:tr>
        <w:trPr>
          <w:trHeight w:val="21"/>
        </w:trPr>
        <w:tc>
          <w:tcPr>
            <w:tcW w:w="2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61,838</w:t>
            </w:r>
          </w:p>
        </w:tc>
      </w:tr>
      <w:tr>
        <w:trPr>
          <w:trHeight w:val="27"/>
        </w:trPr>
        <w:tc>
          <w:tcPr>
            <w:tcW w:w="2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and the forward delivery contracts used to economically hedge them without the burden of complying with the requirements for hedge accounting.</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December 31, 2010 and 2009, 23 and 29 such loans, respectively, all of which were impaired, were included in loans held for sale and were carried at the lower of cost or market ("LOCOM") value assessed on an individual loan basis. The market value (or fair value) of these impaired loans at December 31, 2010 and 2009, measured on a non-recurring basis using significant unobservable inputs (Level 3), was $0.8 million and $1.4 million, respectively. This fair value measurement is management's best estimate of the market value of such loans and considers the lien position and loan status.</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December 31, 2010 and 2009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As of December 31,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—Measured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—Measured at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LOCOM</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Held For 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115,406</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As of December 31,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 for Sale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—Measured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—Measured at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LOCOM</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Held For 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During the years ended December 31, 2010, 2009 and 2008, the change in fair value of loans held for sale for which the fair value option has been elected was a gain of $4.8 million, a loss of $0.3 million and a loss of $1.2 million, respectively, and are included as a component of LendingTree Loans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when there is an indicator of impairment and recorded at fair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value only when an impairment charge is recognized. Such impairment charges incorporate fair value measurements based on Level 3 inputs. See Note 4 for discussion of goodwill and intangible asset impairment charges.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Real estate properties acquired in satisfaction of loans totaled $0.1 million and $0.9 million, net of estimated selling expenses, at December 31, 2010 and 2009, respectively. The estimated fair values are determined using current real estate market conditions and estimated selling expenses, which are unobservable inputs (Level 3).</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disclosures represent financial instruments in which the ending balances at December 31, 2010 and 2009 are not carried at fair value in their entirety on the Company's consolidated balance sheets. The additional disclosure below of the estimated fair value of financial instruments has been determined by the Company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The Company's financial instruments also include letters of credit and surety bonds, for which the Company had $5.0 million in restricted cash at December 31, 2010 and 2009 as collateral for the surety bonds. These commitments remain in place to facilitate the commercial operations of certain Tree.com subsidiaries.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 2010</w:t>
            </w: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0"/>
              </w:rPr>
              <w:t>Carrying</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Loans held for sale, net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116,681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Warehouse lines of credit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(100,623)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(100,623)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(78,481)</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(7,387)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(5,905)</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(54,694)</w:t>
            </w: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Surety bonds and letters of credit</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(10,222)</w:t>
            </w:r>
          </w:p>
        </w:tc>
      </w:tr>
    </w:tbl>
    <w:p>
      <w:pPr>
        <w:spacing w:after="0" w:line="20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carrying amounts of cash and cash equivalents and restricted cash and cash equivalents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fair value of loans held for sale, net, was estimated using current secondary market prices for underlying loans with similar coupons, maturity and credit quality. The carrying amounts for the remaining warehouse lines of credit and all other financial instruments approximate their fair value.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right="2540" w:firstLine="2930"/>
        <w:spacing w:after="0" w:line="503" w:lineRule="auto"/>
        <w:rPr>
          <w:sz w:val="20"/>
          <w:szCs w:val="20"/>
          <w:color w:val="auto"/>
        </w:rPr>
      </w:pPr>
      <w:r>
        <w:rPr>
          <w:rFonts w:ascii="Arial" w:cs="Arial" w:eastAsia="Arial" w:hAnsi="Arial"/>
          <w:sz w:val="18"/>
          <w:szCs w:val="18"/>
          <w:b w:val="1"/>
          <w:bCs w:val="1"/>
          <w:color w:val="auto"/>
        </w:rPr>
        <w:t>NOTES TO CONSOLIDATED FINANCIAL STATEMENTS (Continued) NOTE 11—ORIGINATION AND SALE OF LOANS, LOANS HELD FOR SALE AND LOAN LOSS OBLIGATIONS Origination and Sale of Loans</w:t>
      </w:r>
    </w:p>
    <w:p>
      <w:pPr>
        <w:spacing w:after="0" w:line="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7"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years ended December 31, 2010, 2009 and 2008 is presented below ($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FHA and Alt-A</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Home equity</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held for sale by type of loan as of December 31, 2010 and 2009 ($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lef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center"/>
              <w:ind w:right="14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left="200"/>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200"/>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FHA and Alt-A</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16,596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Subprime</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gridSpan w:val="2"/>
            <w:vMerge w:val="continue"/>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320" w:type="dxa"/>
            <w:vAlign w:val="bottom"/>
            <w:vMerge w:val="restart"/>
          </w:tcPr>
          <w:p>
            <w:pPr>
              <w:jc w:val="right"/>
              <w:ind w:right="137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on nonaccrual status for which the fair value option has been elected and for loans measured at lower of cost or market as of December 31, 2010 and 2009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 unpaid principal balance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 unpaid principal balance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Included within the loans on nonaccrual status are repurchased loans with a net book value of $0.2 million and $0.7 million at December 31, 2010 and 2009, respectively. During the year ended December 31, 2010, LendingTree repurchased one loan with a balance of $0.3 million. During the year ended December 31, 2009 LendingTree Loans repurchased one loan with an unpaid principal balance of $0.1 million.</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Real estate properties acquired in satisfaction of loans totaled $0.1 million and $0.9 million, net of estimated selling expenses, at December 31, 2010 and 2009, respectively, and are included in prepaid and other current assets in the accompanying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LendingTree Loans sells loans it originates to investors on a servicing released basis and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obligated to repurchase the respective mortgage loan or indemnify the investors for any losses from borrower defaults if such deficiency or defect cannot be cured within the specified period following discovery.</w:t>
      </w:r>
    </w:p>
    <w:p>
      <w:pPr>
        <w:spacing w:after="0" w:line="186"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segment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sold for the period shown and the aggregate loan losses as of December 31, 2010, 2009 and 2008: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562"/>
              <w:spacing w:after="0"/>
              <w:rPr>
                <w:sz w:val="20"/>
                <w:szCs w:val="20"/>
                <w:color w:val="auto"/>
              </w:rPr>
            </w:pPr>
            <w:r>
              <w:rPr>
                <w:rFonts w:ascii="Arial" w:cs="Arial" w:eastAsia="Arial" w:hAnsi="Arial"/>
                <w:sz w:val="14"/>
                <w:szCs w:val="14"/>
                <w:b w:val="1"/>
                <w:bCs w:val="1"/>
                <w:color w:val="auto"/>
              </w:rPr>
              <w:t>As of December 31, 2010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2009</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562"/>
              <w:spacing w:after="0"/>
              <w:rPr>
                <w:sz w:val="20"/>
                <w:szCs w:val="20"/>
                <w:color w:val="auto"/>
              </w:rPr>
            </w:pPr>
            <w:r>
              <w:rPr>
                <w:rFonts w:ascii="Arial" w:cs="Arial" w:eastAsia="Arial" w:hAnsi="Arial"/>
                <w:sz w:val="14"/>
                <w:szCs w:val="14"/>
                <w:b w:val="1"/>
                <w:bCs w:val="1"/>
                <w:color w:val="auto"/>
              </w:rPr>
              <w:t>As of December 31, 2009</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2008</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2006</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gridSpan w:val="3"/>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603"/>
              <w:spacing w:after="0"/>
              <w:rPr>
                <w:sz w:val="20"/>
                <w:szCs w:val="20"/>
                <w:color w:val="auto"/>
              </w:rPr>
            </w:pPr>
            <w:r>
              <w:rPr>
                <w:rFonts w:ascii="Arial" w:cs="Arial" w:eastAsia="Arial" w:hAnsi="Arial"/>
                <w:sz w:val="14"/>
                <w:szCs w:val="14"/>
                <w:b w:val="1"/>
                <w:bCs w:val="1"/>
                <w:color w:val="auto"/>
              </w:rPr>
              <w:t>As of December 31, 2008</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3"/>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3"/>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3"/>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780" w:type="dxa"/>
            <w:vAlign w:val="bottom"/>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pipeline of 65 loan repurchase requests and indemnifications as of December 31, 2010 was considered in determining the appropriate reserve amount. The status of these 65 loans varied from an</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$11.7 million, comprised of approximately 75% full documentation first liens, 4% full documentation second liens, 14% low documentation first liens, and 7% low documentation second liens.</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accrued an additional loss amount of $0.3 million in conjunction with this settlement since it did not sell a certain volume of loans to this buyer in 2010. This amount is included in the total settlement amount and the estimated settlement payments remaining to be paid. This settlement amount is included as a charge off to the reserve in 2010 and is not included in the table above.</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December 31, 2010 LendingTree Loans estimated the range of remaining possible losses due to representations and warranty issues based on the methodology described above, excluding the $0.3 million settlement remaining to be paid in 2011, as $12 million to $21 million. The Company believes that it has adequately reserved for these losses.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years ended December 31, 2010, 2009 and 2008, is as follows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13,886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16,420</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offs to reserves(a)</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7"/>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Balance, end of year</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16,985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100" w:hanging="550"/>
        <w:spacing w:after="0" w:line="259"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December 31, 2010 includes a charge off for the amount of the $4.5 million loan loss settlement plus the $0.3 million additional accrual discussed above. The remaining settlement payment due of $0.3 million is tracked as a liability separate from the loan loss reserve (see table below).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Based on an analysis of the Company's historical loan loss experience, it has been determined that a portion of the loan losses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December 31, 2010 and 2009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4"/>
              </w:rPr>
              <w:t>As of December 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Current portion related to settlement above, included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 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2"/>
              </w:rPr>
              <w:t>Other current portion, included in accrued expenses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and other current liabilities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included in other long-term</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17,284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12—INCOME TAXES</w:t>
            </w: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3"/>
          </w:tcPr>
          <w:p>
            <w:pPr>
              <w:jc w:val="right"/>
              <w:spacing w:after="0"/>
              <w:rPr>
                <w:sz w:val="20"/>
                <w:szCs w:val="20"/>
                <w:color w:val="auto"/>
              </w:rPr>
            </w:pPr>
            <w:r>
              <w:rPr>
                <w:rFonts w:ascii="Arial" w:cs="Arial" w:eastAsia="Arial" w:hAnsi="Arial"/>
                <w:sz w:val="18"/>
                <w:szCs w:val="18"/>
                <w:color w:val="auto"/>
                <w:w w:val="94"/>
              </w:rPr>
              <w:t>The components of the income tax provision (benefit) are as follows (in thousands):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 provision: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(269)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2300"/>
              <w:spacing w:after="0"/>
              <w:rPr>
                <w:sz w:val="20"/>
                <w:szCs w:val="20"/>
                <w:color w:val="auto"/>
              </w:rPr>
            </w:pPr>
            <w:r>
              <w:rPr>
                <w:rFonts w:ascii="Arial" w:cs="Arial" w:eastAsia="Arial" w:hAnsi="Arial"/>
                <w:sz w:val="18"/>
                <w:szCs w:val="18"/>
                <w:color w:val="auto"/>
              </w:rPr>
              <w:t>Current income tax provision</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benefit: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(11,266)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2300"/>
              <w:spacing w:after="0"/>
              <w:rPr>
                <w:sz w:val="20"/>
                <w:szCs w:val="20"/>
                <w:color w:val="auto"/>
              </w:rPr>
            </w:pPr>
            <w:r>
              <w:rPr>
                <w:rFonts w:ascii="Arial" w:cs="Arial" w:eastAsia="Arial" w:hAnsi="Arial"/>
                <w:sz w:val="18"/>
                <w:szCs w:val="18"/>
                <w:color w:val="auto"/>
              </w:rPr>
              <w:t>Deferred income tax benefit</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(1,270)</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(382)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tax effects of cumulative temporary differences that give rise to significant portions of the deferred tax assets and deferred tax liabilities at December 31, 2010 and 2009 are presented below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thousands). The valuation allowance is related to items for which it is more likely than not that the tax benefit will not be realized.</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15,069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47,804</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(52,285)</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(46,858)</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(13,109)</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(3,868)</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(19,050)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(18,537)</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color w:val="auto"/>
              </w:rPr>
              <w:t>Net deferred tax liability</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(16,320)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 are presented in the accompanying consolidated balance sheets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(16,320)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(17,591)</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(16,320)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(17,591)</w:t>
            </w:r>
          </w:p>
        </w:tc>
      </w:tr>
      <w:tr>
        <w:trPr>
          <w:trHeight w:val="27"/>
        </w:trPr>
        <w:tc>
          <w:tcPr>
            <w:tcW w:w="4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At December 31, 2010 and December 31, 2009, Tree.com had consolidated federal net operating losses ("NOLs") of $27.4 million and $12.7 million, respectively. In addition, Tree.com had separate state NOLs of $245 million that will expire at various times between 2011 and 2030.</w:t>
      </w:r>
    </w:p>
    <w:p>
      <w:pPr>
        <w:spacing w:after="0" w:line="13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2010, the valuation allowance increased by $5.3 million, primarily due to increased net operating losses resulting in deferred tax assets requiring a valuation allowance. At December 31, 2010, Tree.com had a valuation allowance of $52.3 million related to the portion of tax operating loss carryforwards and other deferred tax assets for which it is more likely than not that the tax benefit will not be realized.</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31"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 reconciliation of total income tax provision to the amounts computed by applying the statutory federal income tax rate to earnings from continuing operations before income taxes and minority interest is shown as follows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tax benefit at the federal statutory rate of 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(75,443)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8"/>
              </w:rPr>
              <w:t>State income taxes, net of effect of federal tax benefit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 expense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9"/>
              </w:rPr>
              <w:t>Impairment of non-deductible goodwill and intangible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200" w:type="dxa"/>
            <w:vAlign w:val="bottom"/>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32,152</w:t>
            </w:r>
          </w:p>
        </w:tc>
      </w:tr>
      <w:tr>
        <w:trPr>
          <w:trHeight w:val="218"/>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31,922</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(13,274)</w:t>
            </w:r>
          </w:p>
        </w:tc>
      </w:tr>
      <w:tr>
        <w:trPr>
          <w:trHeight w:val="27"/>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3"/>
              </w:rPr>
              <w:t>Additions based on tax positions related to the current year</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0"/>
              </w:rPr>
              <w:t>Deductions based on tax positions related to the current year</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end of the period</w:t>
            </w: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2010 and 2009, the unrecognized tax benefits, including interest, were $0.1 million and $1.0 million, respectively. The 2009 unrecognized beginning tax benefit included approximately $1.0 million for tax positions included in IAC's consolidated tax return filings. In 2010, unrecognized tax benefits decreased due to lapse of statute of limitations. The amount of unrecognized tax benefits that, if recognized, would impact the effective tax rate is approximately $0.05 million.</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Tree.com recognizes interest and, if applicable, penalties related to unrecognized tax benefits in income tax expense. Included in income tax expense for the years ended December 31, 2010 and 2009 is $0.01 and $0.07 million, respectively for interest on unrecognized tax benefits. At December 31, 2010 and 2009, Tree.com has accrued $0.01 million and $0.07 million for the payment of interest, respectively. There are no material accruals for penalties.</w:t>
      </w:r>
    </w:p>
    <w:p>
      <w:pPr>
        <w:spacing w:after="0" w:line="16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Tree.com believes that it is reasonably possible that its unrecognized tax benefits could decrease by approximately $0.1 million within twelve months of the current reporting. This amount may be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recognized in the next twelve months due to the expiration of the statute of limitations which could impact the effective tax rate.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Tree.com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67" w:lineRule="exact"/>
        <w:rPr>
          <w:sz w:val="20"/>
          <w:szCs w:val="20"/>
          <w:color w:val="auto"/>
        </w:rPr>
      </w:pPr>
    </w:p>
    <w:p>
      <w:pPr>
        <w:jc w:val="both"/>
        <w:ind w:right="380" w:firstLine="348"/>
        <w:spacing w:after="0" w:line="256" w:lineRule="auto"/>
        <w:rPr>
          <w:sz w:val="20"/>
          <w:szCs w:val="20"/>
          <w:color w:val="auto"/>
        </w:rPr>
      </w:pPr>
      <w:r>
        <w:rPr>
          <w:rFonts w:ascii="Arial" w:cs="Arial" w:eastAsia="Arial" w:hAnsi="Arial"/>
          <w:sz w:val="18"/>
          <w:szCs w:val="18"/>
          <w:color w:val="auto"/>
        </w:rPr>
        <w:t>The Internal Revenue Service is currently examining IAC consolidated tax returns for the years ended December 31, 2001 through 2006. The statute of limitations for these years has been extended to December 31, 2011, and is expected to be extended further. Various state, local and foreign jurisdictions are currently under examination, the most significant of which are California, New York, and New York City for various tax years beginning with December 31, 2003.</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North Carolina Department of Revenue ("NCDOR") is currently examining the Company's North Carolina corporate income and franchise tax returns for the years ended December 31, 2006 through 2008, and issued preliminary audit reports to the Company in January 2011. The Company has until March 17, 2011 to respond to the NCDOR regarding the preliminary audit reports. The Company has evaluated this matter as a potential loss contingency, and has determined that it is reasonably possible that a loss could be incurred. The range of a possible loss is estimated to be $-0- to $4.0 million. No reserve has been established for this matter as the Company has determined that the likelihood of a loss is not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CASH FLOW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201"/>
        </w:trPr>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Transfer from loans held for sale to prepaid and other current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Equipment acquired through capital lease</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4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Interest(a)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2,246</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payments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 refunds</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40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840" w:right="20" w:hanging="550"/>
        <w:spacing w:after="0" w:line="259" w:lineRule="auto"/>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interest expense related to borrowings under warehouse lines of credit. This expense is netted with interest income earned on loans held for sale, both of which are included in revenue in the accompanying consolidated statements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leases office space, equipment and services used in connection with its operations under various operating leases, many of which contain escalation clauses.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agreements are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4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2012</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2014</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vMerge w:val="restart"/>
          </w:tcPr>
          <w:p>
            <w:pPr>
              <w:ind w:left="100"/>
              <w:spacing w:after="0"/>
              <w:rPr>
                <w:sz w:val="20"/>
                <w:szCs w:val="20"/>
                <w:color w:val="auto"/>
              </w:rPr>
            </w:pPr>
            <w:r>
              <w:rPr>
                <w:rFonts w:ascii="Arial" w:cs="Arial" w:eastAsia="Arial" w:hAnsi="Arial"/>
                <w:sz w:val="18"/>
                <w:szCs w:val="18"/>
                <w:color w:val="auto"/>
              </w:rPr>
              <w:t>Total</w:t>
            </w:r>
          </w:p>
        </w:tc>
        <w:tc>
          <w:tcPr>
            <w:tcW w:w="44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also subleases certain office space to third parties. The total amount of minimum rentals to be received in the future under non-cancelable subleases is $1.3 million as of December 31, 2010.</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Expenses charged to operations under these agreements were $3.8 million, $5.1 million, and $5.4 million, for the years ended December 31, 2010, 2009, and 2008, respectively, and are included in general and administrative expense in the consolidated statements of operations.</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also has funding commitments that could potentially require its performance in the event of demands by third parties or contingent events, such as under letters of credit extended or under guarantees of debt,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Amounts</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Less Than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More Than</w:t>
            </w: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Committed</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1 year</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1–3 years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3–5 years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Surety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commercial 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total commercial commitments above primarily consist of surety bonds relating to guarantees with mortgage brokers. The purchase obligations primarily relate to marketing event contracts in 2011.</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conducting its operations, Home Loan Center, Inc., through its wholly-owned subsidiary, HLC Escrow and HLC Settlement Services, Inc., routinely holds customers' assets in escrow pending completion of real estate financing transactions. These amounts are maintained in segregated bank accounts and are offset with the related liabilities resulting in no amounts reported in the accompanying consolidated balance sheets. The balances held for LendingTree Loans' customers totaled $2.4 million and $1.3 million at December 31, 2010 and 2009,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2010, 2009 and 2008, provisions for litigation settlements of $2.1 million, $13.2 million, and $2.0 million, respectively, were recorded in litigation settlements and contingencies in the accompanying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consolidated statements of operations. The balance of the related liability was $0.5 million and $12.8 million at December 31, 2010 and 2009, respectively. The litigation matters were either settled, or a firm offer for settlement was extended by the Company, thereby establishing an accrual amount that is both probable and reasonably estimable. The $12.8 million liability at December 31, 2009 was paid in 2010.</w:t>
      </w:r>
    </w:p>
    <w:p>
      <w:pPr>
        <w:spacing w:after="0" w:line="16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 See Note 12 for a discussion related to income and franchise tax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16—RELATED PARTY TRANSACTIONS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spin-off, the Chairman and CEO was granted 5,000 shares of Series A Redeemable Preferred Stock, par value $0.01 per share (the "Preferred Stock"), of LendingTree Holdings Corp., a Delaware corporation and wholly-owned subsidiary of the Company . The Preferred Stock has a liquidation preference of $1,000 per share and cumulative cash dividends accrue on the Preferred Stock at the rate of 12% of the liquidation preference per share per year and unpaid dividends compound at a rate per annum equal to the dividend rate.</w:t>
      </w:r>
    </w:p>
    <w:p>
      <w:pPr>
        <w:spacing w:after="0" w:line="19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On August 30, 2010, the Company entered into and consummated a Share Exchange Agreement (the "Share Exchange Agreement") with the Chairman and CEO. Pursuant to the Share Exchange Agreement, he exchanged 2,902.33 currently outstanding shares of Preferred Stock owned by him, together with</w:t>
      </w:r>
    </w:p>
    <w:p>
      <w:pPr>
        <w:ind w:right="220"/>
        <w:spacing w:after="0" w:line="255" w:lineRule="auto"/>
        <w:rPr>
          <w:sz w:val="20"/>
          <w:szCs w:val="20"/>
          <w:color w:val="auto"/>
        </w:rPr>
      </w:pPr>
      <w:r>
        <w:rPr>
          <w:rFonts w:ascii="Arial" w:cs="Arial" w:eastAsia="Arial" w:hAnsi="Arial"/>
          <w:sz w:val="18"/>
          <w:szCs w:val="18"/>
          <w:color w:val="auto"/>
        </w:rPr>
        <w:t>$1.1 million in accrued and unpaid dividends in respect of such shares, for a total of 534,900 newly-issued shares of Tree.com common stock. The value of the Common Stock issued pursuant to the Share Exchange Agreement was approximately $4.0 million and was determined based on the closing price on the NASDAQ Global Market on the trading day preceding the closing of the exchange.</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years ended December 31, 2010, 2009 and 2008, $1.7 million, $1.7 million and $0.6 million, respectively, was recognized as cash compensation expense, and $0.5 million, $0.6 million and $0.2 million, respectively, was recognized as interest expense related to accreting the preferred stock to its redemption value. The related liability is required to be settled in cash in 2013 for $3.1 million.</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February 2009, the Chairman and CEO purchased 935,000 newly issued shares of unregistered restricted common stock from the Company at $3.91 per share, based on the February 6, 2009 closing share price.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16—RELATED PARTY TRANSACTIONS (Continued)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$0.3 million for the year ended December 31, 2008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of the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17—BENEFIT PLANS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Effective January 1, 2009, Tree.com established a retirement savings plan in the United States that pending approval, will be qualified under Section 401(k) of the Internal Revenue Code. The net assets available for benefits of the employees of Tree.com were transferred from the IAC plan described below to the newly created Tree.com plan. Employees are eligible to enroll in the plan upon date of hire. Participating employees may contribute up to 50% of their pretax earnings, but not more than statutory limits (generally $16,500 for 2010). Tree.com's match is fifty cents for each dollar a participant contributes to the plan, with a maximum contribution of 3% of a participant's eligible earnings. Matching contributions are invested in the same manner as each participant's voluntary contributions in the investment options provided under the plan. Tree.com stock is not included in the available investment options or the plan assets. Funds contributed to the Tree.com plan vest according to the participant's years of service, with less than three years of service vesting at 0%, and three years or more of service vesting at 100%. Matching contributions were approximately $0.9 million and $1.0 million for the years ending December 31, 2010 and 2009, respectively.</w:t>
      </w:r>
    </w:p>
    <w:p>
      <w:pPr>
        <w:spacing w:after="0" w:line="17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During the year ended December 31, 2008, Tree.com participated in a retirement savings plan sponsored by IAC that was qualified under Section 401(k) of the Internal Revenue Code. Under the IAC plan, participating employees could contribute up to 16% of their pretax earnings, but not more than statutory limits. Tree.com's match under the IAC plan was fifty cents for each dollar a participant contributes in this plan, with a maximum contribution of 3% of a participant's eligible earnings. Matching contributions were approximately $1.1 million in 2008. Matching contributions were invested in the same manner as each participant's voluntary contributions in the investment options provided under the plan. Investment options in the plan included IAC common stock, but neither participant nor matching contributions were required to be invested in IAC common stock. Funds contributed prior to December 31, 2008 were subject to the vesting schedule established by the IAC plan. This vesting schedule was based on the participant's years of service, with less than two years of service vesting at 0% and two years or more of service vesting at 100%.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18—RESTRUCTURING CHARGES</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restructuring charges in 2010 primarily relate to continuing lease obligations on facilities previously used for call center operations, for which management had a plan to exit at December 31,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2009, but the cease-use date did not occur until January 2010. The restructuring charges in 2009 primarily relate to Tree.com's segment reorganizations and aligning the cost structure with future revenue opportunities. Costs that relate to ongoing operations are not part of restructuring charges. Restructuring charges by segment and type are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0"/>
          </w:tcPr>
          <w:p>
            <w:pPr>
              <w:jc w:val="center"/>
              <w:ind w:right="12"/>
              <w:spacing w:after="0"/>
              <w:rPr>
                <w:sz w:val="20"/>
                <w:szCs w:val="20"/>
                <w:color w:val="auto"/>
              </w:rPr>
            </w:pPr>
            <w:r>
              <w:rPr>
                <w:rFonts w:ascii="Arial" w:cs="Arial" w:eastAsia="Arial" w:hAnsi="Arial"/>
                <w:sz w:val="14"/>
                <w:szCs w:val="14"/>
                <w:b w:val="1"/>
                <w:bCs w:val="1"/>
                <w:color w:val="auto"/>
                <w:w w:val="87"/>
              </w:rPr>
              <w:t>For The Year Ended December 31, 2010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Asset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Exchanges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Unallocated-Corporate</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3"/>
              </w:rPr>
              <w:t>For The Year Ended December 31, 2009</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87"/>
              </w:rPr>
              <w:t>Employee</w:t>
            </w:r>
          </w:p>
        </w:tc>
        <w:tc>
          <w:tcPr>
            <w:tcW w:w="16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Asset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Exchanges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Unallocated-Corporate</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12"/>
              <w:spacing w:after="0"/>
              <w:rPr>
                <w:sz w:val="20"/>
                <w:szCs w:val="20"/>
                <w:color w:val="auto"/>
              </w:rPr>
            </w:pPr>
            <w:r>
              <w:rPr>
                <w:rFonts w:ascii="Arial" w:cs="Arial" w:eastAsia="Arial" w:hAnsi="Arial"/>
                <w:sz w:val="14"/>
                <w:szCs w:val="14"/>
                <w:b w:val="1"/>
                <w:bCs w:val="1"/>
                <w:color w:val="auto"/>
                <w:w w:val="87"/>
              </w:rPr>
              <w:t>For The Year Ended December 31, 2008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Exchanges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Unallocated-Corporate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18—RESTRUCTURING CHARGES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w w:val="87"/>
              </w:rPr>
              <w:t>For The Year Ended December 31, 2010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Employee</w:t>
            </w: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w:t>
            </w: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w w:val="87"/>
              </w:rPr>
              <w:t>For The Year Ended December 31, 2009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Employee</w:t>
            </w: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w:t>
            </w: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2010, restructuring liabilities of $1.4 million are included in accrued expenses and other current liabilities and $1.4 million are included in other long-term liabilities in the accompanying consolidated balance sheet. At December 31, 2009, restructuring liabilities of $1.8 million are included in accrued expenses and other current liabilities and $0.7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RESULTS (UNAUDITED)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Quarter Ended</w:t>
            </w: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Quarter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0"/>
              </w:rPr>
              <w:t>June 30,(a)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3"/>
              </w:rPr>
              <w:t>December 31,(b)</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48,011</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45,797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53,177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(14,166)</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(12,459)</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earnings/(loss) per share</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earnings/(loss) per share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(21,303)</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(20,976)</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earnings/(loss) per share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earnings/(loss) per share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70,193</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59,983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50,258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(176,754)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(6,333)</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(162,920)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(7,006)</w:t>
            </w: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loss per share</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40" w:hanging="531"/>
        <w:spacing w:after="0" w:line="332"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second quarter of 2009 includes an impairment charge of $3.9 million related to the write-down of definite-lived intangible assets. The second quarter of 2008 includes an impairment charge of $164.3 million related to the write-down of goodwill and intangible assets.</w:t>
      </w:r>
    </w:p>
    <w:p>
      <w:pPr>
        <w:spacing w:after="0" w:line="166" w:lineRule="exact"/>
        <w:rPr>
          <w:rFonts w:ascii="Arial" w:cs="Arial" w:eastAsia="Arial" w:hAnsi="Arial"/>
          <w:sz w:val="16"/>
          <w:szCs w:val="16"/>
          <w:color w:val="auto"/>
        </w:rPr>
      </w:pPr>
    </w:p>
    <w:p>
      <w:pPr>
        <w:ind w:left="1680" w:hanging="531"/>
        <w:spacing w:after="0" w:line="259"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fourth quarter of 2010 includes impairment charges of $10.8 million related to the write-down of goodwill and intangible assets. The fourth quarter of 2009 includes a litigation settlement, a contingencies charge of $12.8 million, and a $2.2 million charge related to the impairment of trademarks.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the Company's Disclosure Controls and Procedures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monitors and evaluates on an ongoing basis its disclosure controls and procedures in order to improve their overall effectiveness. In the course of these evaluations, the Company modifies and refines its internal processes as conditions warrant.</w:t>
      </w:r>
    </w:p>
    <w:p>
      <w:pPr>
        <w:spacing w:after="0" w:line="186"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required by Rule 13a-15(b) of the Exchange Act, management of the Company, including the principal executive officer and principal financial officer, conducted an evaluation, as of the end of the period covered by this report, of the effectiveness of the Company's disclosure controls and procedures as defined in Exchange Act Rule 13a-15(e). Based upon that evaluation, our principal executive officer and principal financial officer concluded that due to a material weakness in internal control over financial reporting related to income taxes as described below in Management's Report on Internal Control Over Financial Reporting, the Company's disclosure controls and procedures were not effective as of December 31, 2010.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defined in Rule 13a-15(f) under the Exchange Act) for the Company.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the Company's internal control over financial reporting as of December 31, 2010. In making this assessment, our management used the criteria for effective internal control over financial reporting described in "Internal Control—Integrated Framework" issued by the Committee of Sponsoring Organizations of the Treadway Commission. Based on this assessment, management has determined that, as a result of a material weakness related to income taxes, the Company's internal control over financial reporting was not effective as of December 31, 2010.</w:t>
      </w:r>
    </w:p>
    <w:p>
      <w:pPr>
        <w:spacing w:after="0" w:line="17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did not maintain effective controls over the application and monitoring of its accounting for income taxes. Specifically, the Company did not have controls designed and in place to ensure effective oversight of the work performed by and the accuracy of financial information provided by third party tax advisors. Until remediated, this material weakness could result in a misstatement in tax-related accounts that could result in a material misstatement to our interim or annual consolidated financial statements and disclosures that may not be prevented or detected on a timely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in the process of addressing and remediating the deficiencies that gave rise to this material weakness. Since the above material weakness was identified,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the Company by the third party tax advisor and identifying changes as required. However, the deficiencies have not been remediated as of the date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filing. The material weakness will not be fully remediated until, in the opinion of our management, the revised control procedures have been operating for a sufficient period of time to provide reasonable assurances as to their effectiveness.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Other than as noted above, there has been no change in our internal control over financial reporting that occurred during our fourth fiscal quarter that has materially affected, or is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Tree.com's definitive Proxy Statement to be used in connection with its 2011 Annual Meeting of Stockholders and which will be filed with the Securities and Exchange Commission not later than 120 days after the end of the Company's fiscal year ended December 31, 2010 (the "2011 Proxy Statement"), in accordance with General Instruction G(3) of Form 10-K.</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2011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Directors—Information Concerning Director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Directors—Corporate Governance;"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Directors—The Board and Board Committees;"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Directors—Stockholder Recommendations of Director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Concerning Executive Officers Who Are Not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of Business Conduct and Ethics;"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2011 Proxy Statement is incorporated by reference herein:</w:t>
      </w:r>
    </w:p>
    <w:p>
      <w:pPr>
        <w:spacing w:after="0" w:line="25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Policies and Practices as they Relate to Risk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Discussion and Analysis;"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Committee Interlocks and Insider Participation."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Further, the information included under the caption "Compensation Committee Report" is furnished but shall not be deemed incorporated by reference into any filing under the Securities Act or the Exchange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2011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of Certain Beneficial Owners and Management;" and</w:t>
      </w:r>
    </w:p>
    <w:p>
      <w:pPr>
        <w:spacing w:after="0" w:line="252" w:lineRule="exact"/>
        <w:rPr>
          <w:rFonts w:ascii="Arial" w:cs="Arial" w:eastAsia="Arial" w:hAnsi="Arial"/>
          <w:sz w:val="18"/>
          <w:szCs w:val="18"/>
          <w:color w:val="auto"/>
        </w:rPr>
      </w:pPr>
    </w:p>
    <w:p>
      <w:pPr>
        <w:ind w:left="5580" w:right="5180" w:hanging="5032"/>
        <w:spacing w:after="0" w:line="613" w:lineRule="auto"/>
        <w:tabs>
          <w:tab w:leader="none" w:pos="10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"Securities Authorized for Issuance Under Equity Compensation Plans."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included under the following captions in the 2011 Proxy Statement is incorporated by reference herein:</w:t>
      </w:r>
    </w:p>
    <w:p>
      <w:pPr>
        <w:spacing w:after="0" w:line="26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"Election of Directors—Corporate Governance."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included under the following captions in the 2011 Proxy Statement is incorporated by reference herein:</w:t>
      </w:r>
    </w:p>
    <w:p>
      <w:pPr>
        <w:spacing w:after="0" w:line="2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Committee Matters—Fees Paid to Our Independent Registered Public Accounting Firm;"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Committee Matters—Audit and Non-Audit Services Pre-Approval Policy."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List of documents filed as part of this Report:</w:t>
      </w:r>
    </w:p>
    <w:p>
      <w:pPr>
        <w:spacing w:after="0" w:line="246"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 of Tree.com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2010,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2010,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3"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 Schedules of Tree.com</w:t>
      </w: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Schedule</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771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1380"/>
        <w:spacing w:after="0"/>
        <w:tabs>
          <w:tab w:leader="none" w:pos="18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Valuation and Qualifying Accounts</w:t>
      </w:r>
    </w:p>
    <w:p>
      <w:pPr>
        <w:spacing w:after="0" w:line="21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financial statements and schedules not listed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16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3"/>
              </w:rPr>
              <w:t>Amended and Restated Certificate of Incorporation of</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Exhibit 3.1 to the Registrant's Current Report on</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Tree.com, Inc.</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8-K filed August 25, 2008.</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Amended and Restated By-laws of Tree.com, Inc.</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Exhibit 3.2 to the Registrant's Current Report on</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8-K filed August 25, 2008.</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Separation and Distribution Agreement, dated as of</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Exhibit 10.1 to the Registrant's Registration Statement</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August 20, 2008, by and among IAC/InterActiveCorp,</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on Form S-1 (No. 333-152700), filed August 1, 2008.</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HSN, Inc., Interval Leisure Group, Inc., Ticketmaster</w:t>
            </w:r>
          </w:p>
        </w:tc>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and Tree.com, Inc.</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60"/>
          </w:cols>
          <w:pgMar w:left="240" w:top="131" w:right="299" w:bottom="1440" w:gutter="0" w:footer="0" w:header="0"/>
        </w:sectPr>
      </w:pPr>
    </w:p>
    <w:p>
      <w:pPr>
        <w:spacing w:after="0" w:line="37" w:lineRule="exact"/>
        <w:rPr>
          <w:sz w:val="20"/>
          <w:szCs w:val="20"/>
          <w:color w:val="auto"/>
        </w:rPr>
      </w:pPr>
    </w:p>
    <w:p>
      <w:pPr>
        <w:ind w:left="2060" w:hanging="495"/>
        <w:spacing w:after="0" w:line="306" w:lineRule="auto"/>
        <w:tabs>
          <w:tab w:leader="none" w:pos="2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Tax Sharing Agreement, dated as of August 20, 2008, by and among IAC/InterActiveCorp, HSN, Inc., Interval Leisure Group, Inc., Ticketmaster and Tree.com, Inc.</w:t>
      </w:r>
    </w:p>
    <w:p>
      <w:pPr>
        <w:spacing w:after="0" w:line="188" w:lineRule="exact"/>
        <w:rPr>
          <w:sz w:val="20"/>
          <w:szCs w:val="20"/>
          <w:color w:val="auto"/>
        </w:rPr>
      </w:pPr>
    </w:p>
    <w:p>
      <w:pPr>
        <w:ind w:left="2060" w:right="180" w:hanging="495"/>
        <w:spacing w:after="0" w:line="256" w:lineRule="auto"/>
        <w:tabs>
          <w:tab w:leader="none" w:pos="2040" w:val="left"/>
        </w:tabs>
        <w:rPr>
          <w:sz w:val="20"/>
          <w:szCs w:val="20"/>
          <w:color w:val="auto"/>
        </w:rPr>
      </w:pPr>
      <w:r>
        <w:rPr>
          <w:rFonts w:ascii="Arial" w:cs="Arial" w:eastAsia="Arial" w:hAnsi="Arial"/>
          <w:sz w:val="18"/>
          <w:szCs w:val="18"/>
          <w:color w:val="auto"/>
        </w:rPr>
        <w:t>10.3</w:t>
        <w:tab/>
        <w:t>Employee Matters Agreement, dated as of August 20, 2008, by and among IAC/InterActiveCorp, HSN, Inc., Interval Leisure Group, Inc., Ticketmaster and Tree.com, Inc.</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Exhibit 10.2 to the Registrant's Current Report on Form 8-K filed August 25, 2008.</w:t>
      </w:r>
    </w:p>
    <w:p>
      <w:pPr>
        <w:spacing w:after="0" w:line="200" w:lineRule="exact"/>
        <w:rPr>
          <w:sz w:val="20"/>
          <w:szCs w:val="20"/>
          <w:color w:val="auto"/>
        </w:rPr>
      </w:pPr>
    </w:p>
    <w:p>
      <w:pPr>
        <w:spacing w:after="0" w:line="229"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Exhibit 10.3 to the Registrant's Current Report on Form 8-K filed August 25, 2008.</w:t>
      </w:r>
    </w:p>
    <w:p>
      <w:pPr>
        <w:sectPr>
          <w:pgSz w:w="11900" w:h="16838" w:orient="portrait"/>
          <w:cols w:equalWidth="0" w:num="2">
            <w:col w:w="6060" w:space="200"/>
            <w:col w:w="5100"/>
          </w:cols>
          <w:pgMar w:left="240" w:top="131" w:right="2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80"/>
        <w:spacing w:after="0"/>
        <w:tabs>
          <w:tab w:leader="none" w:pos="37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299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2060" w:hanging="495"/>
        <w:spacing w:after="0" w:line="253" w:lineRule="auto"/>
        <w:tabs>
          <w:tab w:leader="none" w:pos="2040" w:val="left"/>
        </w:tabs>
        <w:rPr>
          <w:sz w:val="20"/>
          <w:szCs w:val="20"/>
          <w:color w:val="auto"/>
        </w:rPr>
      </w:pPr>
      <w:r>
        <w:rPr>
          <w:rFonts w:ascii="Arial" w:cs="Arial" w:eastAsia="Arial" w:hAnsi="Arial"/>
          <w:sz w:val="18"/>
          <w:szCs w:val="18"/>
          <w:color w:val="auto"/>
        </w:rPr>
        <w:t>10.4</w:t>
        <w:tab/>
        <w:t>Transition Services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520"/>
        <w:spacing w:after="0" w:line="259" w:lineRule="auto"/>
        <w:rPr>
          <w:sz w:val="20"/>
          <w:szCs w:val="20"/>
          <w:color w:val="auto"/>
        </w:rPr>
      </w:pPr>
      <w:r>
        <w:rPr>
          <w:rFonts w:ascii="Arial" w:cs="Arial" w:eastAsia="Arial" w:hAnsi="Arial"/>
          <w:sz w:val="18"/>
          <w:szCs w:val="18"/>
          <w:color w:val="auto"/>
        </w:rPr>
        <w:t>Exhibit 10.4 to the Registrant's Current Report on Form 8-K filed August 25, 2008.</w:t>
      </w:r>
    </w:p>
    <w:p>
      <w:pPr>
        <w:spacing w:after="0" w:line="626" w:lineRule="exact"/>
        <w:rPr>
          <w:sz w:val="20"/>
          <w:szCs w:val="20"/>
          <w:color w:val="auto"/>
        </w:rPr>
      </w:pPr>
    </w:p>
    <w:p>
      <w:pPr>
        <w:sectPr>
          <w:pgSz w:w="11900" w:h="16838" w:orient="portrait"/>
          <w:cols w:equalWidth="0" w:num="2">
            <w:col w:w="5900" w:space="360"/>
            <w:col w:w="4020"/>
          </w:cols>
          <w:pgMar w:left="240" w:top="131" w:right="1379" w:bottom="1440" w:gutter="0" w:footer="0" w:header="0"/>
        </w:sectPr>
      </w:pPr>
    </w:p>
    <w:p>
      <w:pPr>
        <w:spacing w:after="0" w:line="27" w:lineRule="exact"/>
        <w:rPr>
          <w:sz w:val="20"/>
          <w:szCs w:val="20"/>
          <w:color w:val="auto"/>
        </w:rPr>
      </w:pPr>
    </w:p>
    <w:p>
      <w:pPr>
        <w:ind w:left="2060" w:hanging="495"/>
        <w:spacing w:after="0" w:line="306" w:lineRule="auto"/>
        <w:tabs>
          <w:tab w:leader="none" w:pos="2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Registration Rights Agreement, dated as of August 20, 2008, among Tree.com, Inc., Liberty Media Corporation and Liberty USA Holdings, LLC</w:t>
      </w:r>
    </w:p>
    <w:p>
      <w:pPr>
        <w:spacing w:after="0" w:line="188" w:lineRule="exact"/>
        <w:rPr>
          <w:sz w:val="20"/>
          <w:szCs w:val="20"/>
          <w:color w:val="auto"/>
        </w:rPr>
      </w:pPr>
    </w:p>
    <w:p>
      <w:pPr>
        <w:ind w:left="2060" w:right="100" w:hanging="495"/>
        <w:spacing w:after="0" w:line="298" w:lineRule="auto"/>
        <w:tabs>
          <w:tab w:leader="none" w:pos="20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Spinco Assignment and Assumption Agreement, dated as of August 20, 2008, among IAC/InterActiveCorp, Tree.com, Inc., Liberty Media Corporation and Liberty USA Holdings, LLC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10.5 to the Registrant's Current Report on Form 8-K filed August 25, 2008.</w:t>
      </w:r>
    </w:p>
    <w:p>
      <w:pPr>
        <w:spacing w:after="0" w:line="200" w:lineRule="exact"/>
        <w:rPr>
          <w:sz w:val="20"/>
          <w:szCs w:val="20"/>
          <w:color w:val="auto"/>
        </w:rPr>
      </w:pPr>
    </w:p>
    <w:p>
      <w:pPr>
        <w:spacing w:after="0" w:line="2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10.6 to the Registrant's Current Report on Form 8-K filed August 25, 2008.</w:t>
      </w:r>
    </w:p>
    <w:p>
      <w:pPr>
        <w:spacing w:after="0" w:line="645" w:lineRule="exact"/>
        <w:rPr>
          <w:sz w:val="20"/>
          <w:szCs w:val="20"/>
          <w:color w:val="auto"/>
        </w:rPr>
      </w:pPr>
    </w:p>
    <w:p>
      <w:pPr>
        <w:sectPr>
          <w:pgSz w:w="11900" w:h="16838" w:orient="portrait"/>
          <w:cols w:equalWidth="0" w:num="2">
            <w:col w:w="6040" w:space="220"/>
            <w:col w:w="4020"/>
          </w:cols>
          <w:pgMar w:left="240" w:top="131" w:right="1379" w:bottom="1440" w:gutter="0" w:footer="0" w:header="0"/>
          <w:type w:val="continuous"/>
        </w:sectPr>
      </w:pPr>
    </w:p>
    <w:p>
      <w:pPr>
        <w:ind w:left="2060" w:right="20" w:hanging="495"/>
        <w:spacing w:after="0" w:line="332" w:lineRule="auto"/>
        <w:tabs>
          <w:tab w:leader="none" w:pos="20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Employment Agreement between Robert L. Harris and LendingTree, LLC, dated as of June 30, 2008*</w:t>
      </w:r>
    </w:p>
    <w:p>
      <w:pPr>
        <w:spacing w:after="0" w:line="166" w:lineRule="exact"/>
        <w:rPr>
          <w:sz w:val="20"/>
          <w:szCs w:val="20"/>
          <w:color w:val="auto"/>
        </w:rPr>
      </w:pPr>
    </w:p>
    <w:p>
      <w:pPr>
        <w:ind w:left="2060" w:hanging="495"/>
        <w:spacing w:after="0" w:line="289" w:lineRule="auto"/>
        <w:tabs>
          <w:tab w:leader="none" w:pos="20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Amended and Restated Restricted Share Grant and Shareholders' Agreement, dated as of July 7, 2003, by and among Forest Merger Corp., LendingTree, Inc., InterActiveCorp and the Grantees named therein, as amended (filed as Exhibit 99.4 to Amendment No. 1 to IAC/InterActiveCorp's Registration Statement on Form S-4 (SEC File No. 333-105876) filed on July 10, 2003 and incorporated herein by reference)*</w:t>
      </w:r>
    </w:p>
    <w:p>
      <w:pPr>
        <w:spacing w:after="0" w:line="20" w:lineRule="exact"/>
        <w:rPr>
          <w:sz w:val="20"/>
          <w:szCs w:val="20"/>
          <w:color w:val="auto"/>
        </w:rPr>
      </w:pPr>
      <w:r>
        <w:rPr>
          <w:sz w:val="20"/>
          <w:szCs w:val="20"/>
          <w:color w:val="auto"/>
        </w:rPr>
        <w:br w:type="column"/>
      </w:r>
    </w:p>
    <w:p>
      <w:pPr>
        <w:jc w:val="both"/>
        <w:ind w:right="200"/>
        <w:spacing w:after="0" w:line="370" w:lineRule="auto"/>
        <w:rPr>
          <w:sz w:val="20"/>
          <w:szCs w:val="20"/>
          <w:color w:val="auto"/>
        </w:rPr>
      </w:pPr>
      <w:r>
        <w:rPr>
          <w:rFonts w:ascii="Arial" w:cs="Arial" w:eastAsia="Arial" w:hAnsi="Arial"/>
          <w:sz w:val="15"/>
          <w:szCs w:val="15"/>
          <w:color w:val="auto"/>
        </w:rPr>
        <w:t>Exhibit 10.5 to the Registrant's Registration Statement on Form S-1 (No. 333-152700), filed August 1, 2008.</w:t>
      </w:r>
    </w:p>
    <w:p>
      <w:pPr>
        <w:spacing w:after="0" w:line="143"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Exhibit 10.8 to the Registrant's Registration Statement on Form S-1 (No. 333-152700), filed August 1, 2008.</w:t>
      </w:r>
    </w:p>
    <w:p>
      <w:pPr>
        <w:spacing w:after="0" w:line="1439" w:lineRule="exact"/>
        <w:rPr>
          <w:sz w:val="20"/>
          <w:szCs w:val="20"/>
          <w:color w:val="auto"/>
        </w:rPr>
      </w:pPr>
    </w:p>
    <w:p>
      <w:pPr>
        <w:sectPr>
          <w:pgSz w:w="11900" w:h="16838" w:orient="portrait"/>
          <w:cols w:equalWidth="0" w:num="2">
            <w:col w:w="5940" w:space="320"/>
            <w:col w:w="4020"/>
          </w:cols>
          <w:pgMar w:left="240" w:top="131" w:right="1379" w:bottom="1440" w:gutter="0" w:footer="0" w:header="0"/>
          <w:type w:val="continuous"/>
        </w:sectPr>
      </w:pPr>
    </w:p>
    <w:p>
      <w:pPr>
        <w:jc w:val="both"/>
        <w:ind w:left="2060" w:hanging="495"/>
        <w:spacing w:after="0" w:line="259" w:lineRule="auto"/>
        <w:tabs>
          <w:tab w:leader="none" w:pos="2040" w:val="left"/>
        </w:tabs>
        <w:rPr>
          <w:sz w:val="20"/>
          <w:szCs w:val="20"/>
          <w:color w:val="auto"/>
        </w:rPr>
      </w:pPr>
      <w:r>
        <w:rPr>
          <w:rFonts w:ascii="Arial" w:cs="Arial" w:eastAsia="Arial" w:hAnsi="Arial"/>
          <w:sz w:val="18"/>
          <w:szCs w:val="18"/>
          <w:color w:val="auto"/>
        </w:rPr>
        <w:t>10.9</w:t>
        <w:tab/>
        <w:t>Correspondent Loan Purchase Agreement, dated as of April 26, 2004, between CitiMortgage, Inc. and Home Loan Center, Inc.</w:t>
      </w:r>
    </w:p>
    <w:p>
      <w:pPr>
        <w:spacing w:after="0" w:line="20" w:lineRule="exact"/>
        <w:rPr>
          <w:sz w:val="20"/>
          <w:szCs w:val="20"/>
          <w:color w:val="auto"/>
        </w:rPr>
      </w:pPr>
      <w:r>
        <w:rPr>
          <w:sz w:val="20"/>
          <w:szCs w:val="20"/>
          <w:color w:val="auto"/>
        </w:rPr>
        <w:br w:type="column"/>
      </w:r>
    </w:p>
    <w:p>
      <w:pPr>
        <w:jc w:val="both"/>
        <w:ind w:right="200"/>
        <w:spacing w:after="0" w:line="370" w:lineRule="auto"/>
        <w:rPr>
          <w:sz w:val="20"/>
          <w:szCs w:val="20"/>
          <w:color w:val="auto"/>
        </w:rPr>
      </w:pPr>
      <w:r>
        <w:rPr>
          <w:rFonts w:ascii="Arial" w:cs="Arial" w:eastAsia="Arial" w:hAnsi="Arial"/>
          <w:sz w:val="15"/>
          <w:szCs w:val="15"/>
          <w:color w:val="auto"/>
        </w:rPr>
        <w:t>Exhibit 10.9 to the Registrant's Registration Statement on Form S-1 (No. 333-152700), filed August 1, 2008.</w:t>
      </w:r>
    </w:p>
    <w:p>
      <w:pPr>
        <w:spacing w:after="0" w:line="338" w:lineRule="exact"/>
        <w:rPr>
          <w:sz w:val="20"/>
          <w:szCs w:val="20"/>
          <w:color w:val="auto"/>
        </w:rPr>
      </w:pPr>
    </w:p>
    <w:p>
      <w:pPr>
        <w:sectPr>
          <w:pgSz w:w="11900" w:h="16838" w:orient="portrait"/>
          <w:cols w:equalWidth="0" w:num="2">
            <w:col w:w="5880" w:space="380"/>
            <w:col w:w="4020"/>
          </w:cols>
          <w:pgMar w:left="240" w:top="131" w:right="1379" w:bottom="1440" w:gutter="0" w:footer="0" w:header="0"/>
          <w:type w:val="continuous"/>
        </w:sectPr>
      </w:pPr>
    </w:p>
    <w:p>
      <w:pPr>
        <w:spacing w:after="0" w:line="21" w:lineRule="exact"/>
        <w:rPr>
          <w:sz w:val="20"/>
          <w:szCs w:val="20"/>
          <w:color w:val="auto"/>
        </w:rPr>
      </w:pPr>
    </w:p>
    <w:p>
      <w:pPr>
        <w:ind w:left="2060" w:hanging="583"/>
        <w:spacing w:after="0" w:line="259" w:lineRule="auto"/>
        <w:tabs>
          <w:tab w:leader="none" w:pos="2040" w:val="left"/>
        </w:tabs>
        <w:rPr>
          <w:sz w:val="20"/>
          <w:szCs w:val="20"/>
          <w:color w:val="auto"/>
        </w:rPr>
      </w:pPr>
      <w:r>
        <w:rPr>
          <w:rFonts w:ascii="Arial" w:cs="Arial" w:eastAsia="Arial" w:hAnsi="Arial"/>
          <w:sz w:val="18"/>
          <w:szCs w:val="18"/>
          <w:color w:val="auto"/>
        </w:rPr>
        <w:t>10.10</w:t>
        <w:tab/>
        <w:t>Loan Purchase Agreement, dated as of April 16, 2002, between Countrywide Home Loans, Inc. and Home Loan Center, Inc.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Exhibit 10.10 to the Registrant's Registration Statement on Form S-1 (No. 333-152700), filed August 1, 2008.</w:t>
      </w:r>
    </w:p>
    <w:p>
      <w:pPr>
        <w:spacing w:after="0" w:line="338" w:lineRule="exact"/>
        <w:rPr>
          <w:sz w:val="20"/>
          <w:szCs w:val="20"/>
          <w:color w:val="auto"/>
        </w:rPr>
      </w:pPr>
    </w:p>
    <w:p>
      <w:pPr>
        <w:sectPr>
          <w:pgSz w:w="11900" w:h="16838" w:orient="portrait"/>
          <w:cols w:equalWidth="0" w:num="2">
            <w:col w:w="5900" w:space="360"/>
            <w:col w:w="4020"/>
          </w:cols>
          <w:pgMar w:left="240" w:top="131" w:right="1379" w:bottom="1440" w:gutter="0" w:footer="0" w:header="0"/>
          <w:type w:val="continuous"/>
        </w:sectPr>
      </w:pPr>
    </w:p>
    <w:p>
      <w:pPr>
        <w:spacing w:after="0" w:line="21" w:lineRule="exact"/>
        <w:rPr>
          <w:sz w:val="20"/>
          <w:szCs w:val="20"/>
          <w:color w:val="auto"/>
        </w:rPr>
      </w:pPr>
    </w:p>
    <w:p>
      <w:pPr>
        <w:ind w:left="2060" w:right="40" w:hanging="577"/>
        <w:spacing w:after="0" w:line="268" w:lineRule="auto"/>
        <w:tabs>
          <w:tab w:leader="none" w:pos="2040" w:val="left"/>
        </w:tabs>
        <w:rPr>
          <w:sz w:val="20"/>
          <w:szCs w:val="20"/>
          <w:color w:val="auto"/>
        </w:rPr>
      </w:pPr>
      <w:r>
        <w:rPr>
          <w:rFonts w:ascii="Arial" w:cs="Arial" w:eastAsia="Arial" w:hAnsi="Arial"/>
          <w:sz w:val="18"/>
          <w:szCs w:val="18"/>
          <w:color w:val="auto"/>
        </w:rPr>
        <w:t>10.11</w:t>
        <w:tab/>
        <w:t>Second amended and restated Tree.com, Inc. 2008 Stock and Annual Incentive Plan*</w:t>
      </w:r>
    </w:p>
    <w:p>
      <w:pPr>
        <w:spacing w:after="0" w:line="213" w:lineRule="exact"/>
        <w:rPr>
          <w:sz w:val="20"/>
          <w:szCs w:val="20"/>
          <w:color w:val="auto"/>
        </w:rPr>
      </w:pPr>
    </w:p>
    <w:p>
      <w:pPr>
        <w:ind w:left="2060" w:hanging="583"/>
        <w:spacing w:after="0" w:line="255" w:lineRule="auto"/>
        <w:tabs>
          <w:tab w:leader="none" w:pos="2040" w:val="left"/>
        </w:tabs>
        <w:rPr>
          <w:sz w:val="20"/>
          <w:szCs w:val="20"/>
          <w:color w:val="auto"/>
        </w:rPr>
      </w:pPr>
      <w:r>
        <w:rPr>
          <w:rFonts w:ascii="Arial" w:cs="Arial" w:eastAsia="Arial" w:hAnsi="Arial"/>
          <w:sz w:val="18"/>
          <w:szCs w:val="18"/>
          <w:color w:val="auto"/>
        </w:rPr>
        <w:t>10.12</w:t>
        <w:tab/>
        <w:t>Warehousing Credit Agreement, dated as of November 26, 2007, by and among Home Loan Center, Inc. d/b/a LendingTree Loans, National City Bank and National City Bank in its capacity as Agent for the Banks (as defined therein)</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10.2 to the Registrant's current report on Form 8-K filed May 1, 2009.</w:t>
      </w:r>
    </w:p>
    <w:p>
      <w:pPr>
        <w:spacing w:after="0" w:line="21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Exhibit 10.12 to the Registrant's Registration Statement on Form S-1 (No. 333-152700), filed August 1, 2008.</w:t>
      </w:r>
    </w:p>
    <w:p>
      <w:pPr>
        <w:sectPr>
          <w:pgSz w:w="11900" w:h="16838" w:orient="portrait"/>
          <w:cols w:equalWidth="0" w:num="2">
            <w:col w:w="6080" w:space="180"/>
            <w:col w:w="4020"/>
          </w:cols>
          <w:pgMar w:left="240" w:top="131" w:right="13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9"/>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10.13</w:t>
            </w:r>
          </w:p>
        </w:tc>
        <w:tc>
          <w:tcPr>
            <w:tcW w:w="20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w w:val="89"/>
              </w:rPr>
              <w:t>Second Amendment to Warehousing Credit Agreement,</w:t>
            </w:r>
          </w:p>
        </w:tc>
      </w:tr>
      <w:tr>
        <w:trPr>
          <w:trHeight w:val="257"/>
        </w:trPr>
        <w:tc>
          <w:tcPr>
            <w:tcW w:w="720" w:type="dxa"/>
            <w:vAlign w:val="bottom"/>
          </w:tcPr>
          <w:p>
            <w:pPr>
              <w:spacing w:after="0"/>
              <w:rPr>
                <w:sz w:val="22"/>
                <w:szCs w:val="22"/>
                <w:color w:val="auto"/>
              </w:rPr>
            </w:pPr>
          </w:p>
        </w:tc>
        <w:tc>
          <w:tcPr>
            <w:tcW w:w="4200" w:type="dxa"/>
            <w:vAlign w:val="bottom"/>
            <w:gridSpan w:val="2"/>
          </w:tcPr>
          <w:p>
            <w:pPr>
              <w:ind w:left="180"/>
              <w:spacing w:after="0" w:line="256" w:lineRule="exact"/>
              <w:rPr>
                <w:sz w:val="20"/>
                <w:szCs w:val="20"/>
                <w:color w:val="auto"/>
              </w:rPr>
            </w:pPr>
            <w:r>
              <w:rPr>
                <w:rFonts w:ascii="Arial" w:cs="Arial" w:eastAsia="Arial" w:hAnsi="Arial"/>
                <w:sz w:val="18"/>
                <w:szCs w:val="18"/>
                <w:color w:val="auto"/>
                <w:w w:val="90"/>
              </w:rPr>
              <w:t>made and entered into as of the 12</w:t>
            </w:r>
            <w:r>
              <w:rPr>
                <w:rFonts w:ascii="Arial" w:cs="Arial" w:eastAsia="Arial" w:hAnsi="Arial"/>
                <w:sz w:val="29"/>
                <w:szCs w:val="29"/>
                <w:color w:val="auto"/>
                <w:w w:val="90"/>
                <w:vertAlign w:val="superscript"/>
              </w:rPr>
              <w:t>th</w:t>
            </w:r>
            <w:r>
              <w:rPr>
                <w:rFonts w:ascii="Arial" w:cs="Arial" w:eastAsia="Arial" w:hAnsi="Arial"/>
                <w:sz w:val="18"/>
                <w:szCs w:val="18"/>
                <w:color w:val="auto"/>
                <w:w w:val="90"/>
              </w:rPr>
              <w:t xml:space="preserve"> day of December,</w:t>
            </w:r>
          </w:p>
        </w:tc>
      </w:tr>
      <w:tr>
        <w:trPr>
          <w:trHeight w:val="255"/>
        </w:trPr>
        <w:tc>
          <w:tcPr>
            <w:tcW w:w="720" w:type="dxa"/>
            <w:vAlign w:val="bottom"/>
          </w:tcPr>
          <w:p>
            <w:pPr>
              <w:spacing w:after="0"/>
              <w:rPr>
                <w:sz w:val="22"/>
                <w:szCs w:val="22"/>
                <w:color w:val="auto"/>
              </w:rPr>
            </w:pPr>
          </w:p>
        </w:tc>
        <w:tc>
          <w:tcPr>
            <w:tcW w:w="4200" w:type="dxa"/>
            <w:vAlign w:val="bottom"/>
            <w:gridSpan w:val="2"/>
          </w:tcPr>
          <w:p>
            <w:pPr>
              <w:ind w:left="180"/>
              <w:spacing w:after="0" w:line="255" w:lineRule="exact"/>
              <w:rPr>
                <w:sz w:val="20"/>
                <w:szCs w:val="20"/>
                <w:color w:val="auto"/>
              </w:rPr>
            </w:pPr>
            <w:r>
              <w:rPr>
                <w:rFonts w:ascii="Arial" w:cs="Arial" w:eastAsia="Arial" w:hAnsi="Arial"/>
                <w:sz w:val="18"/>
                <w:szCs w:val="18"/>
                <w:color w:val="auto"/>
                <w:w w:val="87"/>
              </w:rPr>
              <w:t>2008, and to be effective as of the 30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day of December,</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2008, by and among Home Loan Center, Inc. d/b/a</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LendingTree Loans, National City Bank and National</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City Bank in its capacity as Agent for the Banks (as</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defined therein).</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Master Repurchase Agreement, dated as of January 25,</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2008, by and among Countrywide Bank, FSB and Home</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Loan Center, Inc. (the "Master Repurchase Agreement")</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6"/>
              </w:rPr>
              <w:t>Notice, dated June 25, 2008, issued by Countrywide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Warehouse Lending, regarding certain amendments to</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the Master Repurchase Agreement</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Amendment to Master Repurchase Agreement No. 1</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1"/>
              </w:rPr>
              <w:t>made and entered into as of February 23, 2009 by and</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the Warehouse Lending Division of</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Countrywide Bank, FSB and Home Loan Center,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500"/>
        <w:spacing w:after="0" w:line="321" w:lineRule="auto"/>
        <w:rPr>
          <w:sz w:val="20"/>
          <w:szCs w:val="20"/>
          <w:color w:val="auto"/>
        </w:rPr>
      </w:pPr>
      <w:r>
        <w:rPr>
          <w:rFonts w:ascii="Arial" w:cs="Arial" w:eastAsia="Arial" w:hAnsi="Arial"/>
          <w:sz w:val="16"/>
          <w:szCs w:val="16"/>
          <w:color w:val="auto"/>
        </w:rPr>
        <w:t>Exhibit 10.1 to the Registrant's Current Report on Form 8-K filed December 17,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Exhibit 10.13 to the Registrant's Registration Statement on Form S-1 (No. 333-152700), filed August 1, 2008.</w:t>
      </w:r>
    </w:p>
    <w:p>
      <w:pPr>
        <w:spacing w:after="0" w:line="36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Exhibit 10.14 to the Registrant's Registration Statement on Form S-1 (No. 333-152700), filed August 1, 2008.</w:t>
      </w:r>
    </w:p>
    <w:p>
      <w:pPr>
        <w:spacing w:after="0" w:line="36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Exhibit 10.1 to the Registrant's Current Report on Form 8-K filed February 27, 2009.</w:t>
      </w:r>
    </w:p>
    <w:p>
      <w:pPr>
        <w:spacing w:after="0" w:line="561" w:lineRule="exact"/>
        <w:rPr>
          <w:sz w:val="20"/>
          <w:szCs w:val="20"/>
          <w:color w:val="auto"/>
        </w:rPr>
      </w:pPr>
    </w:p>
    <w:p>
      <w:pPr>
        <w:sectPr>
          <w:pgSz w:w="11900" w:h="16838" w:orient="portrait"/>
          <w:cols w:equalWidth="0" w:num="2">
            <w:col w:w="6080" w:space="180"/>
            <w:col w:w="4000"/>
          </w:cols>
          <w:pgMar w:left="240" w:top="131" w:right="1399" w:bottom="1440" w:gutter="0" w:footer="0" w:header="0"/>
        </w:sectPr>
      </w:pPr>
    </w:p>
    <w:p>
      <w:pPr>
        <w:spacing w:after="0" w:line="37" w:lineRule="exact"/>
        <w:rPr>
          <w:sz w:val="20"/>
          <w:szCs w:val="20"/>
          <w:color w:val="auto"/>
        </w:rPr>
      </w:pPr>
    </w:p>
    <w:p>
      <w:pPr>
        <w:ind w:left="2060" w:right="560" w:hanging="583"/>
        <w:spacing w:after="0" w:line="268" w:lineRule="auto"/>
        <w:tabs>
          <w:tab w:leader="none" w:pos="2040" w:val="left"/>
        </w:tabs>
        <w:rPr>
          <w:sz w:val="20"/>
          <w:szCs w:val="20"/>
          <w:color w:val="auto"/>
        </w:rPr>
      </w:pPr>
      <w:r>
        <w:rPr>
          <w:rFonts w:ascii="Arial" w:cs="Arial" w:eastAsia="Arial" w:hAnsi="Arial"/>
          <w:sz w:val="18"/>
          <w:szCs w:val="18"/>
          <w:color w:val="auto"/>
        </w:rPr>
        <w:t>10.17</w:t>
        <w:tab/>
        <w:t>Deferred Compensation Plan for Non-Employee Directors*</w:t>
      </w:r>
    </w:p>
    <w:p>
      <w:pPr>
        <w:spacing w:after="0" w:line="213" w:lineRule="exact"/>
        <w:rPr>
          <w:sz w:val="20"/>
          <w:szCs w:val="20"/>
          <w:color w:val="auto"/>
        </w:rPr>
      </w:pPr>
    </w:p>
    <w:p>
      <w:pPr>
        <w:ind w:left="2060" w:right="380" w:hanging="583"/>
        <w:spacing w:after="0" w:line="370" w:lineRule="auto"/>
        <w:tabs>
          <w:tab w:leader="none" w:pos="2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Employment Agreement between Matt Packey and LendingTree, LLC, dated as of August 3, 2008*</w:t>
      </w:r>
    </w:p>
    <w:p>
      <w:pPr>
        <w:spacing w:after="0" w:line="143" w:lineRule="exact"/>
        <w:rPr>
          <w:sz w:val="20"/>
          <w:szCs w:val="20"/>
          <w:color w:val="auto"/>
        </w:rPr>
      </w:pPr>
    </w:p>
    <w:p>
      <w:pPr>
        <w:jc w:val="both"/>
        <w:ind w:left="2060" w:hanging="583"/>
        <w:spacing w:after="0" w:line="332" w:lineRule="auto"/>
        <w:tabs>
          <w:tab w:leader="none" w:pos="2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Employment Agreement between Douglas R. Lebda and IAC/InterActiveCorp, dated as of January 7, 2008*</w:t>
      </w:r>
    </w:p>
    <w:p>
      <w:pPr>
        <w:spacing w:after="0" w:line="166" w:lineRule="exact"/>
        <w:rPr>
          <w:sz w:val="20"/>
          <w:szCs w:val="20"/>
          <w:color w:val="auto"/>
        </w:rPr>
      </w:pPr>
    </w:p>
    <w:p>
      <w:pPr>
        <w:jc w:val="both"/>
        <w:ind w:left="2060" w:hanging="583"/>
        <w:spacing w:after="0" w:line="306" w:lineRule="auto"/>
        <w:tabs>
          <w:tab w:leader="none" w:pos="2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No. 1 to Employment Agreement between Douglas R. Lebda and IAC/InterActiveCorp, dated as of August 15, 2008*</w:t>
      </w:r>
    </w:p>
    <w:p>
      <w:pPr>
        <w:spacing w:after="0" w:line="188" w:lineRule="exact"/>
        <w:rPr>
          <w:sz w:val="20"/>
          <w:szCs w:val="20"/>
          <w:color w:val="auto"/>
        </w:rPr>
      </w:pPr>
    </w:p>
    <w:p>
      <w:pPr>
        <w:ind w:left="2060" w:right="60" w:hanging="583"/>
        <w:spacing w:after="0" w:line="291" w:lineRule="auto"/>
        <w:tabs>
          <w:tab w:leader="none" w:pos="20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Restricted Share Grant and Stockholder's Agreement, dated as of August 15, 2008, by and among IAC/InterActiveCorp, LendingTree Holdings Corp. and Douglas R. Lebda, together with Exhibit A thereto, Amended and Restated Certificate of Incorporation of LendingTree Holdings Corp.*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Exhibit 10.15 to the Registrant's Registration Statement on Form S-1 (No. 333-152700), filed August 1, 2008.</w:t>
      </w:r>
    </w:p>
    <w:p>
      <w:pPr>
        <w:spacing w:after="0" w:line="143"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Exhibit 10.16 to the Registrant's Registration Statement on Form S-1 (No. 333-152700), filed August 1, 2008.</w:t>
      </w:r>
    </w:p>
    <w:p>
      <w:pPr>
        <w:spacing w:after="0" w:line="143"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Exhibit 10.6 to the Registrant's Registration Statement on Form S-1 (No. 333-152700), filed August 1, 2008.</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Exhibit 99.1 to the Registrant's Current Report on Form 8-K filed August 20, 2008.</w:t>
      </w:r>
    </w:p>
    <w:p>
      <w:pPr>
        <w:spacing w:after="0" w:line="200" w:lineRule="exact"/>
        <w:rPr>
          <w:sz w:val="20"/>
          <w:szCs w:val="20"/>
          <w:color w:val="auto"/>
        </w:rPr>
      </w:pP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Exhibits 99.2 and 99.3 to the Registrant's Current Report on Form 8-K filed August 20, 2008.</w:t>
      </w:r>
    </w:p>
    <w:p>
      <w:pPr>
        <w:spacing w:after="0" w:line="1076" w:lineRule="exact"/>
        <w:rPr>
          <w:sz w:val="20"/>
          <w:szCs w:val="20"/>
          <w:color w:val="auto"/>
        </w:rPr>
      </w:pPr>
    </w:p>
    <w:p>
      <w:pPr>
        <w:sectPr>
          <w:pgSz w:w="11900" w:h="16838" w:orient="portrait"/>
          <w:cols w:equalWidth="0" w:num="2">
            <w:col w:w="6040" w:space="220"/>
            <w:col w:w="4000"/>
          </w:cols>
          <w:pgMar w:left="240" w:top="131" w:right="1399" w:bottom="1440" w:gutter="0" w:footer="0" w:header="0"/>
          <w:type w:val="continuous"/>
        </w:sectPr>
      </w:pPr>
    </w:p>
    <w:p>
      <w:pPr>
        <w:spacing w:after="0" w:line="1" w:lineRule="exact"/>
        <w:rPr>
          <w:sz w:val="20"/>
          <w:szCs w:val="20"/>
          <w:color w:val="auto"/>
        </w:rPr>
      </w:pPr>
    </w:p>
    <w:p>
      <w:pPr>
        <w:ind w:left="2060" w:right="120" w:hanging="583"/>
        <w:spacing w:after="0" w:line="370" w:lineRule="auto"/>
        <w:tabs>
          <w:tab w:leader="none" w:pos="20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Stock Purchase Agreement, dated February 8, 2009, between Tree.com, Inc. and Douglas R. Lebda*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332" w:lineRule="auto"/>
        <w:rPr>
          <w:sz w:val="20"/>
          <w:szCs w:val="20"/>
          <w:color w:val="auto"/>
        </w:rPr>
      </w:pPr>
      <w:r>
        <w:rPr>
          <w:rFonts w:ascii="Arial" w:cs="Arial" w:eastAsia="Arial" w:hAnsi="Arial"/>
          <w:sz w:val="16"/>
          <w:szCs w:val="16"/>
          <w:color w:val="auto"/>
        </w:rPr>
        <w:t>Exhibit 10.1 to the Registrant's Current Report on Form 8-K filed February 11, 2009.</w:t>
      </w:r>
    </w:p>
    <w:p>
      <w:pPr>
        <w:sectPr>
          <w:pgSz w:w="11900" w:h="16838" w:orient="portrait"/>
          <w:cols w:equalWidth="0" w:num="2">
            <w:col w:w="5840" w:space="420"/>
            <w:col w:w="4000"/>
          </w:cols>
          <w:pgMar w:left="240" w:top="131" w:right="139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10.23</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Amendment No. 2 to the Employment Agreement</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Douglas R. Lebda and Tree.com, Inc.*</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10.24</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Amendment No. 1 to the Employment Agreement</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Robert Harris and Tree.com, Inc.*</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10.25</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Amendment No. 1 to the Employment Agreement</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between Matthew Packey and Tree.com, Inc.*</w:t>
            </w:r>
          </w:p>
        </w:tc>
      </w:tr>
      <w:tr>
        <w:trPr>
          <w:trHeight w:val="459"/>
        </w:trPr>
        <w:tc>
          <w:tcPr>
            <w:tcW w:w="720" w:type="dxa"/>
            <w:vAlign w:val="bottom"/>
          </w:tcPr>
          <w:p>
            <w:pPr>
              <w:jc w:val="right"/>
              <w:spacing w:after="0"/>
              <w:rPr>
                <w:sz w:val="20"/>
                <w:szCs w:val="20"/>
                <w:color w:val="auto"/>
              </w:rPr>
            </w:pPr>
            <w:r>
              <w:rPr>
                <w:rFonts w:ascii="Arial" w:cs="Arial" w:eastAsia="Arial" w:hAnsi="Arial"/>
                <w:sz w:val="18"/>
                <w:szCs w:val="18"/>
                <w:color w:val="auto"/>
              </w:rPr>
              <w:t>10.26</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Notice of Restricted Stock Unit Award*</w:t>
            </w:r>
          </w:p>
        </w:tc>
      </w:tr>
      <w:tr>
        <w:trPr>
          <w:trHeight w:val="675"/>
        </w:trPr>
        <w:tc>
          <w:tcPr>
            <w:tcW w:w="720" w:type="dxa"/>
            <w:vAlign w:val="bottom"/>
          </w:tcPr>
          <w:p>
            <w:pPr>
              <w:jc w:val="right"/>
              <w:spacing w:after="0"/>
              <w:rPr>
                <w:sz w:val="20"/>
                <w:szCs w:val="20"/>
                <w:color w:val="auto"/>
              </w:rPr>
            </w:pPr>
            <w:r>
              <w:rPr>
                <w:rFonts w:ascii="Arial" w:cs="Arial" w:eastAsia="Arial" w:hAnsi="Arial"/>
                <w:sz w:val="18"/>
                <w:szCs w:val="18"/>
                <w:color w:val="auto"/>
              </w:rPr>
              <w:t>10.27</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Restricted Stock Award*</w:t>
            </w:r>
          </w:p>
        </w:tc>
      </w:tr>
      <w:tr>
        <w:trPr>
          <w:trHeight w:val="675"/>
        </w:trPr>
        <w:tc>
          <w:tcPr>
            <w:tcW w:w="720" w:type="dxa"/>
            <w:vAlign w:val="bottom"/>
          </w:tcPr>
          <w:p>
            <w:pPr>
              <w:jc w:val="right"/>
              <w:spacing w:after="0"/>
              <w:rPr>
                <w:sz w:val="20"/>
                <w:szCs w:val="20"/>
                <w:color w:val="auto"/>
              </w:rPr>
            </w:pPr>
            <w:r>
              <w:rPr>
                <w:rFonts w:ascii="Arial" w:cs="Arial" w:eastAsia="Arial" w:hAnsi="Arial"/>
                <w:sz w:val="18"/>
                <w:szCs w:val="18"/>
                <w:color w:val="auto"/>
              </w:rPr>
              <w:t>10.28</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Notice of Stock Option Award*</w:t>
            </w:r>
          </w:p>
        </w:tc>
      </w:tr>
      <w:tr>
        <w:trPr>
          <w:trHeight w:val="669"/>
        </w:trPr>
        <w:tc>
          <w:tcPr>
            <w:tcW w:w="720" w:type="dxa"/>
            <w:vAlign w:val="bottom"/>
          </w:tcPr>
          <w:p>
            <w:pPr>
              <w:jc w:val="right"/>
              <w:spacing w:after="0"/>
              <w:rPr>
                <w:sz w:val="20"/>
                <w:szCs w:val="20"/>
                <w:color w:val="auto"/>
              </w:rPr>
            </w:pPr>
            <w:r>
              <w:rPr>
                <w:rFonts w:ascii="Arial" w:cs="Arial" w:eastAsia="Arial" w:hAnsi="Arial"/>
                <w:sz w:val="18"/>
                <w:szCs w:val="18"/>
                <w:color w:val="auto"/>
              </w:rPr>
              <w:t>10.29</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0"/>
              </w:rPr>
              <w:t>Option Cancellation Agreement, made and entered into</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as of the 28th day of April, 2009, by and between</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Tree.com, Inc. and Douglas R. Lebda*</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10.30</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Early Purchase Program Addendum to Loan Purchase</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8"/>
              </w:rPr>
              <w:t>Agreement, made and entered into as of May 1, 2009 by</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and between Bank of America, N.A. and Home Loan</w:t>
            </w: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Center,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459"/>
        <w:spacing w:after="0" w:line="259" w:lineRule="auto"/>
        <w:rPr>
          <w:sz w:val="20"/>
          <w:szCs w:val="20"/>
          <w:color w:val="auto"/>
        </w:rPr>
      </w:pPr>
      <w:r>
        <w:rPr>
          <w:rFonts w:ascii="Arial" w:cs="Arial" w:eastAsia="Arial" w:hAnsi="Arial"/>
          <w:sz w:val="18"/>
          <w:szCs w:val="18"/>
          <w:color w:val="auto"/>
        </w:rPr>
        <w:t>Exhibit 10.1 to the Registrant's Current Report on Form 8-K filed March 27, 2009</w:t>
      </w:r>
    </w:p>
    <w:p>
      <w:pPr>
        <w:spacing w:after="0" w:line="221"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10.2 to the Registrant's Current Report on Form 8-K filed March 27, 2009</w:t>
      </w:r>
    </w:p>
    <w:p>
      <w:pPr>
        <w:spacing w:after="0" w:line="213"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10.3 to the Registrant's Current Report on Form 8-K filed March 27, 2009</w:t>
      </w:r>
    </w:p>
    <w:p>
      <w:pPr>
        <w:spacing w:after="0" w:line="213"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10.4 to the Registrant's Current Report on Form 8-K filed March 27, 2009</w:t>
      </w:r>
    </w:p>
    <w:p>
      <w:pPr>
        <w:spacing w:after="0" w:line="213"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10.5 to the Registrant's Current Report on Form 8-K filed March 27, 2009</w:t>
      </w:r>
    </w:p>
    <w:p>
      <w:pPr>
        <w:spacing w:after="0" w:line="213"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10.6 to the Registrant's Current Report on Form 8-K filed March 27, 2009</w:t>
      </w:r>
    </w:p>
    <w:p>
      <w:pPr>
        <w:spacing w:after="0" w:line="213"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May 1, 2009</w:t>
      </w:r>
    </w:p>
    <w:p>
      <w:pPr>
        <w:spacing w:after="0" w:line="200" w:lineRule="exact"/>
        <w:rPr>
          <w:sz w:val="20"/>
          <w:szCs w:val="20"/>
          <w:color w:val="auto"/>
        </w:rPr>
      </w:pPr>
    </w:p>
    <w:p>
      <w:pPr>
        <w:spacing w:after="0" w:line="229"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May 6, 2009</w:t>
      </w:r>
    </w:p>
    <w:p>
      <w:pPr>
        <w:spacing w:after="0" w:line="608" w:lineRule="exact"/>
        <w:rPr>
          <w:sz w:val="20"/>
          <w:szCs w:val="20"/>
          <w:color w:val="auto"/>
        </w:rPr>
      </w:pPr>
    </w:p>
    <w:p>
      <w:pPr>
        <w:sectPr>
          <w:pgSz w:w="11900" w:h="16838" w:orient="portrait"/>
          <w:cols w:equalWidth="0" w:num="2">
            <w:col w:w="6080" w:space="180"/>
            <w:col w:w="3959"/>
          </w:cols>
          <w:pgMar w:left="240" w:top="131" w:right="1440" w:bottom="1440" w:gutter="0" w:footer="0" w:header="0"/>
        </w:sectPr>
      </w:pPr>
    </w:p>
    <w:p>
      <w:pPr>
        <w:spacing w:after="0" w:line="37" w:lineRule="exact"/>
        <w:rPr>
          <w:sz w:val="20"/>
          <w:szCs w:val="20"/>
          <w:color w:val="auto"/>
        </w:rPr>
      </w:pPr>
    </w:p>
    <w:p>
      <w:pPr>
        <w:jc w:val="both"/>
        <w:ind w:left="2060" w:hanging="583"/>
        <w:spacing w:after="0" w:line="306" w:lineRule="auto"/>
        <w:tabs>
          <w:tab w:leader="none" w:pos="20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Master Repurchase Agreement, made and entered into as of May 1, 2009, by and between Bank of America , N.A. and Home Loan Center,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10.2 to the Registrant's Current Report on Form 8-K filed May 6, 2009</w:t>
      </w:r>
    </w:p>
    <w:p>
      <w:pPr>
        <w:spacing w:after="0" w:line="429" w:lineRule="exact"/>
        <w:rPr>
          <w:sz w:val="20"/>
          <w:szCs w:val="20"/>
          <w:color w:val="auto"/>
        </w:rPr>
      </w:pPr>
    </w:p>
    <w:p>
      <w:pPr>
        <w:sectPr>
          <w:pgSz w:w="11900" w:h="16838" w:orient="portrait"/>
          <w:cols w:equalWidth="0" w:num="2">
            <w:col w:w="6080" w:space="180"/>
            <w:col w:w="3959"/>
          </w:cols>
          <w:pgMar w:left="240" w:top="131" w:right="1440" w:bottom="1440" w:gutter="0" w:footer="0" w:header="0"/>
          <w:type w:val="continuous"/>
        </w:sectPr>
      </w:pPr>
    </w:p>
    <w:p>
      <w:pPr>
        <w:ind w:left="2060" w:hanging="583"/>
        <w:spacing w:after="0" w:line="256" w:lineRule="auto"/>
        <w:tabs>
          <w:tab w:leader="none" w:pos="2040" w:val="left"/>
        </w:tabs>
        <w:rPr>
          <w:sz w:val="20"/>
          <w:szCs w:val="20"/>
          <w:color w:val="auto"/>
        </w:rPr>
      </w:pPr>
      <w:r>
        <w:rPr>
          <w:rFonts w:ascii="Arial" w:cs="Arial" w:eastAsia="Arial" w:hAnsi="Arial"/>
          <w:sz w:val="18"/>
          <w:szCs w:val="18"/>
          <w:color w:val="auto"/>
        </w:rPr>
        <w:t>10.32</w:t>
        <w:tab/>
        <w:t>Transactions Terms Letter for Master Repurchase Agreement, made and entered into as of May 1, 2009, by and between Bank of America, N.A. and Home Loan Center, Inc.</w:t>
      </w:r>
    </w:p>
    <w:p>
      <w:pPr>
        <w:spacing w:after="0" w:line="20" w:lineRule="exact"/>
        <w:rPr>
          <w:sz w:val="20"/>
          <w:szCs w:val="20"/>
          <w:color w:val="auto"/>
        </w:rPr>
      </w:pPr>
      <w:r>
        <w:rPr>
          <w:sz w:val="20"/>
          <w:szCs w:val="20"/>
          <w:color w:val="auto"/>
        </w:rPr>
        <w:br w:type="column"/>
      </w:r>
    </w:p>
    <w:p>
      <w:pPr>
        <w:ind w:right="459"/>
        <w:spacing w:after="0" w:line="268" w:lineRule="auto"/>
        <w:rPr>
          <w:sz w:val="20"/>
          <w:szCs w:val="20"/>
          <w:color w:val="auto"/>
        </w:rPr>
      </w:pPr>
      <w:r>
        <w:rPr>
          <w:rFonts w:ascii="Arial" w:cs="Arial" w:eastAsia="Arial" w:hAnsi="Arial"/>
          <w:sz w:val="18"/>
          <w:szCs w:val="18"/>
          <w:color w:val="auto"/>
        </w:rPr>
        <w:t>Exhibit 10.3 to the Registrant's Current Report on Form 8-K filed May 6, 2009</w:t>
      </w:r>
    </w:p>
    <w:p>
      <w:pPr>
        <w:spacing w:after="0" w:line="620" w:lineRule="exact"/>
        <w:rPr>
          <w:sz w:val="20"/>
          <w:szCs w:val="20"/>
          <w:color w:val="auto"/>
        </w:rPr>
      </w:pPr>
    </w:p>
    <w:p>
      <w:pPr>
        <w:sectPr>
          <w:pgSz w:w="11900" w:h="16838" w:orient="portrait"/>
          <w:cols w:equalWidth="0" w:num="2">
            <w:col w:w="6080" w:space="180"/>
            <w:col w:w="3959"/>
          </w:cols>
          <w:pgMar w:left="240" w:top="131" w:right="1440" w:bottom="1440" w:gutter="0" w:footer="0" w:header="0"/>
          <w:type w:val="continuous"/>
        </w:sectPr>
      </w:pPr>
    </w:p>
    <w:p>
      <w:pPr>
        <w:spacing w:after="0" w:line="24" w:lineRule="exact"/>
        <w:rPr>
          <w:sz w:val="20"/>
          <w:szCs w:val="20"/>
          <w:color w:val="auto"/>
        </w:rPr>
      </w:pPr>
    </w:p>
    <w:p>
      <w:pPr>
        <w:ind w:left="2060" w:right="120" w:hanging="583"/>
        <w:spacing w:after="0" w:line="259" w:lineRule="auto"/>
        <w:tabs>
          <w:tab w:leader="none" w:pos="2040" w:val="left"/>
        </w:tabs>
        <w:rPr>
          <w:sz w:val="20"/>
          <w:szCs w:val="20"/>
          <w:color w:val="auto"/>
        </w:rPr>
      </w:pPr>
      <w:r>
        <w:rPr>
          <w:rFonts w:ascii="Arial" w:cs="Arial" w:eastAsia="Arial" w:hAnsi="Arial"/>
          <w:sz w:val="18"/>
          <w:szCs w:val="18"/>
          <w:color w:val="auto"/>
        </w:rPr>
        <w:t>10.33</w:t>
        <w:tab/>
        <w:t>Master Repurchase Agreement dated as of October 30, 2009, by and between Home Loan Center, Inc. and JPMorgan Chase Bank, N.A.</w:t>
      </w:r>
    </w:p>
    <w:p>
      <w:pPr>
        <w:spacing w:after="0" w:line="221" w:lineRule="exact"/>
        <w:rPr>
          <w:sz w:val="20"/>
          <w:szCs w:val="20"/>
          <w:color w:val="auto"/>
        </w:rPr>
      </w:pPr>
    </w:p>
    <w:p>
      <w:pPr>
        <w:jc w:val="both"/>
        <w:ind w:left="2060" w:hanging="583"/>
        <w:spacing w:after="0" w:line="306" w:lineRule="auto"/>
        <w:tabs>
          <w:tab w:leader="none" w:pos="20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Side Letter dated October 30, 2009 regarding the Master Repurchase Agreement between JPMorgan Chase Bank, and Home Loan Center, Inc.</w:t>
      </w:r>
    </w:p>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October 30, 2009</w:t>
      </w:r>
    </w:p>
    <w:p>
      <w:pPr>
        <w:spacing w:after="0" w:line="200" w:lineRule="exact"/>
        <w:rPr>
          <w:sz w:val="20"/>
          <w:szCs w:val="20"/>
          <w:color w:val="auto"/>
        </w:rPr>
      </w:pPr>
    </w:p>
    <w:p>
      <w:pPr>
        <w:spacing w:after="0" w:line="229" w:lineRule="exact"/>
        <w:rPr>
          <w:sz w:val="20"/>
          <w:szCs w:val="20"/>
          <w:color w:val="auto"/>
        </w:rPr>
      </w:pPr>
    </w:p>
    <w:p>
      <w:pPr>
        <w:ind w:right="459"/>
        <w:spacing w:after="0" w:line="268" w:lineRule="auto"/>
        <w:rPr>
          <w:sz w:val="20"/>
          <w:szCs w:val="20"/>
          <w:color w:val="auto"/>
        </w:rPr>
      </w:pPr>
      <w:r>
        <w:rPr>
          <w:rFonts w:ascii="Arial" w:cs="Arial" w:eastAsia="Arial" w:hAnsi="Arial"/>
          <w:sz w:val="18"/>
          <w:szCs w:val="18"/>
          <w:color w:val="auto"/>
        </w:rPr>
        <w:t>Exhibit 10.2 to the Registrant's Current Report on Form 8-K filed October 30, 2009</w:t>
      </w:r>
    </w:p>
    <w:p>
      <w:pPr>
        <w:sectPr>
          <w:pgSz w:w="11900" w:h="16838" w:orient="portrait"/>
          <w:cols w:equalWidth="0" w:num="2">
            <w:col w:w="6040" w:space="220"/>
            <w:col w:w="3959"/>
          </w:cols>
          <w:pgMar w:left="240" w:top="131" w:right="1440"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80"/>
        <w:spacing w:after="0"/>
        <w:tabs>
          <w:tab w:leader="none" w:pos="37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299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2060" w:hanging="583"/>
        <w:spacing w:after="0" w:line="288" w:lineRule="auto"/>
        <w:tabs>
          <w:tab w:leader="none" w:pos="20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Third Amendment to Warehousing Credit Agreement, made and entered into as of the 18th day of December, 2009, and to be effective as of the 29th day of December, 2009, by and among Home Loan Center, Inc. d/b/a LendingTree Loans PNC Bank, National Association, successor to National City Bank, its capacity as Agent for the Banks (as defined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459"/>
        <w:spacing w:after="0" w:line="321" w:lineRule="auto"/>
        <w:rPr>
          <w:sz w:val="20"/>
          <w:szCs w:val="20"/>
          <w:color w:val="auto"/>
        </w:rPr>
      </w:pPr>
      <w:r>
        <w:rPr>
          <w:rFonts w:ascii="Arial" w:cs="Arial" w:eastAsia="Arial" w:hAnsi="Arial"/>
          <w:sz w:val="16"/>
          <w:szCs w:val="16"/>
          <w:color w:val="auto"/>
        </w:rPr>
        <w:t>Exhibit 10.1 to the Registrant's Current Report on Form 8-K filed December 23, 2009</w:t>
      </w:r>
    </w:p>
    <w:p>
      <w:pPr>
        <w:spacing w:after="0" w:line="1253" w:lineRule="exact"/>
        <w:rPr>
          <w:sz w:val="20"/>
          <w:szCs w:val="20"/>
          <w:color w:val="auto"/>
        </w:rPr>
      </w:pPr>
    </w:p>
    <w:p>
      <w:pPr>
        <w:sectPr>
          <w:pgSz w:w="11900" w:h="16838" w:orient="portrait"/>
          <w:cols w:equalWidth="0" w:num="2">
            <w:col w:w="6040" w:space="220"/>
            <w:col w:w="3959"/>
          </w:cols>
          <w:pgMar w:left="240" w:top="131" w:right="1440" w:bottom="1440" w:gutter="0" w:footer="0" w:header="0"/>
        </w:sectPr>
      </w:pPr>
    </w:p>
    <w:p>
      <w:pPr>
        <w:spacing w:after="0" w:line="2" w:lineRule="exact"/>
        <w:rPr>
          <w:sz w:val="20"/>
          <w:szCs w:val="20"/>
          <w:color w:val="auto"/>
        </w:rPr>
      </w:pPr>
    </w:p>
    <w:p>
      <w:pPr>
        <w:ind w:left="2060" w:hanging="583"/>
        <w:spacing w:after="0" w:line="290" w:lineRule="auto"/>
        <w:tabs>
          <w:tab w:leader="none" w:pos="20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Fourth Amendment to Warehousing Credit Agreement, made and entered into as of February 15, 2010 by and among Home Loan Center, Inc. d/b/a LendingTree Loans, PNC Bank, National Association (successor to National City Bank) and PNC Bank, National Association (successor to National City Bank), in its capacity as Agent for the Banks (as defined therein).</w:t>
      </w:r>
    </w:p>
    <w:p>
      <w:pPr>
        <w:spacing w:after="0" w:line="20" w:lineRule="exact"/>
        <w:rPr>
          <w:sz w:val="20"/>
          <w:szCs w:val="20"/>
          <w:color w:val="auto"/>
        </w:rPr>
      </w:pPr>
      <w:r>
        <w:rPr>
          <w:sz w:val="20"/>
          <w:szCs w:val="20"/>
          <w:color w:val="auto"/>
        </w:rPr>
        <w:br w:type="column"/>
      </w:r>
    </w:p>
    <w:p>
      <w:pPr>
        <w:ind w:right="459"/>
        <w:spacing w:after="0" w:line="268" w:lineRule="auto"/>
        <w:rPr>
          <w:sz w:val="20"/>
          <w:szCs w:val="20"/>
          <w:color w:val="auto"/>
        </w:rPr>
      </w:pPr>
      <w:r>
        <w:rPr>
          <w:rFonts w:ascii="Arial" w:cs="Arial" w:eastAsia="Arial" w:hAnsi="Arial"/>
          <w:sz w:val="18"/>
          <w:szCs w:val="18"/>
          <w:color w:val="auto"/>
        </w:rPr>
        <w:t>Exhibit 10.1 to the Registrant's Current Report on Form 8-K filed February 19, 2010</w:t>
      </w:r>
    </w:p>
    <w:p>
      <w:pPr>
        <w:spacing w:after="0" w:line="1292" w:lineRule="exact"/>
        <w:rPr>
          <w:sz w:val="20"/>
          <w:szCs w:val="20"/>
          <w:color w:val="auto"/>
        </w:rPr>
      </w:pPr>
    </w:p>
    <w:p>
      <w:pPr>
        <w:sectPr>
          <w:pgSz w:w="11900" w:h="16838" w:orient="portrait"/>
          <w:cols w:equalWidth="0" w:num="2">
            <w:col w:w="5940" w:space="320"/>
            <w:col w:w="3959"/>
          </w:cols>
          <w:pgMar w:left="240" w:top="131" w:right="1440" w:bottom="1440" w:gutter="0" w:footer="0" w:header="0"/>
          <w:type w:val="continuous"/>
        </w:sectPr>
      </w:pPr>
    </w:p>
    <w:p>
      <w:pPr>
        <w:ind w:left="2060" w:right="200" w:hanging="583"/>
        <w:spacing w:after="0" w:line="259" w:lineRule="auto"/>
        <w:tabs>
          <w:tab w:leader="none" w:pos="2040" w:val="left"/>
        </w:tabs>
        <w:rPr>
          <w:sz w:val="20"/>
          <w:szCs w:val="20"/>
          <w:color w:val="auto"/>
        </w:rPr>
      </w:pPr>
      <w:r>
        <w:rPr>
          <w:rFonts w:ascii="Arial" w:cs="Arial" w:eastAsia="Arial" w:hAnsi="Arial"/>
          <w:sz w:val="18"/>
          <w:szCs w:val="18"/>
          <w:color w:val="auto"/>
        </w:rPr>
        <w:t>10.37</w:t>
        <w:tab/>
        <w:t>Amendment No. 1 to Stock Purchase Agreement between Tree.com, Inc. and Douglas R. Lebda, dated May 10, 2010*</w:t>
      </w:r>
    </w:p>
    <w:p>
      <w:pPr>
        <w:spacing w:after="0" w:line="221" w:lineRule="exact"/>
        <w:rPr>
          <w:sz w:val="20"/>
          <w:szCs w:val="20"/>
          <w:color w:val="auto"/>
        </w:rPr>
      </w:pPr>
    </w:p>
    <w:p>
      <w:pPr>
        <w:ind w:left="2060" w:right="200" w:hanging="583"/>
        <w:spacing w:after="0" w:line="259" w:lineRule="auto"/>
        <w:tabs>
          <w:tab w:leader="none" w:pos="2040" w:val="left"/>
        </w:tabs>
        <w:rPr>
          <w:sz w:val="20"/>
          <w:szCs w:val="20"/>
          <w:color w:val="auto"/>
        </w:rPr>
      </w:pPr>
      <w:r>
        <w:rPr>
          <w:rFonts w:ascii="Arial" w:cs="Arial" w:eastAsia="Arial" w:hAnsi="Arial"/>
          <w:sz w:val="18"/>
          <w:szCs w:val="18"/>
          <w:color w:val="auto"/>
        </w:rPr>
        <w:t>10.38</w:t>
        <w:tab/>
        <w:t>Amendment No. 3 to the Employment Agreement between Douglas R. Lebda and Tree.com, Inc., dated May 10, 2010*</w:t>
      </w:r>
    </w:p>
    <w:p>
      <w:pPr>
        <w:spacing w:after="0" w:line="221" w:lineRule="exact"/>
        <w:rPr>
          <w:sz w:val="20"/>
          <w:szCs w:val="20"/>
          <w:color w:val="auto"/>
        </w:rPr>
      </w:pPr>
    </w:p>
    <w:p>
      <w:pPr>
        <w:ind w:left="2060" w:right="240" w:hanging="583"/>
        <w:spacing w:after="0" w:line="268" w:lineRule="auto"/>
        <w:tabs>
          <w:tab w:leader="none" w:pos="2040" w:val="left"/>
        </w:tabs>
        <w:rPr>
          <w:sz w:val="20"/>
          <w:szCs w:val="20"/>
          <w:color w:val="auto"/>
        </w:rPr>
      </w:pPr>
      <w:r>
        <w:rPr>
          <w:rFonts w:ascii="Arial" w:cs="Arial" w:eastAsia="Arial" w:hAnsi="Arial"/>
          <w:sz w:val="18"/>
          <w:szCs w:val="18"/>
          <w:color w:val="auto"/>
        </w:rPr>
        <w:t>10.39</w:t>
        <w:tab/>
        <w:t>Form of Amendment to Restricted Stock Awards for Douglas R. Lebda*</w:t>
      </w:r>
    </w:p>
    <w:p>
      <w:pPr>
        <w:spacing w:after="0" w:line="213" w:lineRule="exact"/>
        <w:rPr>
          <w:sz w:val="20"/>
          <w:szCs w:val="20"/>
          <w:color w:val="auto"/>
        </w:rPr>
      </w:pPr>
    </w:p>
    <w:p>
      <w:pPr>
        <w:jc w:val="center"/>
        <w:ind w:left="1380"/>
        <w:spacing w:after="0"/>
        <w:tabs>
          <w:tab w:leader="none" w:pos="1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Employment Agreement by and between David Norris</w:t>
      </w:r>
    </w:p>
    <w:p>
      <w:pPr>
        <w:spacing w:after="0" w:line="15" w:lineRule="exact"/>
        <w:rPr>
          <w:sz w:val="20"/>
          <w:szCs w:val="20"/>
          <w:color w:val="auto"/>
        </w:rPr>
      </w:pPr>
    </w:p>
    <w:p>
      <w:pPr>
        <w:jc w:val="center"/>
        <w:ind w:left="1320"/>
        <w:spacing w:after="0"/>
        <w:rPr>
          <w:sz w:val="20"/>
          <w:szCs w:val="20"/>
          <w:color w:val="auto"/>
        </w:rPr>
      </w:pPr>
      <w:r>
        <w:rPr>
          <w:rFonts w:ascii="Arial" w:cs="Arial" w:eastAsia="Arial" w:hAnsi="Arial"/>
          <w:sz w:val="18"/>
          <w:szCs w:val="18"/>
          <w:color w:val="auto"/>
        </w:rPr>
        <w:t>and LendingTree, LLC, dated June 30, 2008*</w:t>
      </w:r>
    </w:p>
    <w:p>
      <w:pPr>
        <w:spacing w:after="0" w:line="246" w:lineRule="exact"/>
        <w:rPr>
          <w:sz w:val="20"/>
          <w:szCs w:val="20"/>
          <w:color w:val="auto"/>
        </w:rPr>
      </w:pPr>
    </w:p>
    <w:p>
      <w:pPr>
        <w:ind w:left="2060" w:hanging="583"/>
        <w:spacing w:after="0" w:line="332" w:lineRule="auto"/>
        <w:tabs>
          <w:tab w:leader="none" w:pos="20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Amendment to Employment Agreement between David Norris and Tree.com, Inc., dated December 3, 2009*</w:t>
      </w:r>
    </w:p>
    <w:p>
      <w:pPr>
        <w:spacing w:after="0" w:line="166" w:lineRule="exact"/>
        <w:rPr>
          <w:sz w:val="20"/>
          <w:szCs w:val="20"/>
          <w:color w:val="auto"/>
        </w:rPr>
      </w:pPr>
    </w:p>
    <w:p>
      <w:pPr>
        <w:jc w:val="right"/>
        <w:ind w:left="1480" w:right="40"/>
        <w:spacing w:after="0" w:line="332" w:lineRule="auto"/>
        <w:rPr>
          <w:sz w:val="20"/>
          <w:szCs w:val="20"/>
          <w:color w:val="auto"/>
        </w:rPr>
      </w:pPr>
      <w:r>
        <w:rPr>
          <w:rFonts w:ascii="Arial" w:cs="Arial" w:eastAsia="Arial" w:hAnsi="Arial"/>
          <w:sz w:val="16"/>
          <w:szCs w:val="16"/>
          <w:color w:val="auto"/>
        </w:rPr>
        <w:t>10.42  Amendment No. 2 to Employment Agreement between David Norris and Tree.com, Inc., dated May 10, 2010*</w:t>
      </w:r>
    </w:p>
    <w:p>
      <w:pPr>
        <w:spacing w:after="0" w:line="166" w:lineRule="exact"/>
        <w:rPr>
          <w:sz w:val="20"/>
          <w:szCs w:val="20"/>
          <w:color w:val="auto"/>
        </w:rPr>
      </w:pPr>
    </w:p>
    <w:p>
      <w:pPr>
        <w:ind w:left="2060" w:right="200" w:hanging="583"/>
        <w:spacing w:after="0" w:line="370" w:lineRule="auto"/>
        <w:tabs>
          <w:tab w:leader="none" w:pos="20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5"/>
          <w:szCs w:val="15"/>
          <w:color w:val="auto"/>
        </w:rPr>
        <w:t>Severance Agreement between Greg Hanson, RealEstate.com and Tree.com, dated April 22, 2009*</w:t>
      </w:r>
    </w:p>
    <w:p>
      <w:pPr>
        <w:spacing w:after="0" w:line="143" w:lineRule="exact"/>
        <w:rPr>
          <w:sz w:val="20"/>
          <w:szCs w:val="20"/>
          <w:color w:val="auto"/>
        </w:rPr>
      </w:pPr>
    </w:p>
    <w:p>
      <w:pPr>
        <w:ind w:left="2060" w:right="160" w:hanging="583"/>
        <w:spacing w:after="0" w:line="268" w:lineRule="auto"/>
        <w:tabs>
          <w:tab w:leader="none" w:pos="2040" w:val="left"/>
        </w:tabs>
        <w:rPr>
          <w:sz w:val="20"/>
          <w:szCs w:val="20"/>
          <w:color w:val="auto"/>
        </w:rPr>
      </w:pPr>
      <w:r>
        <w:rPr>
          <w:rFonts w:ascii="Arial" w:cs="Arial" w:eastAsia="Arial" w:hAnsi="Arial"/>
          <w:sz w:val="18"/>
          <w:szCs w:val="18"/>
          <w:color w:val="auto"/>
        </w:rPr>
        <w:t>10.44</w:t>
        <w:tab/>
        <w:t>Change in Control Letter from Tree.com, Inc. to Greg Hanson, dated March 26, 2010*</w:t>
      </w:r>
    </w:p>
    <w:p>
      <w:pPr>
        <w:spacing w:after="0" w:line="213" w:lineRule="exact"/>
        <w:rPr>
          <w:sz w:val="20"/>
          <w:szCs w:val="20"/>
          <w:color w:val="auto"/>
        </w:rPr>
      </w:pPr>
    </w:p>
    <w:p>
      <w:pPr>
        <w:ind w:left="2060" w:right="60" w:hanging="583"/>
        <w:spacing w:after="0" w:line="259" w:lineRule="auto"/>
        <w:tabs>
          <w:tab w:leader="none" w:pos="2040" w:val="left"/>
        </w:tabs>
        <w:rPr>
          <w:sz w:val="20"/>
          <w:szCs w:val="20"/>
          <w:color w:val="auto"/>
        </w:rPr>
      </w:pPr>
      <w:r>
        <w:rPr>
          <w:rFonts w:ascii="Arial" w:cs="Arial" w:eastAsia="Arial" w:hAnsi="Arial"/>
          <w:sz w:val="18"/>
          <w:szCs w:val="18"/>
          <w:color w:val="auto"/>
        </w:rPr>
        <w:t>10.45</w:t>
        <w:tab/>
        <w:t>Confidential Severance Agreement and Release by and between Robert L. Harris and Tree.com, Inc., dated March 2, 2010*</w:t>
      </w:r>
    </w:p>
    <w:p>
      <w:pPr>
        <w:spacing w:after="0" w:line="221" w:lineRule="exact"/>
        <w:rPr>
          <w:sz w:val="20"/>
          <w:szCs w:val="20"/>
          <w:color w:val="auto"/>
        </w:rPr>
      </w:pPr>
    </w:p>
    <w:p>
      <w:pPr>
        <w:ind w:left="1480"/>
        <w:spacing w:after="0"/>
        <w:tabs>
          <w:tab w:leader="none" w:pos="20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Form of Restricted Stock Award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19"/>
        <w:spacing w:after="0" w:line="268" w:lineRule="auto"/>
        <w:rPr>
          <w:sz w:val="20"/>
          <w:szCs w:val="20"/>
          <w:color w:val="auto"/>
        </w:rPr>
      </w:pPr>
      <w:r>
        <w:rPr>
          <w:rFonts w:ascii="Arial" w:cs="Arial" w:eastAsia="Arial" w:hAnsi="Arial"/>
          <w:sz w:val="18"/>
          <w:szCs w:val="18"/>
          <w:color w:val="auto"/>
        </w:rPr>
        <w:t>Exhibit 10.2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10.3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10.4 to the Registrant's Quarterly Report on Form 10-Q filed May 12, 2010</w:t>
      </w:r>
    </w:p>
    <w:p>
      <w:pPr>
        <w:spacing w:after="0" w:line="213"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10.5 to the Registrant's Quarterly Report on Form 10-Q filed May 12, 2010</w:t>
      </w:r>
    </w:p>
    <w:p>
      <w:pPr>
        <w:spacing w:after="0" w:line="213"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10.6 to the Registrant's Quarterly Report on Form 10-Q filed May 12, 2010</w:t>
      </w:r>
    </w:p>
    <w:p>
      <w:pPr>
        <w:spacing w:after="0" w:line="213"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10.7 to the Registrant's Quarterly Report on Form 10-Q filed May 12, 2010</w:t>
      </w:r>
    </w:p>
    <w:p>
      <w:pPr>
        <w:spacing w:after="0" w:line="213"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10.8 to the Registrant's Quarterly Report on Form 10-Q filed May 12, 2010</w:t>
      </w:r>
    </w:p>
    <w:p>
      <w:pPr>
        <w:spacing w:after="0" w:line="213" w:lineRule="exact"/>
        <w:rPr>
          <w:sz w:val="20"/>
          <w:szCs w:val="20"/>
          <w:color w:val="auto"/>
        </w:rPr>
      </w:pPr>
    </w:p>
    <w:p>
      <w:pPr>
        <w:ind w:right="319"/>
        <w:spacing w:after="0" w:line="268" w:lineRule="auto"/>
        <w:rPr>
          <w:sz w:val="20"/>
          <w:szCs w:val="20"/>
          <w:color w:val="auto"/>
        </w:rPr>
      </w:pPr>
      <w:r>
        <w:rPr>
          <w:rFonts w:ascii="Arial" w:cs="Arial" w:eastAsia="Arial" w:hAnsi="Arial"/>
          <w:sz w:val="18"/>
          <w:szCs w:val="18"/>
          <w:color w:val="auto"/>
        </w:rPr>
        <w:t>Exhibit 10.9 to the Registrant's Quarterly Report on Form 10-Q filed May 12, 2010</w:t>
      </w:r>
    </w:p>
    <w:p>
      <w:pPr>
        <w:spacing w:after="0" w:line="213" w:lineRule="exact"/>
        <w:rPr>
          <w:sz w:val="20"/>
          <w:szCs w:val="20"/>
          <w:color w:val="auto"/>
        </w:rPr>
      </w:pPr>
    </w:p>
    <w:p>
      <w:pPr>
        <w:ind w:right="239"/>
        <w:spacing w:after="0" w:line="268" w:lineRule="auto"/>
        <w:rPr>
          <w:sz w:val="20"/>
          <w:szCs w:val="20"/>
          <w:color w:val="auto"/>
        </w:rPr>
      </w:pPr>
      <w:r>
        <w:rPr>
          <w:rFonts w:ascii="Arial" w:cs="Arial" w:eastAsia="Arial" w:hAnsi="Arial"/>
          <w:sz w:val="18"/>
          <w:szCs w:val="18"/>
          <w:color w:val="auto"/>
        </w:rPr>
        <w:t>Exhibit 10.10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239"/>
        <w:spacing w:after="0" w:line="268" w:lineRule="auto"/>
        <w:rPr>
          <w:sz w:val="20"/>
          <w:szCs w:val="20"/>
          <w:color w:val="auto"/>
        </w:rPr>
      </w:pPr>
      <w:r>
        <w:rPr>
          <w:rFonts w:ascii="Arial" w:cs="Arial" w:eastAsia="Arial" w:hAnsi="Arial"/>
          <w:sz w:val="18"/>
          <w:szCs w:val="18"/>
          <w:color w:val="auto"/>
        </w:rPr>
        <w:t>Exhibit 10.11 to the Registrant's Quarterly Report on Form 10-Q filed May 12, 2010</w:t>
      </w:r>
    </w:p>
    <w:p>
      <w:pPr>
        <w:sectPr>
          <w:pgSz w:w="11900" w:h="16838" w:orient="portrait"/>
          <w:cols w:equalWidth="0" w:num="2">
            <w:col w:w="6000" w:space="260"/>
            <w:col w:w="3959"/>
          </w:cols>
          <w:pgMar w:left="240" w:top="131" w:right="1440"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61"/>
        </w:trPr>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10.47</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Form of Notice of Restricted Stock Unit Award*</w:t>
            </w: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5"/>
              </w:rPr>
              <w:t>Exhibit 10.12 to the Registrant's Quarterly Report on</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10-Q filed May 12, 2010</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of Notice of Stock Option Award*</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5"/>
              </w:rPr>
              <w:t>Exhibit 10.13 to the Registrant's Quarterly Report on</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10-Q filed May 12, 2010</w:t>
            </w:r>
          </w:p>
        </w:tc>
      </w:tr>
      <w:tr>
        <w:trPr>
          <w:trHeight w:val="453"/>
        </w:trPr>
        <w:tc>
          <w:tcPr>
            <w:tcW w:w="720" w:type="dxa"/>
            <w:vAlign w:val="bottom"/>
          </w:tcPr>
          <w:p>
            <w:pPr>
              <w:jc w:val="right"/>
              <w:spacing w:after="0"/>
              <w:rPr>
                <w:sz w:val="20"/>
                <w:szCs w:val="20"/>
                <w:color w:val="auto"/>
              </w:rPr>
            </w:pPr>
            <w:r>
              <w:rPr>
                <w:rFonts w:ascii="Arial" w:cs="Arial" w:eastAsia="Arial" w:hAnsi="Arial"/>
                <w:sz w:val="18"/>
                <w:szCs w:val="18"/>
                <w:color w:val="auto"/>
              </w:rPr>
              <w:t>10.49</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3"/>
              </w:rPr>
              <w:t>Amendment No. 1 to Transactions Term Letter, made</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Exhibit 10.1 to the Registrant's Current Report on</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4"/>
              </w:rPr>
              <w:t>and entered into as of April 28, 2010 by and between</w:t>
            </w: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Form 8-K filed April 30, 2010</w:t>
            </w:r>
          </w:p>
        </w:tc>
      </w:tr>
      <w:tr>
        <w:trPr>
          <w:trHeight w:val="216"/>
        </w:trPr>
        <w:tc>
          <w:tcPr>
            <w:tcW w:w="7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2"/>
              </w:rPr>
              <w:t>Home Loan Center, Inc. d/b/a LendingTree Loans and</w:t>
            </w:r>
          </w:p>
        </w:tc>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Bank of America</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37" w:lineRule="exact"/>
        <w:rPr>
          <w:sz w:val="20"/>
          <w:szCs w:val="20"/>
          <w:color w:val="auto"/>
        </w:rPr>
      </w:pPr>
    </w:p>
    <w:p>
      <w:pPr>
        <w:ind w:left="2060" w:right="600" w:hanging="583"/>
        <w:spacing w:after="0" w:line="306" w:lineRule="auto"/>
        <w:tabs>
          <w:tab w:leader="none" w:pos="20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Amendment No. 1 to the Stock Option Award Agreement between Douglas R. Lebda and Tree.com, Inc., dated May 10, 2010*</w:t>
      </w:r>
    </w:p>
    <w:p>
      <w:pPr>
        <w:spacing w:after="0" w:line="188" w:lineRule="exact"/>
        <w:rPr>
          <w:sz w:val="20"/>
          <w:szCs w:val="20"/>
          <w:color w:val="auto"/>
        </w:rPr>
      </w:pPr>
    </w:p>
    <w:p>
      <w:pPr>
        <w:jc w:val="both"/>
        <w:ind w:left="2060" w:hanging="583"/>
        <w:spacing w:after="0" w:line="256" w:lineRule="auto"/>
        <w:tabs>
          <w:tab w:leader="none" w:pos="2040" w:val="left"/>
        </w:tabs>
        <w:rPr>
          <w:sz w:val="20"/>
          <w:szCs w:val="20"/>
          <w:color w:val="auto"/>
        </w:rPr>
      </w:pPr>
      <w:r>
        <w:rPr>
          <w:rFonts w:ascii="Arial" w:cs="Arial" w:eastAsia="Arial" w:hAnsi="Arial"/>
          <w:sz w:val="18"/>
          <w:szCs w:val="18"/>
          <w:color w:val="auto"/>
        </w:rPr>
        <w:t>10.51</w:t>
        <w:tab/>
        <w:t>Amendment No. 1 to Transactions Term Letter, made and entered into as of April 28, 2010 by and between Home Loan Center, Inc. d/b/a LendingTree Loans and Bank of America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Exhibit 10.15 to the Registrant's Quarterly Report on Form 10-Q filed May 12, 2010</w:t>
      </w:r>
    </w:p>
    <w:p>
      <w:pPr>
        <w:spacing w:after="0" w:line="200" w:lineRule="exact"/>
        <w:rPr>
          <w:sz w:val="20"/>
          <w:szCs w:val="20"/>
          <w:color w:val="auto"/>
        </w:rPr>
      </w:pPr>
    </w:p>
    <w:p>
      <w:pPr>
        <w:spacing w:after="0" w:line="2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10.1 to the Registrant's Current Report on Form 8-K filed April 30, 2010</w:t>
      </w:r>
    </w:p>
    <w:p>
      <w:pPr>
        <w:spacing w:after="0" w:line="620" w:lineRule="exact"/>
        <w:rPr>
          <w:sz w:val="20"/>
          <w:szCs w:val="20"/>
          <w:color w:val="auto"/>
        </w:rPr>
      </w:pPr>
    </w:p>
    <w:p>
      <w:pPr>
        <w:sectPr>
          <w:pgSz w:w="11900" w:h="16838" w:orient="portrait"/>
          <w:cols w:equalWidth="0" w:num="2">
            <w:col w:w="5880" w:space="380"/>
            <w:col w:w="4020"/>
          </w:cols>
          <w:pgMar w:left="240" w:top="131" w:right="1379" w:bottom="1440" w:gutter="0" w:footer="0" w:header="0"/>
          <w:type w:val="continuous"/>
        </w:sectPr>
      </w:pPr>
    </w:p>
    <w:p>
      <w:pPr>
        <w:spacing w:after="0" w:line="24" w:lineRule="exact"/>
        <w:rPr>
          <w:sz w:val="20"/>
          <w:szCs w:val="20"/>
          <w:color w:val="auto"/>
        </w:rPr>
      </w:pPr>
    </w:p>
    <w:p>
      <w:pPr>
        <w:ind w:left="2060" w:right="400" w:hanging="583"/>
        <w:spacing w:after="0" w:line="332" w:lineRule="auto"/>
        <w:tabs>
          <w:tab w:leader="none" w:pos="20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Severance Agreement between Tree.com, Inc. and Matthew Packey, dated May 10, 2010*</w:t>
      </w:r>
    </w:p>
    <w:p>
      <w:pPr>
        <w:spacing w:after="0" w:line="166" w:lineRule="exact"/>
        <w:rPr>
          <w:sz w:val="20"/>
          <w:szCs w:val="20"/>
          <w:color w:val="auto"/>
        </w:rPr>
      </w:pPr>
    </w:p>
    <w:p>
      <w:pPr>
        <w:ind w:left="2060" w:right="700" w:hanging="583"/>
        <w:spacing w:after="0" w:line="370" w:lineRule="auto"/>
        <w:tabs>
          <w:tab w:leader="none" w:pos="20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5"/>
          <w:szCs w:val="15"/>
          <w:color w:val="auto"/>
        </w:rPr>
        <w:t>Letter Agreement between Tree.com, Inc. and Christopher Hayek, dated June 28, 2010*</w:t>
      </w:r>
    </w:p>
    <w:p>
      <w:pPr>
        <w:spacing w:after="0" w:line="143" w:lineRule="exact"/>
        <w:rPr>
          <w:sz w:val="20"/>
          <w:szCs w:val="20"/>
          <w:color w:val="auto"/>
        </w:rPr>
      </w:pPr>
    </w:p>
    <w:p>
      <w:pPr>
        <w:ind w:left="2060" w:hanging="583"/>
        <w:spacing w:after="0" w:line="256" w:lineRule="auto"/>
        <w:tabs>
          <w:tab w:leader="none" w:pos="2040" w:val="left"/>
        </w:tabs>
        <w:rPr>
          <w:sz w:val="20"/>
          <w:szCs w:val="20"/>
          <w:color w:val="auto"/>
        </w:rPr>
      </w:pPr>
      <w:r>
        <w:rPr>
          <w:rFonts w:ascii="Arial" w:cs="Arial" w:eastAsia="Arial" w:hAnsi="Arial"/>
          <w:sz w:val="18"/>
          <w:szCs w:val="18"/>
          <w:color w:val="auto"/>
        </w:rPr>
        <w:t>10.54</w:t>
        <w:tab/>
        <w:t>Amendment No. 1 to Early Purchase Program Addendum to Loan Purchase Agreement, dated July 15, 2010, by and among Bank of America, N.A. and Home Loan Center,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Exhibit 10.2 to the Registrant's Quarterly Report on Form 10-Q filed August 3, 2010</w:t>
      </w:r>
    </w:p>
    <w:p>
      <w:pPr>
        <w:spacing w:after="0" w:line="2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Exhibit 10.3 to the Registrant's Quarterly Report on Form 10-Q filed August 3, 2010</w:t>
      </w:r>
    </w:p>
    <w:p>
      <w:pPr>
        <w:spacing w:after="0" w:line="2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10.1 to the Registrant's Current Report on Form 8-K filed July 21, 2010</w:t>
      </w:r>
    </w:p>
    <w:p>
      <w:pPr>
        <w:spacing w:after="0" w:line="620" w:lineRule="exact"/>
        <w:rPr>
          <w:sz w:val="20"/>
          <w:szCs w:val="20"/>
          <w:color w:val="auto"/>
        </w:rPr>
      </w:pPr>
    </w:p>
    <w:p>
      <w:pPr>
        <w:sectPr>
          <w:pgSz w:w="11900" w:h="16838" w:orient="portrait"/>
          <w:cols w:equalWidth="0" w:num="2">
            <w:col w:w="6000" w:space="260"/>
            <w:col w:w="4020"/>
          </w:cols>
          <w:pgMar w:left="240" w:top="131" w:right="1379" w:bottom="1440" w:gutter="0" w:footer="0" w:header="0"/>
          <w:type w:val="continuous"/>
        </w:sectPr>
      </w:pPr>
    </w:p>
    <w:p>
      <w:pPr>
        <w:spacing w:after="0" w:line="24" w:lineRule="exact"/>
        <w:rPr>
          <w:sz w:val="20"/>
          <w:szCs w:val="20"/>
          <w:color w:val="auto"/>
        </w:rPr>
      </w:pPr>
    </w:p>
    <w:p>
      <w:pPr>
        <w:ind w:left="2060" w:right="100" w:hanging="583"/>
        <w:spacing w:after="0" w:line="259" w:lineRule="auto"/>
        <w:tabs>
          <w:tab w:leader="none" w:pos="2040" w:val="left"/>
        </w:tabs>
        <w:rPr>
          <w:sz w:val="20"/>
          <w:szCs w:val="20"/>
          <w:color w:val="auto"/>
        </w:rPr>
      </w:pPr>
      <w:r>
        <w:rPr>
          <w:rFonts w:ascii="Arial" w:cs="Arial" w:eastAsia="Arial" w:hAnsi="Arial"/>
          <w:sz w:val="18"/>
          <w:szCs w:val="18"/>
          <w:color w:val="auto"/>
        </w:rPr>
        <w:t>10.55</w:t>
        <w:tab/>
        <w:t>Mandatory Forward Loan Volume Commitment, dated July 15, 2010, by and among Bank of America, N.A. and Home Loan Center, Inc.</w:t>
      </w:r>
    </w:p>
    <w:p>
      <w:pPr>
        <w:spacing w:after="0" w:line="221" w:lineRule="exact"/>
        <w:rPr>
          <w:sz w:val="20"/>
          <w:szCs w:val="20"/>
          <w:color w:val="auto"/>
        </w:rPr>
      </w:pPr>
    </w:p>
    <w:p>
      <w:pPr>
        <w:ind w:left="2060" w:hanging="583"/>
        <w:spacing w:after="0" w:line="306" w:lineRule="auto"/>
        <w:tabs>
          <w:tab w:leader="none" w:pos="204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Transaction Terms Letter for Master Repurchase Agreement, dated July 15, 2010, by and among Bank of America, N.A. and Home Loan Center, Inc.</w:t>
      </w:r>
    </w:p>
    <w:p>
      <w:pPr>
        <w:spacing w:after="0" w:line="188" w:lineRule="exact"/>
        <w:rPr>
          <w:sz w:val="20"/>
          <w:szCs w:val="20"/>
          <w:color w:val="auto"/>
        </w:rPr>
      </w:pPr>
    </w:p>
    <w:p>
      <w:pPr>
        <w:ind w:left="2060" w:right="180" w:hanging="583"/>
        <w:spacing w:after="0" w:line="335" w:lineRule="auto"/>
        <w:tabs>
          <w:tab w:leader="none" w:pos="204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5"/>
          <w:szCs w:val="15"/>
          <w:color w:val="auto"/>
        </w:rPr>
        <w:t>Amendment No. 3 to Master Repurchase Agreement, dated July 22, 2010, by and between Home Loan Center, Inc. and JPMorgan Chase Bank, N.A.</w:t>
      </w:r>
    </w:p>
    <w:p>
      <w:pPr>
        <w:spacing w:after="0" w:line="169" w:lineRule="exact"/>
        <w:rPr>
          <w:sz w:val="20"/>
          <w:szCs w:val="20"/>
          <w:color w:val="auto"/>
        </w:rPr>
      </w:pPr>
    </w:p>
    <w:p>
      <w:pPr>
        <w:ind w:left="2060" w:right="180" w:hanging="583"/>
        <w:spacing w:after="0" w:line="335" w:lineRule="auto"/>
        <w:tabs>
          <w:tab w:leader="none" w:pos="204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5"/>
          <w:szCs w:val="15"/>
          <w:color w:val="auto"/>
        </w:rPr>
        <w:t>Amendment No. 4 to Master Repurchase Agreement, dated as of October 29, 2010 by and between Home Loan Center, Inc. and JPMorgan Chase Bank, N.A.</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10.2 to the Registrant's Current Report on Form 8-K filed July 21, 2010</w:t>
      </w:r>
    </w:p>
    <w:p>
      <w:pPr>
        <w:spacing w:after="0" w:line="200" w:lineRule="exact"/>
        <w:rPr>
          <w:sz w:val="20"/>
          <w:szCs w:val="20"/>
          <w:color w:val="auto"/>
        </w:rPr>
      </w:pPr>
    </w:p>
    <w:p>
      <w:pPr>
        <w:spacing w:after="0" w:line="2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10.4 to the Registrant's Current Report on Form 8-K filed July 21, 2010</w:t>
      </w:r>
    </w:p>
    <w:p>
      <w:pPr>
        <w:spacing w:after="0" w:line="200" w:lineRule="exact"/>
        <w:rPr>
          <w:sz w:val="20"/>
          <w:szCs w:val="20"/>
          <w:color w:val="auto"/>
        </w:rPr>
      </w:pPr>
    </w:p>
    <w:p>
      <w:pPr>
        <w:spacing w:after="0" w:line="2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10.1 to the Registrant's Current Report on Form 8-K filed July 28, 2010</w:t>
      </w:r>
    </w:p>
    <w:p>
      <w:pPr>
        <w:spacing w:after="0" w:line="200" w:lineRule="exact"/>
        <w:rPr>
          <w:sz w:val="20"/>
          <w:szCs w:val="20"/>
          <w:color w:val="auto"/>
        </w:rPr>
      </w:pPr>
    </w:p>
    <w:p>
      <w:pPr>
        <w:spacing w:after="0" w:line="2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Exhibit 10.1 to the Registrant's Current Report on Form 8-K filed October 25, 2010</w:t>
      </w:r>
    </w:p>
    <w:p>
      <w:pPr>
        <w:sectPr>
          <w:pgSz w:w="11900" w:h="16838" w:orient="portrait"/>
          <w:cols w:equalWidth="0" w:num="2">
            <w:col w:w="6000" w:space="260"/>
            <w:col w:w="4020"/>
          </w:cols>
          <w:pgMar w:left="240" w:top="131" w:right="137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80"/>
        <w:spacing w:after="0"/>
        <w:tabs>
          <w:tab w:leader="none" w:pos="37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1299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2060" w:hanging="583"/>
        <w:spacing w:after="0" w:line="253" w:lineRule="auto"/>
        <w:tabs>
          <w:tab w:leader="none" w:pos="2040" w:val="left"/>
        </w:tabs>
        <w:rPr>
          <w:sz w:val="20"/>
          <w:szCs w:val="20"/>
          <w:color w:val="auto"/>
        </w:rPr>
      </w:pPr>
      <w:r>
        <w:rPr>
          <w:rFonts w:ascii="Arial" w:cs="Arial" w:eastAsia="Arial" w:hAnsi="Arial"/>
          <w:sz w:val="18"/>
          <w:szCs w:val="18"/>
          <w:color w:val="auto"/>
        </w:rPr>
        <w:t>10.59</w:t>
        <w:tab/>
        <w:t>Second Amendment to Side Letter dated as of October 29, 2010 with respect to the Home Loan Center, Inc. warehouse facility with JPMorgan Chase Bank,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right="480"/>
        <w:spacing w:after="0" w:line="259" w:lineRule="auto"/>
        <w:rPr>
          <w:sz w:val="20"/>
          <w:szCs w:val="20"/>
          <w:color w:val="auto"/>
        </w:rPr>
      </w:pPr>
      <w:r>
        <w:rPr>
          <w:rFonts w:ascii="Arial" w:cs="Arial" w:eastAsia="Arial" w:hAnsi="Arial"/>
          <w:sz w:val="18"/>
          <w:szCs w:val="18"/>
          <w:color w:val="auto"/>
        </w:rPr>
        <w:t>Exhibit 10.2 to the Registrant's Current Report on Form 8-K filed October 25, 2010.</w:t>
      </w:r>
    </w:p>
    <w:p>
      <w:pPr>
        <w:spacing w:after="0" w:line="626" w:lineRule="exact"/>
        <w:rPr>
          <w:sz w:val="20"/>
          <w:szCs w:val="20"/>
          <w:color w:val="auto"/>
        </w:rPr>
      </w:pPr>
    </w:p>
    <w:p>
      <w:pPr>
        <w:sectPr>
          <w:pgSz w:w="11900" w:h="16838" w:orient="portrait"/>
          <w:cols w:equalWidth="0" w:num="2">
            <w:col w:w="5820" w:space="440"/>
            <w:col w:w="3980"/>
          </w:cols>
          <w:pgMar w:left="240" w:top="131" w:right="1419" w:bottom="1440" w:gutter="0" w:footer="0" w:header="0"/>
        </w:sectPr>
      </w:pPr>
    </w:p>
    <w:p>
      <w:pPr>
        <w:spacing w:after="0" w:line="27" w:lineRule="exact"/>
        <w:rPr>
          <w:sz w:val="20"/>
          <w:szCs w:val="20"/>
          <w:color w:val="auto"/>
        </w:rPr>
      </w:pPr>
    </w:p>
    <w:p>
      <w:pPr>
        <w:ind w:left="2060" w:right="120" w:hanging="583"/>
        <w:spacing w:after="0" w:line="370" w:lineRule="auto"/>
        <w:tabs>
          <w:tab w:leader="none" w:pos="204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5"/>
          <w:szCs w:val="15"/>
          <w:color w:val="auto"/>
        </w:rPr>
        <w:t>Share Exchange Agreement dated August 30, 2010, between Tree.com, Inc. and Douglas R. Lebda*</w:t>
      </w:r>
    </w:p>
    <w:p>
      <w:pPr>
        <w:spacing w:after="0" w:line="143" w:lineRule="exact"/>
        <w:rPr>
          <w:sz w:val="20"/>
          <w:szCs w:val="20"/>
          <w:color w:val="auto"/>
        </w:rPr>
      </w:pPr>
    </w:p>
    <w:p>
      <w:pPr>
        <w:ind w:left="2060" w:hanging="583"/>
        <w:spacing w:after="0" w:line="298" w:lineRule="auto"/>
        <w:tabs>
          <w:tab w:leader="none" w:pos="20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Amendment No. 1 to the Restricted Share Grant and Stockholder's Agreement, dated August 30, 2010 between Tree.com, Inc., LendingTree Holdings Corp. and Douglas R. Lebda*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Exhibit 10.1 to the Registrant's Current Report on Form 8-K filed September 1, 2010.</w:t>
      </w:r>
    </w:p>
    <w:p>
      <w:pPr>
        <w:spacing w:after="0" w:line="16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Exhibit 10.4 to the Registrant's Quarterly Report on Form 10-Q filed November 12, 2010</w:t>
      </w:r>
    </w:p>
    <w:p>
      <w:pPr>
        <w:spacing w:after="0" w:line="598" w:lineRule="exact"/>
        <w:rPr>
          <w:sz w:val="20"/>
          <w:szCs w:val="20"/>
          <w:color w:val="auto"/>
        </w:rPr>
      </w:pPr>
    </w:p>
    <w:p>
      <w:pPr>
        <w:sectPr>
          <w:pgSz w:w="11900" w:h="16838" w:orient="portrait"/>
          <w:cols w:equalWidth="0" w:num="2">
            <w:col w:w="5820" w:space="440"/>
            <w:col w:w="3980"/>
          </w:cols>
          <w:pgMar w:left="240" w:top="131" w:right="1419" w:bottom="1440" w:gutter="0" w:footer="0" w:header="0"/>
          <w:type w:val="continuous"/>
        </w:sectPr>
      </w:pPr>
    </w:p>
    <w:p>
      <w:pPr>
        <w:jc w:val="center"/>
        <w:ind w:left="1480"/>
        <w:spacing w:after="0"/>
        <w:tabs>
          <w:tab w:leader="none" w:pos="16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5"/>
          <w:szCs w:val="15"/>
          <w:color w:val="auto"/>
        </w:rPr>
        <w:t>Amendment No. 3 to the Master Repurchase Agreement,</w:t>
      </w:r>
    </w:p>
    <w:p>
      <w:pPr>
        <w:spacing w:after="0" w:line="15" w:lineRule="exact"/>
        <w:rPr>
          <w:sz w:val="20"/>
          <w:szCs w:val="20"/>
          <w:color w:val="auto"/>
        </w:rPr>
      </w:pPr>
    </w:p>
    <w:p>
      <w:pPr>
        <w:ind w:left="2060" w:right="560"/>
        <w:spacing w:after="0" w:line="361" w:lineRule="auto"/>
        <w:rPr>
          <w:sz w:val="20"/>
          <w:szCs w:val="20"/>
          <w:color w:val="auto"/>
        </w:rPr>
      </w:pPr>
      <w:r>
        <w:rPr>
          <w:rFonts w:ascii="Arial" w:cs="Arial" w:eastAsia="Arial" w:hAnsi="Arial"/>
          <w:sz w:val="15"/>
          <w:szCs w:val="15"/>
          <w:color w:val="auto"/>
        </w:rPr>
        <w:t>dated July 22, 2010, by and between Home Loan Center, Inc. and JPMorgan Chase Bank, N.A.</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Exhibit 10.1 to the Registrant's Current Report on Form 8-K filed July 28, 2010</w:t>
      </w:r>
    </w:p>
    <w:p>
      <w:pPr>
        <w:spacing w:after="0" w:line="429" w:lineRule="exact"/>
        <w:rPr>
          <w:sz w:val="20"/>
          <w:szCs w:val="20"/>
          <w:color w:val="auto"/>
        </w:rPr>
      </w:pPr>
    </w:p>
    <w:p>
      <w:pPr>
        <w:sectPr>
          <w:pgSz w:w="11900" w:h="16838" w:orient="portrait"/>
          <w:cols w:equalWidth="0" w:num="2">
            <w:col w:w="6080" w:space="180"/>
            <w:col w:w="3980"/>
          </w:cols>
          <w:pgMar w:left="240" w:top="131" w:right="1419" w:bottom="1440" w:gutter="0" w:footer="0" w:header="0"/>
          <w:type w:val="continuous"/>
        </w:sectPr>
      </w:pPr>
    </w:p>
    <w:p>
      <w:pPr>
        <w:ind w:left="2060" w:right="200" w:hanging="583"/>
        <w:spacing w:after="0" w:line="332" w:lineRule="auto"/>
        <w:tabs>
          <w:tab w:leader="none" w:pos="20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Employment Agreement between Tree.com, Inc. and Steven Ozonian, dated October 31, 2010*</w:t>
      </w:r>
    </w:p>
    <w:p>
      <w:pPr>
        <w:spacing w:after="0" w:line="166" w:lineRule="exact"/>
        <w:rPr>
          <w:sz w:val="20"/>
          <w:szCs w:val="20"/>
          <w:color w:val="auto"/>
        </w:rPr>
      </w:pPr>
    </w:p>
    <w:p>
      <w:pPr>
        <w:ind w:left="2060" w:hanging="583"/>
        <w:spacing w:after="0" w:line="259" w:lineRule="auto"/>
        <w:tabs>
          <w:tab w:leader="none" w:pos="2040" w:val="left"/>
        </w:tabs>
        <w:rPr>
          <w:sz w:val="20"/>
          <w:szCs w:val="20"/>
          <w:color w:val="auto"/>
        </w:rPr>
      </w:pPr>
      <w:r>
        <w:rPr>
          <w:rFonts w:ascii="Arial" w:cs="Arial" w:eastAsia="Arial" w:hAnsi="Arial"/>
          <w:sz w:val="18"/>
          <w:szCs w:val="18"/>
          <w:color w:val="auto"/>
        </w:rPr>
        <w:t>10.64</w:t>
        <w:tab/>
        <w:t>Amended and Restated Employment Agreement by and between Tree.com, Inc. and Douglas R. Lebda, dated October 26, 2010*</w:t>
      </w:r>
    </w:p>
    <w:p>
      <w:pPr>
        <w:spacing w:after="0" w:line="20" w:lineRule="exact"/>
        <w:rPr>
          <w:sz w:val="20"/>
          <w:szCs w:val="20"/>
          <w:color w:val="auto"/>
        </w:rPr>
      </w:pPr>
      <w:r>
        <w:rPr>
          <w:sz w:val="20"/>
          <w:szCs w:val="20"/>
          <w:color w:val="auto"/>
        </w:rPr>
        <w:br w:type="column"/>
      </w:r>
    </w:p>
    <w:p>
      <w:pPr>
        <w:ind w:right="480"/>
        <w:spacing w:after="0" w:line="332" w:lineRule="auto"/>
        <w:rPr>
          <w:sz w:val="20"/>
          <w:szCs w:val="20"/>
          <w:color w:val="auto"/>
        </w:rPr>
      </w:pPr>
      <w:r>
        <w:rPr>
          <w:rFonts w:ascii="Arial" w:cs="Arial" w:eastAsia="Arial" w:hAnsi="Arial"/>
          <w:sz w:val="16"/>
          <w:szCs w:val="16"/>
          <w:color w:val="auto"/>
        </w:rPr>
        <w:t>Exhibit 10.1 to the Registrant's Current Report on Form 8-K filed November 1, 2010</w:t>
      </w:r>
    </w:p>
    <w:p>
      <w:pPr>
        <w:spacing w:after="0" w:line="16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Exhibit 10.2 to the Registrant's Current Report on Form 8-K filed November 1, 2010</w:t>
      </w:r>
    </w:p>
    <w:p>
      <w:pPr>
        <w:spacing w:after="0" w:line="361" w:lineRule="exact"/>
        <w:rPr>
          <w:sz w:val="20"/>
          <w:szCs w:val="20"/>
          <w:color w:val="auto"/>
        </w:rPr>
      </w:pPr>
    </w:p>
    <w:p>
      <w:pPr>
        <w:sectPr>
          <w:pgSz w:w="11900" w:h="16838" w:orient="portrait"/>
          <w:cols w:equalWidth="0" w:num="2">
            <w:col w:w="5980" w:space="280"/>
            <w:col w:w="3980"/>
          </w:cols>
          <w:pgMar w:left="240" w:top="131" w:right="1419" w:bottom="1440" w:gutter="0" w:footer="0" w:header="0"/>
          <w:type w:val="continuous"/>
        </w:sectPr>
      </w:pPr>
    </w:p>
    <w:p>
      <w:pPr>
        <w:spacing w:after="0" w:line="21" w:lineRule="exact"/>
        <w:rPr>
          <w:sz w:val="20"/>
          <w:szCs w:val="20"/>
          <w:color w:val="auto"/>
        </w:rPr>
      </w:pPr>
    </w:p>
    <w:p>
      <w:pPr>
        <w:ind w:left="2060" w:hanging="583"/>
        <w:spacing w:after="0" w:line="255" w:lineRule="auto"/>
        <w:tabs>
          <w:tab w:leader="none" w:pos="2040" w:val="left"/>
        </w:tabs>
        <w:rPr>
          <w:sz w:val="20"/>
          <w:szCs w:val="20"/>
          <w:color w:val="auto"/>
        </w:rPr>
      </w:pPr>
      <w:r>
        <w:rPr>
          <w:rFonts w:ascii="Arial" w:cs="Arial" w:eastAsia="Arial" w:hAnsi="Arial"/>
          <w:sz w:val="18"/>
          <w:szCs w:val="18"/>
          <w:color w:val="auto"/>
        </w:rPr>
        <w:t>10.65</w:t>
        <w:tab/>
        <w:t>Asset Purchase Agreement dated November 15, 2010 by and among Home Loan Center, Inc., First Residential Mortgage Network, Inc. dba SurePoint Lending, and the shareholders of First Residential Mortgage Network named therein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Exhibit 2.1 to Registrant's Current Report on Form 8K filed November 16, 2010</w:t>
      </w:r>
    </w:p>
    <w:p>
      <w:pPr>
        <w:spacing w:after="0" w:line="837" w:lineRule="exact"/>
        <w:rPr>
          <w:sz w:val="20"/>
          <w:szCs w:val="20"/>
          <w:color w:val="auto"/>
        </w:rPr>
      </w:pPr>
    </w:p>
    <w:p>
      <w:pPr>
        <w:sectPr>
          <w:pgSz w:w="11900" w:h="16838" w:orient="portrait"/>
          <w:cols w:equalWidth="0" w:num="2">
            <w:col w:w="6040" w:space="220"/>
            <w:col w:w="3980"/>
          </w:cols>
          <w:pgMar w:left="240" w:top="131" w:right="1419" w:bottom="1440" w:gutter="0" w:footer="0" w:header="0"/>
          <w:type w:val="continuous"/>
        </w:sectPr>
      </w:pPr>
    </w:p>
    <w:p>
      <w:pPr>
        <w:spacing w:after="0" w:line="24" w:lineRule="exact"/>
        <w:rPr>
          <w:sz w:val="20"/>
          <w:szCs w:val="20"/>
          <w:color w:val="auto"/>
        </w:rPr>
      </w:pPr>
    </w:p>
    <w:p>
      <w:pPr>
        <w:ind w:left="2060" w:right="140" w:hanging="583"/>
        <w:spacing w:after="0" w:line="370" w:lineRule="auto"/>
        <w:tabs>
          <w:tab w:leader="none" w:pos="204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5"/>
          <w:szCs w:val="15"/>
          <w:color w:val="auto"/>
        </w:rPr>
        <w:t>Letter Agreement dated as of January 24, 2011 by and between RealEstate.com, Inc. and Steven Ozonian*</w:t>
      </w:r>
    </w:p>
    <w:p>
      <w:pPr>
        <w:spacing w:after="0" w:line="143" w:lineRule="exact"/>
        <w:rPr>
          <w:sz w:val="20"/>
          <w:szCs w:val="20"/>
          <w:color w:val="auto"/>
        </w:rPr>
      </w:pPr>
    </w:p>
    <w:p>
      <w:pPr>
        <w:ind w:left="2060" w:right="140" w:hanging="583"/>
        <w:spacing w:after="0" w:line="332" w:lineRule="auto"/>
        <w:tabs>
          <w:tab w:leader="none" w:pos="2040" w:val="left"/>
        </w:tabs>
        <w:rPr>
          <w:sz w:val="20"/>
          <w:szCs w:val="20"/>
          <w:color w:val="auto"/>
        </w:rPr>
      </w:pPr>
      <w:r>
        <w:rPr>
          <w:rFonts w:ascii="Arial" w:cs="Arial" w:eastAsia="Arial" w:hAnsi="Arial"/>
          <w:sz w:val="18"/>
          <w:szCs w:val="18"/>
          <w:color w:val="auto"/>
        </w:rPr>
        <w:t>10.67</w:t>
      </w:r>
      <w:r>
        <w:rPr>
          <w:sz w:val="20"/>
          <w:szCs w:val="20"/>
          <w:color w:val="auto"/>
        </w:rPr>
        <w:tab/>
      </w:r>
      <w:r>
        <w:rPr>
          <w:rFonts w:ascii="Arial" w:cs="Arial" w:eastAsia="Arial" w:hAnsi="Arial"/>
          <w:sz w:val="16"/>
          <w:szCs w:val="16"/>
          <w:color w:val="auto"/>
        </w:rPr>
        <w:t>Award Letter between Greg Hanson and Tree.com BU Holding Company, Inc. dated January 28, 2011*</w:t>
      </w:r>
    </w:p>
    <w:p>
      <w:pPr>
        <w:spacing w:after="0" w:line="166" w:lineRule="exact"/>
        <w:rPr>
          <w:sz w:val="20"/>
          <w:szCs w:val="20"/>
          <w:color w:val="auto"/>
        </w:rPr>
      </w:pPr>
    </w:p>
    <w:p>
      <w:pPr>
        <w:ind w:left="2060" w:hanging="583"/>
        <w:spacing w:after="0" w:line="332" w:lineRule="auto"/>
        <w:tabs>
          <w:tab w:leader="none" w:pos="204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Standard Terms and Conditions to Restricted Stock Award Letters of Tree.com BU Holding Company, Inc.*</w:t>
      </w:r>
    </w:p>
    <w:p>
      <w:pPr>
        <w:spacing w:after="0" w:line="166" w:lineRule="exact"/>
        <w:rPr>
          <w:sz w:val="20"/>
          <w:szCs w:val="20"/>
          <w:color w:val="auto"/>
        </w:rPr>
      </w:pPr>
    </w:p>
    <w:p>
      <w:pPr>
        <w:ind w:left="1580"/>
        <w:spacing w:after="0"/>
        <w:tabs>
          <w:tab w:leader="none" w:pos="20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Tree.com, Inc.</w:t>
      </w:r>
    </w:p>
    <w:p>
      <w:pPr>
        <w:spacing w:after="0" w:line="252" w:lineRule="exact"/>
        <w:rPr>
          <w:sz w:val="20"/>
          <w:szCs w:val="20"/>
          <w:color w:val="auto"/>
        </w:rPr>
      </w:pPr>
    </w:p>
    <w:p>
      <w:pPr>
        <w:ind w:left="2060" w:right="160" w:hanging="495"/>
        <w:spacing w:after="0" w:line="268" w:lineRule="auto"/>
        <w:tabs>
          <w:tab w:leader="none" w:pos="2040" w:val="left"/>
        </w:tabs>
        <w:rPr>
          <w:sz w:val="20"/>
          <w:szCs w:val="20"/>
          <w:color w:val="auto"/>
        </w:rPr>
      </w:pPr>
      <w:r>
        <w:rPr>
          <w:rFonts w:ascii="Arial" w:cs="Arial" w:eastAsia="Arial" w:hAnsi="Arial"/>
          <w:sz w:val="18"/>
          <w:szCs w:val="18"/>
          <w:color w:val="auto"/>
        </w:rPr>
        <w:t>24.1</w:t>
        <w:tab/>
        <w:t>Power of Attorney (included on signature page of this Annual Report on Form 10-K)</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10.1 to Registrant's Current Report on Form 8-K filed February3, 2011</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10.2 to Registrant's Current Report on Form 8-K filed February 3,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020" w:space="240"/>
            <w:col w:w="3980"/>
          </w:cols>
          <w:pgMar w:left="240" w:top="131" w:right="141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w w:val="92"/>
              </w:rPr>
              <w:t>Certification of the Chief Executive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9"/>
              </w:rPr>
              <w:t>Rule 13a-14(a) or Rule 15d-14(a) of the Securities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Exchange Act of 1934 as adopted pursuant to</w:t>
            </w: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453"/>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4"/>
              </w:rPr>
              <w:t>Certification of the Chief Financial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9"/>
              </w:rPr>
              <w:t>Rule 13a-14(a) or Rule 15d-14(a) of the Securities</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Exchange Act of 1934 as adopted pursuant to</w:t>
            </w: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453"/>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3"/>
              </w:rPr>
              <w:t>Certification of the Chief Executive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18 U.S.C. Section 1350 as adopted pursuant to</w:t>
            </w: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906 of the Sarbanes-Oxley Act of 2002.</w:t>
            </w:r>
          </w:p>
        </w:tc>
      </w:tr>
      <w:tr>
        <w:trPr>
          <w:trHeight w:val="453"/>
        </w:trPr>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4"/>
              </w:rPr>
              <w:t>Certification of the Chief Financial Officer pursuant to</w:t>
            </w:r>
          </w:p>
        </w:tc>
      </w:tr>
      <w:tr>
        <w:trPr>
          <w:trHeight w:val="216"/>
        </w:trPr>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18 U.S.C. Section 1350 as adopted pursuant to</w:t>
            </w: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rPr>
              <w:t>Section 906 of the Sarbanes-Oxley Act of 2002.</w:t>
            </w:r>
          </w:p>
        </w:tc>
      </w:tr>
      <w:tr>
        <w:trPr>
          <w:trHeight w:val="110"/>
        </w:trPr>
        <w:tc>
          <w:tcPr>
            <w:tcW w:w="1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right"/>
        <w:ind w:right="169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46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1" w:lineRule="exact"/>
        <w:rPr>
          <w:sz w:val="20"/>
          <w:szCs w:val="20"/>
          <w:color w:val="auto"/>
        </w:rPr>
      </w:pPr>
    </w:p>
    <w:p>
      <w:pPr>
        <w:sectPr>
          <w:pgSz w:w="11900" w:h="16838" w:orient="portrait"/>
          <w:cols w:equalWidth="0" w:num="2">
            <w:col w:w="6080" w:space="180"/>
            <w:col w:w="3959"/>
          </w:cols>
          <w:pgMar w:left="240" w:top="131" w:right="1440" w:bottom="1440" w:gutter="0" w:footer="0" w:header="0"/>
        </w:sectPr>
      </w:pPr>
    </w:p>
    <w:p>
      <w:pPr>
        <w:spacing w:after="0" w:line="21"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Reflects management contracts and management and director compensatory plans.</w:t>
      </w:r>
    </w:p>
    <w:p>
      <w:pPr>
        <w:spacing w:after="0" w:line="287"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and</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Debra Ashley, and each of them, his true and lawful attorney and agent, with full power of substitution and resubstitution, for him and in his name, place and stead, in any and all capacities, to sign any and all amendments to the Registrant's Annual Report on Form 10-K for the fiscal year ended December 31, 2010, and to file the same with all exhibits thereto, and all other documents in connection therewith, with the Securities and Exchange Commission, granting unto said attorneys and agents, and each of them, full power and authority to do and perform each and every act and thing requisite and necessary to be done, as fully to all intents and purposes as he might or could do in person, hereby ratifying and confirming all that said attorneys and agents, and each of them, may lawfully do or cause to be done by virtue hereof.</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in each case on February 28, 2011:</w:t>
      </w:r>
    </w:p>
    <w:p>
      <w:pPr>
        <w:spacing w:after="0" w:line="182"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/s/ DOUGLAS R. LEBDA</w:t>
            </w:r>
          </w:p>
        </w:tc>
        <w:tc>
          <w:tcPr>
            <w:tcW w:w="5860" w:type="dxa"/>
            <w:vAlign w:val="bottom"/>
          </w:tcPr>
          <w:p>
            <w:pPr>
              <w:ind w:left="340"/>
              <w:spacing w:after="0"/>
              <w:rPr>
                <w:sz w:val="20"/>
                <w:szCs w:val="20"/>
                <w:color w:val="auto"/>
              </w:rPr>
            </w:pPr>
            <w:r>
              <w:rPr>
                <w:rFonts w:ascii="Arial" w:cs="Arial" w:eastAsia="Arial" w:hAnsi="Arial"/>
                <w:sz w:val="18"/>
                <w:szCs w:val="18"/>
                <w:color w:val="auto"/>
              </w:rPr>
              <w:t>Chairman, Chief Executive Officer</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8"/>
                <w:szCs w:val="18"/>
                <w:color w:val="auto"/>
              </w:rPr>
              <w:t>and Director (Principal Executive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88"/>
              </w:rPr>
              <w:t>Douglas R. Lebda</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/s/ CHRISTOPHER R. HAYEK</w:t>
            </w:r>
          </w:p>
        </w:tc>
        <w:tc>
          <w:tcPr>
            <w:tcW w:w="5860" w:type="dxa"/>
            <w:vAlign w:val="bottom"/>
          </w:tcPr>
          <w:p>
            <w:pPr>
              <w:ind w:left="340"/>
              <w:spacing w:after="0"/>
              <w:rPr>
                <w:sz w:val="20"/>
                <w:szCs w:val="20"/>
                <w:color w:val="auto"/>
              </w:rPr>
            </w:pPr>
            <w:r>
              <w:rPr>
                <w:rFonts w:ascii="Arial" w:cs="Arial" w:eastAsia="Arial" w:hAnsi="Arial"/>
                <w:sz w:val="18"/>
                <w:szCs w:val="18"/>
                <w:color w:val="auto"/>
              </w:rPr>
              <w:t>Senior Vice President, Chief Accounting Officer and</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ind w:left="340"/>
              <w:spacing w:after="0"/>
              <w:rPr>
                <w:sz w:val="20"/>
                <w:szCs w:val="20"/>
                <w:color w:val="auto"/>
              </w:rPr>
            </w:pPr>
            <w:r>
              <w:rPr>
                <w:rFonts w:ascii="Arial" w:cs="Arial" w:eastAsia="Arial" w:hAnsi="Arial"/>
                <w:sz w:val="18"/>
                <w:szCs w:val="18"/>
                <w:color w:val="auto"/>
              </w:rPr>
              <w:t>Treasurer (Principal Financial and Accounting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89"/>
              </w:rPr>
              <w:t>Christopher R. Hayek</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/s/ PETER HORAN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Peter Horan</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/s/ W. MAC LACKEY</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W. Mac Lackey</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/s/ JOSEPH LEVIN</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6"/>
              </w:rPr>
              <w:t>Joseph Levin</w:t>
            </w:r>
          </w:p>
        </w:tc>
        <w:tc>
          <w:tcPr>
            <w:tcW w:w="58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jc w:val="both"/>
        <w:ind w:left="1860"/>
        <w:spacing w:after="0"/>
        <w:tabs>
          <w:tab w:leader="none" w:pos="67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PATRICK MCCRORY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71120</wp:posOffset>
            </wp:positionV>
            <wp:extent cx="2795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1540"/>
        <w:spacing w:after="0"/>
        <w:tabs>
          <w:tab w:leader="none" w:pos="4680" w:val="left"/>
        </w:tabs>
        <w:rPr>
          <w:sz w:val="20"/>
          <w:szCs w:val="20"/>
          <w:color w:val="auto"/>
        </w:rPr>
      </w:pPr>
      <w:r>
        <w:rPr>
          <w:rFonts w:ascii="Arial" w:cs="Arial" w:eastAsia="Arial" w:hAnsi="Arial"/>
          <w:sz w:val="18"/>
          <w:szCs w:val="18"/>
          <w:color w:val="auto"/>
        </w:rPr>
        <w:t>Patrick McCrory</w:t>
      </w:r>
      <w:r>
        <w:rPr>
          <w:sz w:val="20"/>
          <w:szCs w:val="20"/>
          <w:color w:val="auto"/>
        </w:rPr>
        <w:tab/>
      </w:r>
      <w:r>
        <w:rPr>
          <w:rFonts w:ascii="Arial" w:cs="Arial" w:eastAsia="Arial" w:hAnsi="Arial"/>
          <w:sz w:val="16"/>
          <w:szCs w:val="16"/>
          <w:color w:val="auto"/>
        </w:rPr>
        <w:t>Director</w:t>
      </w:r>
    </w:p>
    <w:p>
      <w:pPr>
        <w:spacing w:after="0" w:line="25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LANCE MELBER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71120</wp:posOffset>
            </wp:positionV>
            <wp:extent cx="2795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1640"/>
        <w:spacing w:after="0"/>
        <w:tabs>
          <w:tab w:leader="none" w:pos="4680" w:val="left"/>
        </w:tabs>
        <w:rPr>
          <w:sz w:val="20"/>
          <w:szCs w:val="20"/>
          <w:color w:val="auto"/>
        </w:rPr>
      </w:pPr>
      <w:r>
        <w:rPr>
          <w:rFonts w:ascii="Arial" w:cs="Arial" w:eastAsia="Arial" w:hAnsi="Arial"/>
          <w:sz w:val="18"/>
          <w:szCs w:val="18"/>
          <w:color w:val="auto"/>
        </w:rPr>
        <w:t>Lance Melber</w:t>
      </w:r>
      <w:r>
        <w:rPr>
          <w:sz w:val="20"/>
          <w:szCs w:val="20"/>
          <w:color w:val="auto"/>
        </w:rPr>
        <w:tab/>
      </w:r>
      <w:r>
        <w:rPr>
          <w:rFonts w:ascii="Arial" w:cs="Arial" w:eastAsia="Arial" w:hAnsi="Arial"/>
          <w:sz w:val="16"/>
          <w:szCs w:val="16"/>
          <w:color w:val="auto"/>
        </w:rPr>
        <w:t>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TREE.COM, INC. AND SUBSIDIARIES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Charges to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72"/>
              <w:spacing w:after="0" w:line="149" w:lineRule="exact"/>
              <w:rPr>
                <w:sz w:val="20"/>
                <w:szCs w:val="20"/>
                <w:color w:val="auto"/>
              </w:rPr>
            </w:pPr>
            <w:r>
              <w:rPr>
                <w:rFonts w:ascii="Arial" w:cs="Arial" w:eastAsia="Arial" w:hAnsi="Arial"/>
                <w:sz w:val="14"/>
                <w:szCs w:val="14"/>
                <w:b w:val="1"/>
                <w:bCs w:val="1"/>
                <w:color w:val="auto"/>
                <w:w w:val="90"/>
              </w:rPr>
              <w:t>Charges to</w:t>
            </w: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61"/>
        </w:trPr>
        <w:tc>
          <w:tcPr>
            <w:tcW w:w="4380" w:type="dxa"/>
            <w:vAlign w:val="bottom"/>
            <w:gridSpan w:val="4"/>
          </w:tcPr>
          <w:p>
            <w:pPr>
              <w:ind w:left="11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81"/>
              </w:rPr>
              <w:t>Accounts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Deductions</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End of Period</w:t>
            </w: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480"/>
              <w:spacing w:after="0"/>
              <w:rPr>
                <w:sz w:val="20"/>
                <w:szCs w:val="20"/>
                <w:color w:val="auto"/>
              </w:rPr>
            </w:pPr>
            <w:r>
              <w:rPr>
                <w:rFonts w:ascii="Arial" w:cs="Arial" w:eastAsia="Arial" w:hAnsi="Arial"/>
                <w:sz w:val="18"/>
                <w:szCs w:val="18"/>
                <w:color w:val="auto"/>
                <w:w w:val="93"/>
              </w:rPr>
              <w:t>(315)(b) $</w:t>
            </w: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5,270(a)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52,285</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Reserve for losses on previously sold loans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(12,391)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16,984</w:t>
            </w:r>
          </w:p>
        </w:tc>
        <w:tc>
          <w:tcPr>
            <w:tcW w:w="16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480"/>
              <w:spacing w:after="0"/>
              <w:rPr>
                <w:sz w:val="20"/>
                <w:szCs w:val="20"/>
                <w:color w:val="auto"/>
              </w:rPr>
            </w:pPr>
            <w:r>
              <w:rPr>
                <w:rFonts w:ascii="Arial" w:cs="Arial" w:eastAsia="Arial" w:hAnsi="Arial"/>
                <w:sz w:val="18"/>
                <w:szCs w:val="18"/>
                <w:color w:val="auto"/>
                <w:w w:val="93"/>
              </w:rPr>
              <w:t>(271)(b) $</w:t>
            </w:r>
          </w:p>
        </w:tc>
        <w:tc>
          <w:tcPr>
            <w:tcW w:w="84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(15,204)(a)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46,858</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Reserve for losses on previously sold loans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(9,886)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480"/>
              <w:spacing w:after="0"/>
              <w:rPr>
                <w:sz w:val="20"/>
                <w:szCs w:val="20"/>
                <w:color w:val="auto"/>
              </w:rPr>
            </w:pPr>
            <w:r>
              <w:rPr>
                <w:rFonts w:ascii="Arial" w:cs="Arial" w:eastAsia="Arial" w:hAnsi="Arial"/>
                <w:sz w:val="18"/>
                <w:szCs w:val="18"/>
                <w:color w:val="auto"/>
                <w:w w:val="93"/>
              </w:rPr>
              <w:t>(552)(b) $</w:t>
            </w: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(6,768)(a)</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62,062</w:t>
            </w:r>
          </w:p>
        </w:tc>
        <w:tc>
          <w:tcPr>
            <w:tcW w:w="16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Reserve for losses on previously sold loans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(4,779)</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10,451</w:t>
            </w:r>
          </w:p>
        </w:tc>
        <w:tc>
          <w:tcPr>
            <w:tcW w:w="16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is primarily related to Tree.com net operating losses and other deferred tax assets including accrued expenses and goodwill which impacted the income tax provision.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Write-off of uncollectible accounts receivable.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643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9763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24,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Ozonian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Steven: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RealEstate.com,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designated you to be a recipient of shares of “Class B Common Stock” (as defined in the Certificate of Incorporation of RealEstate.com, Inc.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of the Company, par value $0.001 per share (the “</w:t>
      </w:r>
      <w:r>
        <w:rPr>
          <w:rFonts w:ascii="Arial" w:cs="Arial" w:eastAsia="Arial" w:hAnsi="Arial"/>
          <w:sz w:val="18"/>
          <w:szCs w:val="18"/>
          <w:u w:val="single" w:color="auto"/>
          <w:color w:val="auto"/>
        </w:rPr>
        <w:t>Company Stock</w:t>
      </w:r>
      <w:r>
        <w:rPr>
          <w:rFonts w:ascii="Arial" w:cs="Arial" w:eastAsia="Arial" w:hAnsi="Arial"/>
          <w:sz w:val="18"/>
          <w:szCs w:val="18"/>
          <w:color w:val="auto"/>
        </w:rPr>
        <w:t>”), subject to the restrictions and other terms set forth in 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administered by the Compensation Committee of the Board of Directors of Tree.com, Inc. (the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225" w:lineRule="exact"/>
        <w:rPr>
          <w:sz w:val="20"/>
          <w:szCs w:val="20"/>
          <w:color w:val="auto"/>
        </w:rPr>
      </w:pPr>
    </w:p>
    <w:p>
      <w:pPr>
        <w:ind w:right="280" w:firstLine="656"/>
        <w:spacing w:after="0" w:line="286" w:lineRule="auto"/>
        <w:tabs>
          <w:tab w:leader="none" w:pos="136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In consideration of your agreements contained in this letter, the Company hereby grants you fifty (50) shares of Company Stock (the “</w:t>
      </w:r>
      <w:r>
        <w:rPr>
          <w:rFonts w:ascii="Arial" w:cs="Arial" w:eastAsia="Arial" w:hAnsi="Arial"/>
          <w:sz w:val="17"/>
          <w:szCs w:val="17"/>
          <w:u w:val="single" w:color="auto"/>
          <w:color w:val="auto"/>
        </w:rPr>
        <w:t>Restricted Shares</w:t>
      </w:r>
      <w:r>
        <w:rPr>
          <w:rFonts w:ascii="Arial" w:cs="Arial" w:eastAsia="Arial" w:hAnsi="Arial"/>
          <w:sz w:val="17"/>
          <w:szCs w:val="17"/>
          <w:color w:val="auto"/>
        </w:rPr>
        <w:t>”). The Restricted Shares were granted on January 24, 2011 (the “</w:t>
      </w:r>
      <w:r>
        <w:rPr>
          <w:rFonts w:ascii="Arial" w:cs="Arial" w:eastAsia="Arial" w:hAnsi="Arial"/>
          <w:sz w:val="17"/>
          <w:szCs w:val="17"/>
          <w:u w:val="single" w:color="auto"/>
          <w:color w:val="auto"/>
        </w:rPr>
        <w:t>Grant Date</w:t>
      </w:r>
      <w:r>
        <w:rPr>
          <w:rFonts w:ascii="Arial" w:cs="Arial" w:eastAsia="Arial" w:hAnsi="Arial"/>
          <w:sz w:val="17"/>
          <w:szCs w:val="17"/>
          <w:color w:val="auto"/>
        </w:rPr>
        <w:t>”). The Restricted Shares are subject to vesting restrictions as set forth below. Until these restrictions lapse, the Restricted Shares are forfeitable and nontransferable.</w:t>
      </w:r>
    </w:p>
    <w:p>
      <w:pPr>
        <w:spacing w:after="0" w:line="165" w:lineRule="exact"/>
        <w:rPr>
          <w:rFonts w:ascii="Arial" w:cs="Arial" w:eastAsia="Arial" w:hAnsi="Arial"/>
          <w:sz w:val="17"/>
          <w:szCs w:val="17"/>
          <w:color w:val="auto"/>
        </w:rPr>
      </w:pPr>
    </w:p>
    <w:p>
      <w:pPr>
        <w:ind w:left="1380" w:hanging="724"/>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Vesting Restrictions</w:t>
      </w:r>
      <w:r>
        <w:rPr>
          <w:rFonts w:ascii="Arial" w:cs="Arial" w:eastAsia="Arial" w:hAnsi="Arial"/>
          <w:sz w:val="18"/>
          <w:szCs w:val="18"/>
          <w:color w:val="auto"/>
        </w:rPr>
        <w:t>. The Restricted Shares shall vest, and become freely transferable, as follows: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100% of the Restricted Shares will vest and become freely transferable on October 31, 2015 (the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59" w:lineRule="auto"/>
        <w:tabs>
          <w:tab w:leader="none" w:pos="20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You must be continuously employed by Tree.com, Inc. (“</w:t>
      </w:r>
      <w:r>
        <w:rPr>
          <w:rFonts w:ascii="Arial" w:cs="Arial" w:eastAsia="Arial" w:hAnsi="Arial"/>
          <w:sz w:val="18"/>
          <w:szCs w:val="18"/>
          <w:u w:val="single" w:color="auto"/>
          <w:color w:val="auto"/>
        </w:rPr>
        <w:t>Tree</w:t>
      </w:r>
      <w:r>
        <w:rPr>
          <w:rFonts w:ascii="Arial" w:cs="Arial" w:eastAsia="Arial" w:hAnsi="Arial"/>
          <w:sz w:val="18"/>
          <w:szCs w:val="18"/>
          <w:color w:val="auto"/>
        </w:rPr>
        <w:t>”) or a “Related Company” (as defined herein) from the Grant Date until the Vesting Date for any Restricted Shares to vest. If you incur a “Separation from Service” (as defined herein) from Tree and its Related Companies prior to the Vesting Date for any reason, any rights you may have with regard to unvested Restricted Shares shall be forfeited at that time, notwithstanding your return to active employment with Tree prior to the Vesting Date.</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Notwithstanding anything in this Section 2 to the contrary, if, prior to the Vesting Date, any of the following events (each, an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Vesting Event</w:t>
      </w:r>
      <w:r>
        <w:rPr>
          <w:rFonts w:ascii="Arial" w:cs="Arial" w:eastAsia="Arial" w:hAnsi="Arial"/>
          <w:sz w:val="18"/>
          <w:szCs w:val="18"/>
          <w:color w:val="auto"/>
        </w:rPr>
        <w:t>”) occur,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become vested in that portion of your shares of Restricted Stock as described in subclauses (i) through (iv) below:</w:t>
      </w:r>
    </w:p>
    <w:p>
      <w:pPr>
        <w:spacing w:after="0" w:line="225" w:lineRule="exact"/>
        <w:rPr>
          <w:sz w:val="20"/>
          <w:szCs w:val="20"/>
          <w:color w:val="auto"/>
        </w:rPr>
      </w:pPr>
    </w:p>
    <w:p>
      <w:pPr>
        <w:ind w:left="1300" w:right="340" w:firstLine="653"/>
        <w:spacing w:after="0" w:line="264" w:lineRule="auto"/>
        <w:tabs>
          <w:tab w:leader="none" w:pos="2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event you incur a “Separation from Service” (as defined herein) due to your death or “Disability” (as defined herein), prior to the Vesting Date set forth in Section 2(a) above, you shall become vested in a “Pro-Rata” (as defined herein) number of your Restricted Shares.</w:t>
      </w:r>
    </w:p>
    <w:p>
      <w:pPr>
        <w:spacing w:after="0" w:line="181" w:lineRule="exact"/>
        <w:rPr>
          <w:rFonts w:ascii="Arial" w:cs="Arial" w:eastAsia="Arial" w:hAnsi="Arial"/>
          <w:sz w:val="18"/>
          <w:szCs w:val="18"/>
          <w:color w:val="auto"/>
        </w:rPr>
      </w:pPr>
    </w:p>
    <w:p>
      <w:pPr>
        <w:ind w:left="1300" w:right="140" w:firstLine="653"/>
        <w:spacing w:after="0" w:line="259" w:lineRule="auto"/>
        <w:tabs>
          <w:tab w:leader="none" w:pos="26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event you incur a Separation from Service without “Cause” (as defined the Employment Agreement between you and Tree, dated October 31, 2010 (your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prior to October 31, 2013, you shall become 60% vested in your Restricted Shares. In the event you incur a Separation from Service without Cause on or after October 31, 2013 and prior to the Vesting Date, you shall become vested in a Pro-Rata number of your Restricted Shares.</w:t>
      </w:r>
    </w:p>
    <w:p>
      <w:pPr>
        <w:spacing w:after="0" w:line="186" w:lineRule="exact"/>
        <w:rPr>
          <w:rFonts w:ascii="Arial" w:cs="Arial" w:eastAsia="Arial" w:hAnsi="Arial"/>
          <w:sz w:val="18"/>
          <w:szCs w:val="18"/>
          <w:color w:val="auto"/>
        </w:rPr>
      </w:pPr>
    </w:p>
    <w:p>
      <w:pPr>
        <w:ind w:left="1300" w:right="100" w:firstLine="653"/>
        <w:spacing w:after="0" w:line="259" w:lineRule="auto"/>
        <w:tabs>
          <w:tab w:leader="none" w:pos="26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event you incur a Separation from Service for “Good Reason” (as defined in your Employment Agreement), prior to October 31, 2013, you shall become 60% vested in your Restricted Shares. In the event that you incur a Separation from Service for Good Reason on or after October 31, 2013 and prior to the Vesting Date, you shall become vested in a Pro-Rata number of your Restricted Shares.</w:t>
      </w:r>
    </w:p>
    <w:p>
      <w:pPr>
        <w:spacing w:after="0" w:line="186" w:lineRule="exact"/>
        <w:rPr>
          <w:rFonts w:ascii="Arial" w:cs="Arial" w:eastAsia="Arial" w:hAnsi="Arial"/>
          <w:sz w:val="18"/>
          <w:szCs w:val="18"/>
          <w:color w:val="auto"/>
        </w:rPr>
      </w:pPr>
    </w:p>
    <w:p>
      <w:pPr>
        <w:ind w:left="1300" w:right="220" w:firstLine="653"/>
        <w:spacing w:after="0" w:line="277" w:lineRule="auto"/>
        <w:tabs>
          <w:tab w:leader="none" w:pos="2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event that Tree or the Company experiences a “Change in Control” (as defined herein), prior to the Vesting Date set forth in Section 2(a) above, you shall become 100% vested in your Restricted Shares.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have the meanings indicated below:</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happening of any of the following events:</w:t>
      </w:r>
    </w:p>
    <w:p>
      <w:pPr>
        <w:spacing w:after="0" w:line="225" w:lineRule="exact"/>
        <w:rPr>
          <w:rFonts w:ascii="Arial" w:cs="Arial" w:eastAsia="Arial" w:hAnsi="Arial"/>
          <w:sz w:val="18"/>
          <w:szCs w:val="18"/>
          <w:color w:val="auto"/>
        </w:rPr>
      </w:pPr>
    </w:p>
    <w:p>
      <w:pPr>
        <w:ind w:left="1960" w:right="20" w:firstLine="641"/>
        <w:spacing w:after="0" w:line="284" w:lineRule="auto"/>
        <w:tabs>
          <w:tab w:leader="none" w:pos="3308"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(as such term is defined in Section 13(d)(3) and 14(d)(2)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(a “</w:t>
      </w:r>
      <w:r>
        <w:rPr>
          <w:rFonts w:ascii="Arial" w:cs="Arial" w:eastAsia="Arial" w:hAnsi="Arial"/>
          <w:sz w:val="16"/>
          <w:szCs w:val="16"/>
          <w:u w:val="single" w:color="auto"/>
          <w:color w:val="auto"/>
        </w:rPr>
        <w:t>Person</w:t>
      </w:r>
      <w:r>
        <w:rPr>
          <w:rFonts w:ascii="Arial" w:cs="Arial" w:eastAsia="Arial" w:hAnsi="Arial"/>
          <w:sz w:val="16"/>
          <w:szCs w:val="16"/>
          <w:color w:val="auto"/>
        </w:rPr>
        <w:t>”), other than the “Corporation” (as defined herein), of “Beneficial Ownership” (as defined in Rule 13d-3 promulgated under the Exchange Act) of equity securities of the Corporation representing more than 50% of the voting power of the then outstanding equity securities of the Corporation entitled to vote generally in the election of directors (the “</w:t>
      </w:r>
      <w:r>
        <w:rPr>
          <w:rFonts w:ascii="Arial" w:cs="Arial" w:eastAsia="Arial" w:hAnsi="Arial"/>
          <w:sz w:val="16"/>
          <w:szCs w:val="16"/>
          <w:u w:val="single" w:color="auto"/>
          <w:color w:val="auto"/>
        </w:rPr>
        <w:t>Outstanding Corporation Voting Securities</w:t>
      </w:r>
      <w:r>
        <w:rPr>
          <w:rFonts w:ascii="Arial" w:cs="Arial" w:eastAsia="Arial" w:hAnsi="Arial"/>
          <w:sz w:val="16"/>
          <w:szCs w:val="16"/>
          <w:color w:val="auto"/>
        </w:rPr>
        <w:t>”); provided, however, that any acquisition that would constitute a Change in Control under this subsection (A) that is also a “Business Combination” (a s defined in subclause</w:t>
      </w:r>
    </w:p>
    <w:p>
      <w:pPr>
        <w:spacing w:after="0" w:line="4"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(C) below) shall be determined exclusively under subsection (C) below;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572" w:gutter="0" w:footer="0" w:header="0"/>
        </w:sectPr>
      </w:pPr>
    </w:p>
    <w:bookmarkStart w:id="124" w:name="page125"/>
    <w:bookmarkEnd w:id="124"/>
    <w:p>
      <w:pPr>
        <w:spacing w:after="0" w:line="82" w:lineRule="exact"/>
        <w:rPr>
          <w:sz w:val="20"/>
          <w:szCs w:val="20"/>
          <w:color w:val="auto"/>
        </w:rPr>
      </w:pPr>
    </w:p>
    <w:p>
      <w:pPr>
        <w:ind w:left="2684" w:hanging="739"/>
        <w:spacing w:after="0"/>
        <w:tabs>
          <w:tab w:leader="none" w:pos="26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Individuals who, as of the date first written above, constitute the Board of Directors of the Corporation (the</w:t>
      </w:r>
    </w:p>
    <w:p>
      <w:pPr>
        <w:spacing w:after="0" w:line="35" w:lineRule="exact"/>
        <w:rPr>
          <w:sz w:val="20"/>
          <w:szCs w:val="20"/>
          <w:color w:val="auto"/>
        </w:rPr>
      </w:pPr>
    </w:p>
    <w:p>
      <w:pPr>
        <w:ind w:left="1304" w:right="1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Board</w:t>
      </w:r>
      <w:r>
        <w:rPr>
          <w:rFonts w:ascii="Arial" w:cs="Arial" w:eastAsia="Arial" w:hAnsi="Arial"/>
          <w:sz w:val="18"/>
          <w:szCs w:val="18"/>
          <w:color w:val="auto"/>
        </w:rPr>
        <w:t>”) (such individuals being,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cease for any reason to constitute at least a majority of the Corporation Board; provided, however, that any individual becoming a director subsequent to the date first written above, whose election, or nomination for election by the Corporation’s stockholders, was approved by a vote of at least a majority of the Incumbent Directors at such time shall become an Incumbent Director, but excluding, for this purpose, any such individual whose initial assumption of office occurs as a result of an actual or threatened election contest with respect to the election or removal of directors or other actual or threate ned solicitation of proxies or consents by or on behalf of a Person other than the Board of Directors of the Corporation; or</w:t>
      </w:r>
    </w:p>
    <w:p>
      <w:pPr>
        <w:spacing w:after="0" w:line="193" w:lineRule="exact"/>
        <w:rPr>
          <w:sz w:val="20"/>
          <w:szCs w:val="20"/>
          <w:color w:val="auto"/>
        </w:rPr>
      </w:pPr>
    </w:p>
    <w:p>
      <w:pPr>
        <w:ind w:left="1304" w:right="60" w:firstLine="641"/>
        <w:spacing w:after="0" w:line="290" w:lineRule="auto"/>
        <w:tabs>
          <w:tab w:leader="none" w:pos="2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Consummation of a reorganization, merger, consolidation, sale or other disposition of all or substantially all of the assets of the Corporation, the purchase of assets or stock of another entity, or other similar corporate transaction (a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w:t>
      </w:r>
      <w:r>
        <w:rPr>
          <w:rFonts w:ascii="Arial" w:cs="Arial" w:eastAsia="Arial" w:hAnsi="Arial"/>
          <w:sz w:val="16"/>
          <w:szCs w:val="16"/>
          <w:color w:val="auto"/>
        </w:rPr>
        <w:t>”), in each case, unless immediately following such Business Combination, (1) more than 50% of the Resulting Voting Power (as defined below) shall reside in Outstanding Corporation Voting Securities retained by the Corporation’s stockholders in the Business Combination and/or voting securities received by such stockholders in the Business Combination on account of Outstanding Corporation Voting Securities, and (2) at least a majority of the members of the board of directors (or equivalent governing body, if applicable) of the entity resulti ng from such Business Combination were Incumbent Directors at the time of the initial agreement, or action of the Corporation Board, providing for such Business Combination; or</w:t>
      </w:r>
    </w:p>
    <w:p>
      <w:pPr>
        <w:spacing w:after="0" w:line="166" w:lineRule="exact"/>
        <w:rPr>
          <w:rFonts w:ascii="Arial" w:cs="Arial" w:eastAsia="Arial" w:hAnsi="Arial"/>
          <w:sz w:val="16"/>
          <w:szCs w:val="16"/>
          <w:color w:val="auto"/>
        </w:rPr>
      </w:pPr>
    </w:p>
    <w:p>
      <w:pPr>
        <w:ind w:left="2644" w:hanging="699"/>
        <w:spacing w:after="0"/>
        <w:tabs>
          <w:tab w:leader="none" w:pos="26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Approval by the stockholders of the Corporation of a complete liquidation or dissolution of the Corporation.</w:t>
      </w:r>
    </w:p>
    <w:p>
      <w:pPr>
        <w:spacing w:after="0" w:line="237" w:lineRule="exact"/>
        <w:rPr>
          <w:sz w:val="20"/>
          <w:szCs w:val="20"/>
          <w:color w:val="auto"/>
        </w:rPr>
      </w:pPr>
    </w:p>
    <w:p>
      <w:pPr>
        <w:ind w:left="1304" w:right="300"/>
        <w:spacing w:after="0" w:line="308" w:lineRule="auto"/>
        <w:rPr>
          <w:sz w:val="20"/>
          <w:szCs w:val="20"/>
          <w:color w:val="auto"/>
        </w:rPr>
      </w:pPr>
      <w:r>
        <w:rPr>
          <w:rFonts w:ascii="Arial" w:cs="Arial" w:eastAsia="Arial" w:hAnsi="Arial"/>
          <w:sz w:val="17"/>
          <w:szCs w:val="17"/>
          <w:color w:val="auto"/>
        </w:rPr>
        <w:t>For purposes of applying the definition of Change in Control as set forth in this Section 2(d)(i) and the determination whether a Change in Control has occurred, the term “Corporation” shall mean either Tree or the Company, as applicable.</w:t>
      </w:r>
    </w:p>
    <w:p>
      <w:pPr>
        <w:spacing w:after="0" w:line="147" w:lineRule="exact"/>
        <w:rPr>
          <w:sz w:val="20"/>
          <w:szCs w:val="20"/>
          <w:color w:val="auto"/>
        </w:rPr>
      </w:pPr>
    </w:p>
    <w:p>
      <w:pPr>
        <w:ind w:left="1304" w:right="100"/>
        <w:spacing w:after="0" w:line="279" w:lineRule="auto"/>
        <w:rPr>
          <w:sz w:val="20"/>
          <w:szCs w:val="20"/>
          <w:color w:val="auto"/>
        </w:rPr>
      </w:pPr>
      <w:r>
        <w:rPr>
          <w:rFonts w:ascii="Arial" w:cs="Arial" w:eastAsia="Arial" w:hAnsi="Arial"/>
          <w:sz w:val="17"/>
          <w:szCs w:val="17"/>
          <w:color w:val="auto"/>
        </w:rPr>
        <w:t>Notwithstanding the foregoing, (1) in no event shall any transaction or event described in subclauses (A) through (C) above constitute a Change in Control if such transaction or event results in a Person owning a majority interest in the equity securities or assets of Tree or the Company if such Person owns 15% or more of the outstanding capital stock of Tree or the Company, as applicable, as of the date of this Agreement, and (2) in no event shall the replacement of a majority of</w:t>
      </w:r>
    </w:p>
    <w:p>
      <w:pPr>
        <w:spacing w:after="0" w:line="17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right="200"/>
        <w:spacing w:after="0" w:line="342" w:lineRule="auto"/>
        <w:rPr>
          <w:sz w:val="20"/>
          <w:szCs w:val="20"/>
          <w:color w:val="auto"/>
        </w:rPr>
      </w:pPr>
      <w:r>
        <w:rPr>
          <w:rFonts w:ascii="Arial" w:cs="Arial" w:eastAsia="Arial" w:hAnsi="Arial"/>
          <w:sz w:val="16"/>
          <w:szCs w:val="16"/>
          <w:color w:val="auto"/>
        </w:rPr>
        <w:t>members of the Company’s Board of Directors, as described in subclause (B) above, constitute a Change in Control if Tree maintains Beneficial Ownership of more than 50% of the voting power of the then outstanding equity securities of the Company.</w:t>
      </w:r>
    </w:p>
    <w:p>
      <w:pPr>
        <w:spacing w:after="0" w:line="124" w:lineRule="exact"/>
        <w:rPr>
          <w:sz w:val="20"/>
          <w:szCs w:val="20"/>
          <w:color w:val="auto"/>
        </w:rPr>
      </w:pPr>
    </w:p>
    <w:p>
      <w:pPr>
        <w:ind w:left="2004" w:hanging="707"/>
        <w:spacing w:after="0"/>
        <w:tabs>
          <w:tab w:leader="none" w:pos="20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644" w:right="460" w:firstLine="653"/>
        <w:spacing w:after="0" w:line="277" w:lineRule="auto"/>
        <w:tabs>
          <w:tab w:leader="none" w:pos="20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(A) a permanent and total disability as determined under the Company’s applicable long-term disability plan, or (B) if there is no such plan applicable to you, a Disability as determined by the Committee.</w:t>
      </w:r>
    </w:p>
    <w:p>
      <w:pPr>
        <w:spacing w:after="0" w:line="170" w:lineRule="exact"/>
        <w:rPr>
          <w:rFonts w:ascii="Arial" w:cs="Arial" w:eastAsia="Arial" w:hAnsi="Arial"/>
          <w:sz w:val="18"/>
          <w:szCs w:val="18"/>
          <w:color w:val="auto"/>
        </w:rPr>
      </w:pPr>
    </w:p>
    <w:p>
      <w:pPr>
        <w:ind w:left="644" w:firstLine="653"/>
        <w:spacing w:after="0" w:line="259" w:lineRule="auto"/>
        <w:tabs>
          <w:tab w:leader="none" w:pos="20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Pro-Rata</w:t>
      </w:r>
      <w:r>
        <w:rPr>
          <w:rFonts w:ascii="Arial" w:cs="Arial" w:eastAsia="Arial" w:hAnsi="Arial"/>
          <w:sz w:val="18"/>
          <w:szCs w:val="18"/>
          <w:color w:val="auto"/>
        </w:rPr>
        <w:t>” with respect to a number of Restricted Shares, means the total number of Restricted Shares awarded to you pursuant to this Agreement multiplied by the fraction, (A) the numerator of which is the total number of days from the Grant Date through the date of the applicable Early Vesting Event and (B) the denominator of which is the total number of days from the Grant Date through the Vesting Date set forth in Section 2(a) above.</w:t>
      </w:r>
    </w:p>
    <w:p>
      <w:pPr>
        <w:spacing w:after="0" w:line="186" w:lineRule="exact"/>
        <w:rPr>
          <w:rFonts w:ascii="Arial" w:cs="Arial" w:eastAsia="Arial" w:hAnsi="Arial"/>
          <w:sz w:val="18"/>
          <w:szCs w:val="18"/>
          <w:color w:val="auto"/>
        </w:rPr>
      </w:pPr>
    </w:p>
    <w:p>
      <w:pPr>
        <w:ind w:left="644" w:right="40" w:firstLine="653"/>
        <w:spacing w:after="0" w:line="302" w:lineRule="auto"/>
        <w:tabs>
          <w:tab w:leader="none" w:pos="19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Company</w:t>
      </w:r>
      <w:r>
        <w:rPr>
          <w:rFonts w:ascii="Arial" w:cs="Arial" w:eastAsia="Arial" w:hAnsi="Arial"/>
          <w:sz w:val="16"/>
          <w:szCs w:val="16"/>
          <w:color w:val="auto"/>
        </w:rPr>
        <w:t>” means any corporation, trade or business that would be required to be treated as a single employer with Tree under Code Sections 414(b) or (c), provided that, in applying Code Sections 1563(a)(1), (2) and (3) for purposes of determining a controlled group of corporations, or in applying Section 1.414(c)-2 of the Treasury Regulations for purposes of determining trades or businesses under common control, the phrase “at least 50%” shall replace the phrase “at least 80%” each time it appears in those sections.</w:t>
      </w:r>
    </w:p>
    <w:p>
      <w:pPr>
        <w:spacing w:after="0" w:line="154" w:lineRule="exact"/>
        <w:rPr>
          <w:rFonts w:ascii="Arial" w:cs="Arial" w:eastAsia="Arial" w:hAnsi="Arial"/>
          <w:sz w:val="16"/>
          <w:szCs w:val="16"/>
          <w:color w:val="auto"/>
        </w:rPr>
      </w:pPr>
    </w:p>
    <w:p>
      <w:pPr>
        <w:ind w:left="644" w:right="140" w:firstLine="653"/>
        <w:spacing w:after="0" w:line="259" w:lineRule="auto"/>
        <w:tabs>
          <w:tab w:leader="none" w:pos="20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Resulting Voting Power</w:t>
      </w:r>
      <w:r>
        <w:rPr>
          <w:rFonts w:ascii="Arial" w:cs="Arial" w:eastAsia="Arial" w:hAnsi="Arial"/>
          <w:sz w:val="18"/>
          <w:szCs w:val="18"/>
          <w:color w:val="auto"/>
        </w:rPr>
        <w:t>” means the outstanding combined voting power of the then outstanding voting securities entitled to vote generally in the election of directors (or equivalent governing body) of the entity resulting from a Business Combination (including, without limitation, an entity which as a result of such transaction owns the Corporation or substantially all of the Corporation’s assets either directly or through one or more subsidiaries).</w:t>
      </w:r>
    </w:p>
    <w:p>
      <w:pPr>
        <w:spacing w:after="0" w:line="186" w:lineRule="exact"/>
        <w:rPr>
          <w:rFonts w:ascii="Arial" w:cs="Arial" w:eastAsia="Arial" w:hAnsi="Arial"/>
          <w:sz w:val="18"/>
          <w:szCs w:val="18"/>
          <w:color w:val="auto"/>
        </w:rPr>
      </w:pPr>
    </w:p>
    <w:p>
      <w:pPr>
        <w:ind w:left="2004" w:hanging="707"/>
        <w:spacing w:after="0"/>
        <w:tabs>
          <w:tab w:leader="none" w:pos="20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separation from service as defined in Section 1.409A-1(h) of the Treasury</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Regulations.</w:t>
      </w:r>
    </w:p>
    <w:p>
      <w:pPr>
        <w:spacing w:after="0" w:line="210" w:lineRule="exact"/>
        <w:rPr>
          <w:rFonts w:ascii="Arial" w:cs="Arial" w:eastAsia="Arial" w:hAnsi="Arial"/>
          <w:sz w:val="18"/>
          <w:szCs w:val="18"/>
          <w:color w:val="auto"/>
        </w:rPr>
      </w:pPr>
    </w:p>
    <w:p>
      <w:pPr>
        <w:ind w:left="644" w:right="100" w:firstLine="653"/>
        <w:spacing w:after="0" w:line="286" w:lineRule="auto"/>
        <w:tabs>
          <w:tab w:leader="none" w:pos="2012"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means the final, temporary or proposed regulations issued by the Treasury Department and/or Internal Revenue Service as codified in Title 26 of the United States Code of Federal Regulations. Any references made in this Agreement to specific Treasury Regulations shall also refer to any successor or replacement regulations thereto.</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4" w:hanging="724"/>
        <w:spacing w:after="0"/>
        <w:tabs>
          <w:tab w:leader="none" w:pos="7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60" w:firstLine="645"/>
        <w:spacing w:after="0" w:line="271" w:lineRule="auto"/>
        <w:tabs>
          <w:tab w:leader="none" w:pos="1347" w:val="left"/>
        </w:tabs>
        <w:numPr>
          <w:ilvl w:val="1"/>
          <w:numId w:val="38"/>
        </w:numPr>
        <w:rPr>
          <w:rFonts w:ascii="Arial" w:cs="Arial" w:eastAsia="Arial" w:hAnsi="Arial"/>
          <w:sz w:val="17"/>
          <w:szCs w:val="17"/>
          <w:color w:val="auto"/>
        </w:rPr>
      </w:pPr>
      <w:r>
        <w:rPr>
          <w:rFonts w:ascii="Arial" w:cs="Arial" w:eastAsia="Arial" w:hAnsi="Arial"/>
          <w:sz w:val="17"/>
          <w:szCs w:val="17"/>
          <w:color w:val="auto"/>
        </w:rPr>
        <w:t>During the period beginning with the Grant Date and ending with the Vesting Date (or the earlier forfeiture of your Restricted Shares), you will have the right to receive dividends on the Restricted Shares, if any, to the extent dividends are paid by the Company on its authorized and issued shares of Company Stock to its stockholders of record. These dividends, if any, will be paid at the same rate and at the same time as such dividends are paid by the Company on its authorized and issued shares. However, these dividends, if any, will be paid into an account bearing 10% interest annually to be held until you shall have met the requirements for the vesting of the Restricted Shares as provided in Section 2 above, at which time the accumulated dividends attributable to the Restricted Shares that have vested and b ecome transferable on the Vesting Date shall be paid to you in a single lump sum distribution within 30 days following the Vesting Date. Any dividends attributable to Restricted Shares that do not vest as of the Vesting Date shall be forfeited.</w:t>
      </w:r>
    </w:p>
    <w:p>
      <w:pPr>
        <w:sectPr>
          <w:pgSz w:w="11900" w:h="16920" w:orient="portrait"/>
          <w:cols w:equalWidth="0" w:num="1">
            <w:col w:w="10764"/>
          </w:cols>
          <w:pgMar w:left="896" w:top="125" w:right="239" w:bottom="0" w:gutter="0" w:footer="0" w:header="0"/>
        </w:sectPr>
      </w:pPr>
    </w:p>
    <w:bookmarkStart w:id="125" w:name="page126"/>
    <w:bookmarkEnd w:id="125"/>
    <w:p>
      <w:pPr>
        <w:ind w:left="660" w:right="120" w:firstLine="645"/>
        <w:spacing w:after="0" w:line="273" w:lineRule="auto"/>
        <w:tabs>
          <w:tab w:leader="none" w:pos="2013"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Company’s obligation under this Section 3 shall be an unfunded and unsecured promise to pay. The Company shall not be obligated under any circumstances to fund its financial obligations under this Section 3 prior to the date any dividends become payable pursuant to the terms of this Agreement. All dividends held in the account described in subsection (a) above will remain general assets of the Company subject to the claims of its general creditors. This Agreement does not give to you any ownership interest in any assets of the Company, and all rights of ownership in the accumulated dividends are and remain in the Company. Your right to receive payment of accumulated dividends attributable to vested Restricted Shares shall be solely those of an unsecured general creditor of the Co mpany.</w:t>
      </w:r>
    </w:p>
    <w:p>
      <w:pPr>
        <w:spacing w:after="0" w:line="178" w:lineRule="exact"/>
        <w:rPr>
          <w:rFonts w:ascii="Arial" w:cs="Arial" w:eastAsia="Arial" w:hAnsi="Arial"/>
          <w:sz w:val="17"/>
          <w:szCs w:val="17"/>
          <w:color w:val="auto"/>
        </w:rPr>
      </w:pPr>
    </w:p>
    <w:p>
      <w:pPr>
        <w:ind w:firstLine="656"/>
        <w:spacing w:after="0" w:line="257" w:lineRule="auto"/>
        <w:tabs>
          <w:tab w:leader="none" w:pos="136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You hereby appoint the Company as your attorney in fact, with full power of substitution, and authorize the Company to provide instructions to the Company’s registrar and transfer agent for Company Stock as the Company may deem necessary or proper to comply with the intent and purposes of this Agreement, including, upon the occurrence of a forfeiture pursuant to Section 2 above, to notify the registrar and transfer agent of the forfeiture of such shares, together with instructions to cancel the shares forfeited. The registrar and transfer agent shall be entitled to rely upon any notices and instructions delivered by your attorney in fact under the terms of this Agreement.</w:t>
      </w:r>
    </w:p>
    <w:p>
      <w:pPr>
        <w:spacing w:after="0" w:line="188" w:lineRule="exact"/>
        <w:rPr>
          <w:rFonts w:ascii="Arial" w:cs="Arial" w:eastAsia="Arial" w:hAnsi="Arial"/>
          <w:sz w:val="18"/>
          <w:szCs w:val="18"/>
          <w:color w:val="auto"/>
        </w:rPr>
      </w:pPr>
    </w:p>
    <w:p>
      <w:pPr>
        <w:ind w:right="20" w:firstLine="656"/>
        <w:spacing w:after="0" w:line="302" w:lineRule="auto"/>
        <w:tabs>
          <w:tab w:leader="none" w:pos="136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Book Entry Form; Delivery of Shares</w:t>
      </w:r>
      <w:r>
        <w:rPr>
          <w:rFonts w:ascii="Arial" w:cs="Arial" w:eastAsia="Arial" w:hAnsi="Arial"/>
          <w:sz w:val="16"/>
          <w:szCs w:val="16"/>
          <w:color w:val="auto"/>
        </w:rPr>
        <w:t>. The Company shall, as soon as administratively feasible after your execution of this letter, direct the Company’s transfer agent for Company Stock to make a book entry record showing ownership for the Restricted Shares in your name, subject to the terms and conditions of this Agreement. As soon as practicable following the date on which the Restricted Shares become nonforfeitable and fully transferable pursuant to Section 2 above, the Company will issue appropriate instructions to that effect to the transfer agent for Company Stock.</w:t>
      </w:r>
    </w:p>
    <w:p>
      <w:pPr>
        <w:spacing w:after="0" w:line="154" w:lineRule="exact"/>
        <w:rPr>
          <w:rFonts w:ascii="Arial" w:cs="Arial" w:eastAsia="Arial" w:hAnsi="Arial"/>
          <w:sz w:val="16"/>
          <w:szCs w:val="16"/>
          <w:color w:val="auto"/>
        </w:rPr>
      </w:pPr>
    </w:p>
    <w:p>
      <w:pPr>
        <w:ind w:right="380" w:firstLine="656"/>
        <w:spacing w:after="0" w:line="264" w:lineRule="auto"/>
        <w:tabs>
          <w:tab w:leader="none" w:pos="136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Subject to the provisions of this Agreement, you generally will have all of the rights of a holder of Company Stock with respect to all of the Restricted Shares awarded to you under this Agreement from and after the Grant Date until the shares either vest or are forfeited and to receive dividends or other distributions paid thereon,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Section 3.</w:t>
      </w:r>
    </w:p>
    <w:p>
      <w:pPr>
        <w:spacing w:after="0" w:line="225" w:lineRule="exact"/>
        <w:rPr>
          <w:sz w:val="20"/>
          <w:szCs w:val="20"/>
          <w:color w:val="auto"/>
        </w:rPr>
      </w:pPr>
    </w:p>
    <w:p>
      <w:pPr>
        <w:ind w:right="260" w:firstLine="656"/>
        <w:spacing w:after="0" w:line="259"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You may not sell, assign, transfer, pledge, hypothecate or encumber your right to receive Restricted Shares under this letter prior to the time such Restricted Shares become fully vested in accordance with this letter. In addition, your receipt of any shares of Company Stock awarded to you pursuant to this Agreement is contingent upon you (and any transferees, successors or assigns) agreeing to be bound to the transfer restrictions described in Appendix A to this Agreement.</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 fractional share of Company Stock will not be issued and any fractional shares will be disregarded.</w:t>
      </w:r>
    </w:p>
    <w:p>
      <w:pPr>
        <w:spacing w:after="0" w:line="225" w:lineRule="exact"/>
        <w:rPr>
          <w:rFonts w:ascii="Arial" w:cs="Arial" w:eastAsia="Arial" w:hAnsi="Arial"/>
          <w:sz w:val="18"/>
          <w:szCs w:val="18"/>
          <w:color w:val="auto"/>
        </w:rPr>
      </w:pPr>
    </w:p>
    <w:p>
      <w:pPr>
        <w:ind w:firstLine="656"/>
        <w:spacing w:after="0" w:line="259"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the number of outstanding shares of Company Stock is increased or decreased as a result of a stock dividend, stock split or combination of shares, recapitalization, merger in which the Company is the surviving corporation, or other change in the Company’s capitalization without the receipt of consideration by the Company, the number and kind of your unvested Restricted Shares shall be proportionately adjusted by the Committee, whose determination shall be binding.</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to the Company under the terms of this Agreement shall be addressed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LendingTree,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Legal Department</w:t>
      </w:r>
    </w:p>
    <w:p>
      <w:pPr>
        <w:spacing w:after="0" w:line="2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Any notice to be given to you shall be given to you and shall be addressed to you at your most recent address on file with the Company at the time notice is sent. Notices shall be deemed to have been duly given if mailed first class, postage prepaid, addressed as above.</w:t>
      </w:r>
    </w:p>
    <w:p>
      <w:pPr>
        <w:spacing w:after="0" w:line="147" w:lineRule="exact"/>
        <w:rPr>
          <w:sz w:val="20"/>
          <w:szCs w:val="20"/>
          <w:color w:val="auto"/>
        </w:rPr>
      </w:pPr>
    </w:p>
    <w:p>
      <w:pPr>
        <w:ind w:left="1360" w:hanging="704"/>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Applicable Withholding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72" w:lineRule="auto"/>
        <w:tabs>
          <w:tab w:leader="none" w:pos="2003" w:val="left"/>
        </w:tabs>
        <w:numPr>
          <w:ilvl w:val="1"/>
          <w:numId w:val="42"/>
        </w:numPr>
        <w:rPr>
          <w:rFonts w:ascii="Arial" w:cs="Arial" w:eastAsia="Arial" w:hAnsi="Arial"/>
          <w:sz w:val="17"/>
          <w:szCs w:val="17"/>
          <w:color w:val="auto"/>
        </w:rPr>
      </w:pPr>
      <w:r>
        <w:rPr>
          <w:rFonts w:ascii="Arial" w:cs="Arial" w:eastAsia="Arial" w:hAnsi="Arial"/>
          <w:sz w:val="17"/>
          <w:szCs w:val="17"/>
          <w:color w:val="auto"/>
        </w:rPr>
        <w:t>No Restricted Shares that have become vested and fully transferable pursuant to Section 2 above shall be delivered to you until you have paid to the Company the amount that must be withheld with respect to those Restricted Shares under federal, state and local income and employment tax laws (the “</w:t>
      </w:r>
      <w:r>
        <w:rPr>
          <w:rFonts w:ascii="Arial" w:cs="Arial" w:eastAsia="Arial" w:hAnsi="Arial"/>
          <w:sz w:val="17"/>
          <w:szCs w:val="17"/>
          <w:u w:val="single" w:color="auto"/>
          <w:color w:val="auto"/>
        </w:rPr>
        <w:t>Applicable Withholding Taxes</w:t>
      </w:r>
      <w:r>
        <w:rPr>
          <w:rFonts w:ascii="Arial" w:cs="Arial" w:eastAsia="Arial" w:hAnsi="Arial"/>
          <w:sz w:val="17"/>
          <w:szCs w:val="17"/>
          <w:color w:val="auto"/>
        </w:rPr>
        <w:t>”) or you and the Company have made satisfactory arrangements for the payment of such taxes. As an alternative to making a cash payment to satisfy the Applicable Withholding Taxes, the Committee may in its discretion (i) permit you to deliver shares of Company Stock which you already own (valued at their Fair Market Value as of the delivery date) in whole or partial satisfaction of such taxes or (ii) have the Company retain that number of Restricted Shares (valued at their Fa ir Market Value as of the delivery date) that would satisfy the Applicable Withholding Taxes.</w:t>
      </w:r>
    </w:p>
    <w:p>
      <w:pPr>
        <w:spacing w:after="0" w:line="177" w:lineRule="exact"/>
        <w:rPr>
          <w:rFonts w:ascii="Arial" w:cs="Arial" w:eastAsia="Arial" w:hAnsi="Arial"/>
          <w:sz w:val="17"/>
          <w:szCs w:val="17"/>
          <w:color w:val="auto"/>
        </w:rPr>
      </w:pPr>
    </w:p>
    <w:p>
      <w:pPr>
        <w:ind w:left="2000" w:hanging="695"/>
        <w:spacing w:after="0"/>
        <w:tabs>
          <w:tab w:leader="none" w:pos="2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shall withhold Applicable Withholding Taxes 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 to accumulated dividends directly from the amount of such accumulated dividends payable to you pursuant to Section 3.</w:t>
      </w:r>
    </w:p>
    <w:p>
      <w:pPr>
        <w:spacing w:after="0" w:line="225" w:lineRule="exact"/>
        <w:rPr>
          <w:sz w:val="20"/>
          <w:szCs w:val="20"/>
          <w:color w:val="auto"/>
        </w:rPr>
      </w:pPr>
    </w:p>
    <w:p>
      <w:pPr>
        <w:ind w:right="600" w:firstLine="656"/>
        <w:spacing w:after="0" w:line="291" w:lineRule="auto"/>
        <w:tabs>
          <w:tab w:leader="none" w:pos="1368"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Applicable Securities Laws</w:t>
      </w:r>
      <w:r>
        <w:rPr>
          <w:rFonts w:ascii="Arial" w:cs="Arial" w:eastAsia="Arial" w:hAnsi="Arial"/>
          <w:sz w:val="16"/>
          <w:szCs w:val="16"/>
          <w:color w:val="auto"/>
        </w:rPr>
        <w:t>. The Company may delay delivery of Restricted Shares that have become vested and fully transferable pursuant to Section 2 above until (a) the admission of such shares to listing on any stock exchange on which the Company Stock may then be listed,</w:t>
      </w:r>
    </w:p>
    <w:p>
      <w:pPr>
        <w:ind w:right="20" w:firstLine="8"/>
        <w:spacing w:after="0" w:line="273" w:lineRule="auto"/>
        <w:tabs>
          <w:tab w:leader="none" w:pos="2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receipt of any required representation by you or completion of any registration or other qualification of such shares under any state or federal law or regulation that the Company’s counsel shall determine as necessary or advisable, and (c) receipt by the Company of advice by counsel that all applicable legal requirements have been complied with. Additionally, you may be required to execute a customary written indication of your investment intent and such other agreements the Company deems necessary or appropriate to comp ly with applicable securities laws.</w:t>
      </w:r>
    </w:p>
    <w:p>
      <w:pPr>
        <w:sectPr>
          <w:pgSz w:w="11900" w:h="16838" w:orient="portrait"/>
          <w:cols w:equalWidth="0" w:num="1">
            <w:col w:w="11420"/>
          </w:cols>
          <w:pgMar w:left="240" w:top="341" w:right="239" w:bottom="0" w:gutter="0" w:footer="0" w:header="0"/>
        </w:sectPr>
      </w:pPr>
    </w:p>
    <w:bookmarkStart w:id="126" w:name="page127"/>
    <w:bookmarkEnd w:id="126"/>
    <w:p>
      <w:pPr>
        <w:spacing w:after="0" w:line="114" w:lineRule="exact"/>
        <w:rPr>
          <w:sz w:val="20"/>
          <w:szCs w:val="20"/>
          <w:color w:val="auto"/>
        </w:rPr>
      </w:pPr>
    </w:p>
    <w:p>
      <w:pPr>
        <w:ind w:right="100" w:firstLine="656"/>
        <w:spacing w:after="0" w:line="312" w:lineRule="auto"/>
        <w:tabs>
          <w:tab w:leader="none" w:pos="136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Acceptance of Restricted Shares</w:t>
      </w:r>
      <w:r>
        <w:rPr>
          <w:rFonts w:ascii="Arial" w:cs="Arial" w:eastAsia="Arial" w:hAnsi="Arial"/>
          <w:sz w:val="16"/>
          <w:szCs w:val="16"/>
          <w:color w:val="auto"/>
        </w:rPr>
        <w:t>. By signing below, you indicate your acceptance of these Restricted Shares and your agreement to the terms and conditions set forth in this Agreement, shall become the Company’s Restricted Stock Award Agreement with you. Unless the Company otherwise agrees in writing, this Agreement will not be effective as a Restricted Stock Award Agreement if you do not sign and return a copy.</w:t>
      </w:r>
    </w:p>
    <w:p>
      <w:pPr>
        <w:spacing w:after="0" w:line="146" w:lineRule="exact"/>
        <w:rPr>
          <w:rFonts w:ascii="Arial" w:cs="Arial" w:eastAsia="Arial" w:hAnsi="Arial"/>
          <w:sz w:val="16"/>
          <w:szCs w:val="16"/>
          <w:color w:val="auto"/>
        </w:rPr>
      </w:pPr>
    </w:p>
    <w:p>
      <w:pPr>
        <w:ind w:firstLine="656"/>
        <w:spacing w:after="0" w:line="268" w:lineRule="auto"/>
        <w:tabs>
          <w:tab w:leader="none" w:pos="136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Company Repurchase Right</w:t>
      </w:r>
      <w:r>
        <w:rPr>
          <w:rFonts w:ascii="Arial" w:cs="Arial" w:eastAsia="Arial" w:hAnsi="Arial"/>
          <w:sz w:val="17"/>
          <w:szCs w:val="17"/>
          <w:color w:val="auto"/>
        </w:rPr>
        <w:t>. As a condition to your receipt of any Restricted Shares awarded to you pursuant to this Agreement, you (and any transferees, successors or assigns) hereby irrevocably grant the Company (including its successors or assigns) the right, exercisable by notice in writing to you (the “</w:t>
      </w:r>
      <w:r>
        <w:rPr>
          <w:rFonts w:ascii="Arial" w:cs="Arial" w:eastAsia="Arial" w:hAnsi="Arial"/>
          <w:sz w:val="17"/>
          <w:szCs w:val="17"/>
          <w:u w:val="single" w:color="auto"/>
          <w:color w:val="auto"/>
        </w:rPr>
        <w:t>Repurchase Notice</w:t>
      </w:r>
      <w:r>
        <w:rPr>
          <w:rFonts w:ascii="Arial" w:cs="Arial" w:eastAsia="Arial" w:hAnsi="Arial"/>
          <w:sz w:val="17"/>
          <w:szCs w:val="17"/>
          <w:color w:val="auto"/>
        </w:rPr>
        <w:t>”), to purchase all of your vested Restricted Shares. The Repurchase Notice should contain the number of vested Restricted Shares the Company desires to purchase from you.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of such shares shall be equal to (a) the number of vested Restricted Shares the Company desires to purchase from you pursuant to the Repurchase Notice, multiplied by (b) the “Fair Value” (as determined below) of a share of Company Stock. The Company may pay the Purchase Price in cash, shares of Tree common stock, or a combination of cash and shares of Tree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may not pay any portion of the Purchase Price in shares of Tree common stock unless such amounts are paid pursuant to an Tree equity plan previously approved by Tree’s shareholders or prior to Tree obtaining shareholder approval of this Restricted Stock Award Agreement. The “</w:t>
      </w:r>
      <w:r>
        <w:rPr>
          <w:rFonts w:ascii="Arial" w:cs="Arial" w:eastAsia="Arial" w:hAnsi="Arial"/>
          <w:sz w:val="17"/>
          <w:szCs w:val="17"/>
          <w:u w:val="single" w:color="auto"/>
          <w:color w:val="auto"/>
        </w:rPr>
        <w:t>Fair Value</w:t>
      </w:r>
      <w:r>
        <w:rPr>
          <w:rFonts w:ascii="Arial" w:cs="Arial" w:eastAsia="Arial" w:hAnsi="Arial"/>
          <w:sz w:val="17"/>
          <w:szCs w:val="17"/>
          <w:color w:val="auto"/>
        </w:rPr>
        <w:t>” means, as of any time, with respect to each share of Company Stock, the amount payable in respect of such share of Company Stock assuming the Company were sold as a going concern as of a date that is within 15 days of the date as of which the determination is to be made, in an arm’s length sale between an informed and willing buyer and an informed and willing seller, under no compulsion to buy or sell, respectively. The determination of Fair Value shall be determined by the Company in good faith; provided that in t he event you disagree with the Company’s determination of the Fair Value of the Company Stock during the 30-day period immediately following the delivery of the Repurchase Notice, then you and the Company shall each select an “Appraiser” (as defined herein). The two Appraisers so selected (the “</w:t>
      </w:r>
      <w:r>
        <w:rPr>
          <w:rFonts w:ascii="Arial" w:cs="Arial" w:eastAsia="Arial" w:hAnsi="Arial"/>
          <w:sz w:val="17"/>
          <w:szCs w:val="17"/>
          <w:u w:val="single" w:color="auto"/>
          <w:color w:val="auto"/>
        </w:rPr>
        <w:t>Initial Appraisers</w:t>
      </w:r>
      <w:r>
        <w:rPr>
          <w:rFonts w:ascii="Arial" w:cs="Arial" w:eastAsia="Arial" w:hAnsi="Arial"/>
          <w:sz w:val="17"/>
          <w:szCs w:val="17"/>
          <w:color w:val="auto"/>
        </w:rPr>
        <w:t>”) shall determine each share of Company Stock’s Fair Value. If the higher value is not more than 10% greater than the lower value, then the average of such values shall be deemed to be the Fair Value; otherwise, the Initial Appraisers shall select an additional Appraiser (the “</w:t>
      </w:r>
      <w:r>
        <w:rPr>
          <w:rFonts w:ascii="Arial" w:cs="Arial" w:eastAsia="Arial" w:hAnsi="Arial"/>
          <w:sz w:val="17"/>
          <w:szCs w:val="17"/>
          <w:u w:val="single" w:color="auto"/>
          <w:color w:val="auto"/>
        </w:rPr>
        <w:t>Additional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u w:val="single" w:color="auto"/>
          <w:color w:val="auto"/>
        </w:rPr>
        <w:t>Appraiser</w:t>
      </w:r>
      <w:r>
        <w:rPr>
          <w:rFonts w:ascii="Arial" w:cs="Arial" w:eastAsia="Arial" w:hAnsi="Arial"/>
          <w:sz w:val="17"/>
          <w:szCs w:val="17"/>
          <w:color w:val="auto"/>
        </w:rPr>
        <w:t>”). If they fail to select such Additional Appraiser, then either you or the Company may apply, after written notice to the other, to any judge of any court of general jurisdiction for the appointment of such Additional Appraiser. The Additional Appraiser shall then determine a third determination of Fair Value and the Fair Value shall be the average of such Additional Appraiser’s value and the Initial Appraiser’s value that is closest in value to such Additional Appraiser’s value. Each party shall pay the expenses and fees of the appraiser selected by it, and, if an Additional Appraiser is employed, the party who selected the Initial Appraiser whose value was farther from that determined by the Additional Appraiser shall pay all the expenses and fees of the Additional Appraiser. The term “</w:t>
      </w:r>
      <w:r>
        <w:rPr>
          <w:rFonts w:ascii="Arial" w:cs="Arial" w:eastAsia="Arial" w:hAnsi="Arial"/>
          <w:sz w:val="17"/>
          <w:szCs w:val="17"/>
          <w:u w:val="single" w:color="auto"/>
          <w:color w:val="auto"/>
        </w:rPr>
        <w:t>Apprais er</w:t>
      </w:r>
      <w:r>
        <w:rPr>
          <w:rFonts w:ascii="Arial" w:cs="Arial" w:eastAsia="Arial" w:hAnsi="Arial"/>
          <w:sz w:val="17"/>
          <w:szCs w:val="17"/>
          <w:color w:val="auto"/>
        </w:rPr>
        <w:t>” means a firm of independent certified public accountants, an investment banking firm or appraisal firm (which firm shall own no securities of, and shall not be an affiliate, subsidiary or a Related Company of the Company, Tree or any Related Company) of recognized national or regional standing. The Company may exercise its right to repurchase all of your vested Restricted Shares (i) within 60 days following the availability of the final financial results of the Company for the fiscal year of the Company ending immediately following the Vesting Date (or date on which an Early Vesting Event occurs, if applicable); and (ii) with respect to each subsequent anniversary of the Vesting Date (or date on which an Early Vesting Event occurs, if applicable), within 60 days following the availability of the final financial results of the Company for the fiscal year of the Company ending immediately following such subsequent anniversary. If the Company exercises its right to purchase al l of your vested Restricted Shares pursuant to this Section 14, then the closing of the purchase and sale transaction shall be held at the principal office of the Company on a date designated by the Company, which date in no event shall be later than 90 days after the Company gives the Repurchase Notice. You shall have no right to vote as a stockholder of the Company on the decision to exercise such repurchase right.</w:t>
      </w:r>
    </w:p>
    <w:p>
      <w:pPr>
        <w:spacing w:after="0" w:line="183" w:lineRule="exact"/>
        <w:rPr>
          <w:sz w:val="20"/>
          <w:szCs w:val="20"/>
          <w:color w:val="auto"/>
        </w:rPr>
      </w:pPr>
    </w:p>
    <w:p>
      <w:pPr>
        <w:ind w:right="20" w:firstLine="656"/>
        <w:spacing w:after="0" w:line="269" w:lineRule="auto"/>
        <w:tabs>
          <w:tab w:leader="none" w:pos="136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Sale Right</w:t>
      </w:r>
      <w:r>
        <w:rPr>
          <w:rFonts w:ascii="Arial" w:cs="Arial" w:eastAsia="Arial" w:hAnsi="Arial"/>
          <w:sz w:val="17"/>
          <w:szCs w:val="17"/>
          <w:color w:val="auto"/>
        </w:rPr>
        <w:t>. Upon becoming vested in your Restricted Shares, you shall have the right, exercisable by notice in writing to the Company (the “</w:t>
      </w:r>
      <w:r>
        <w:rPr>
          <w:rFonts w:ascii="Arial" w:cs="Arial" w:eastAsia="Arial" w:hAnsi="Arial"/>
          <w:sz w:val="17"/>
          <w:szCs w:val="17"/>
          <w:u w:val="single" w:color="auto"/>
          <w:color w:val="auto"/>
        </w:rPr>
        <w:t>Sale Notice</w:t>
      </w:r>
      <w:r>
        <w:rPr>
          <w:rFonts w:ascii="Arial" w:cs="Arial" w:eastAsia="Arial" w:hAnsi="Arial"/>
          <w:sz w:val="17"/>
          <w:szCs w:val="17"/>
          <w:color w:val="auto"/>
        </w:rPr>
        <w:t>”), to require the Company to purchase all of your vested Restricted Shares. The Sale Notice should contain the number of vested Restricted Shares you wish the Company to purchase from you. The sale price of such shares shall be equal to (a) the number of Restricted Shares you wish to sell to the Company, multiplied by (b) the Purchase Price (as defined in Section 14 above). You may exercise your right to require the Company to purchase your vested Restricted Shares (i) within 60 days following the availability of the final financial results of the Company for the fiscal year of the Company ending immediately followi ng the Vesting Date (or date on which an Early Vesting Event occurs, if applicable); and (ii) with respect to each subsequent anniversary of the Vesting Date (or date on which an Early Vesting Event occurs, if applicable), within 60 days following the availability of the final financial results of the Company for the fiscal year of the Company ending immediately following such subsequent anniversary. If you elect to exercise your right to require the Company purchase all of your vested Restricted Shares pursuant to this Section 15, then the closing of the purchase and sale transaction shall be held at the principal office of the Company on a date designated by the Company, which date in no event shall be later than 90 days after you give the Company the Sale Notice.</w:t>
      </w:r>
    </w:p>
    <w:p>
      <w:pPr>
        <w:spacing w:after="0" w:line="182" w:lineRule="exact"/>
        <w:rPr>
          <w:rFonts w:ascii="Arial" w:cs="Arial" w:eastAsia="Arial" w:hAnsi="Arial"/>
          <w:sz w:val="17"/>
          <w:szCs w:val="17"/>
          <w:color w:val="auto"/>
        </w:rPr>
      </w:pPr>
    </w:p>
    <w:p>
      <w:pPr>
        <w:ind w:right="700" w:firstLine="656"/>
        <w:spacing w:after="0" w:line="308" w:lineRule="auto"/>
        <w:tabs>
          <w:tab w:leader="none" w:pos="136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Sale of Other Disposition by Majority Interest</w:t>
      </w:r>
      <w:r>
        <w:rPr>
          <w:rFonts w:ascii="Arial" w:cs="Arial" w:eastAsia="Arial" w:hAnsi="Arial"/>
          <w:sz w:val="17"/>
          <w:szCs w:val="17"/>
          <w:color w:val="auto"/>
        </w:rPr>
        <w:t>. As a condition to receipt of any Restricted Shares awarded to you pursuant to this Agreement, you (and any transferees, successors or assigns) hereby irrevocably appoint the Company as your agent and attorney-in-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fact, with full power of substitution for and in your name, to sell, exchange, transfer or otherwise dispose of all or a portion of your Restricted Shares and to do any and all things and execute any and all documents and instruments (including, without limitation, any stock transfer powers) in connection therewith, such powers of attorney to become operable only in connection with a Change in Control (as defined in Section 2(d)(i) of this Agreement). Any sale, exchange, transfer or other disposition of all or a portion of your Restricted Shares pursuant to the foregoing powers of attorney shall be made upon substantially the same terms and conditions (including sale price per share) applicable to a sale, exchange, transfer or other disposition of unrestricted shares of the Company’s Class B Common Stock owned by the holder or holders of a majority of the issued and outstanding shares of Class B Common Stock. For purposes of determining the sale price per share of the Restricted Shares under this Section 16, there shall be excluded the consideration (if any) paid or payable to the holder or holders of a majority of the issued and outstanding shares of Class B Common Stock in connection with any employment, consulting, noncompetition or similar agreements which such holder or holders may enter into in connection with or subsequent to such sale, transfer, exchange or other disposition. The foregoing power of attorney does not impose and shall not be deemed to impose any fiduciary duty (except as set forth in this Section 16) or obligation on either the Company and shall be irrevocable and coupled with an interest and shall not terminate by operation of law, whether by your death, bankruptcy or your adjudication of incompetency or insanity or the occurrence of any other event.</w:t>
      </w:r>
    </w:p>
    <w:p>
      <w:pPr>
        <w:spacing w:after="0" w:line="169" w:lineRule="exact"/>
        <w:rPr>
          <w:sz w:val="20"/>
          <w:szCs w:val="20"/>
          <w:color w:val="auto"/>
        </w:rPr>
      </w:pPr>
    </w:p>
    <w:p>
      <w:pPr>
        <w:jc w:val="both"/>
        <w:ind w:right="40" w:firstLine="656"/>
        <w:spacing w:after="0" w:line="312" w:lineRule="auto"/>
        <w:tabs>
          <w:tab w:leader="none" w:pos="136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of Repurchase Right, Sale Right and Power of Attorney</w:t>
      </w:r>
      <w:r>
        <w:rPr>
          <w:rFonts w:ascii="Arial" w:cs="Arial" w:eastAsia="Arial" w:hAnsi="Arial"/>
          <w:sz w:val="16"/>
          <w:szCs w:val="16"/>
          <w:color w:val="auto"/>
        </w:rPr>
        <w:t>. Notwithstanding the foregoing, the Company’s Repurchase Right, your Sale Right and the power of attorney provisions (as described in Sections 14 through 16) shall cease to apply in the event the Company’s capital stock (as described in Section 19) becomes publicly traded on a nationally-recognized stock exchange or authorized for trading through NASDAQ. You agree that,</w:t>
      </w:r>
    </w:p>
    <w:p>
      <w:pPr>
        <w:sectPr>
          <w:pgSz w:w="11900" w:h="16952" w:orient="portrait"/>
          <w:cols w:equalWidth="0" w:num="1">
            <w:col w:w="11400"/>
          </w:cols>
          <w:pgMar w:left="240" w:top="125" w:right="259" w:bottom="0" w:gutter="0" w:footer="0" w:header="0"/>
        </w:sectPr>
      </w:pPr>
    </w:p>
    <w:bookmarkStart w:id="127" w:name="page128"/>
    <w:bookmarkEnd w:id="127"/>
    <w:p>
      <w:pPr>
        <w:spacing w:after="0" w:line="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connection with a transaction that results in the Company’s capital stock becoming publicly-traded, you shall, if requested by the underwriter of such transaction, enter into a customary lockup agreement relating to the Restricted Shares.</w:t>
      </w:r>
    </w:p>
    <w:p>
      <w:pPr>
        <w:spacing w:after="0" w:line="170" w:lineRule="exact"/>
        <w:rPr>
          <w:sz w:val="20"/>
          <w:szCs w:val="20"/>
          <w:color w:val="auto"/>
        </w:rPr>
      </w:pPr>
    </w:p>
    <w:p>
      <w:pPr>
        <w:ind w:left="1380" w:hanging="724"/>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Your Representations and Warranties</w:t>
      </w:r>
      <w:r>
        <w:rPr>
          <w:rFonts w:ascii="Arial" w:cs="Arial" w:eastAsia="Arial" w:hAnsi="Arial"/>
          <w:sz w:val="18"/>
          <w:szCs w:val="18"/>
          <w:color w:val="auto"/>
        </w:rPr>
        <w:t>. You hereby represent and warrant to the Company as follows:</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20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You are acquiring the Restricted Shares for investment and not with a view toward or for sale in connection with any distribution thereof, or with any present intention of distributing or selling the Restricted Shares.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You understand that (i) the Restricted Shares have not been registered under the Securities Act of 1933, as amended (the</w:t>
      </w:r>
    </w:p>
    <w:p>
      <w:pPr>
        <w:spacing w:after="0" w:line="35" w:lineRule="exact"/>
        <w:rPr>
          <w:sz w:val="20"/>
          <w:szCs w:val="20"/>
          <w:color w:val="auto"/>
        </w:rPr>
      </w:pPr>
    </w:p>
    <w:p>
      <w:pPr>
        <w:ind w:left="660" w:right="2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securities laws of any state or other jurisdiction in reliance upon exemptions from such registration requirements for non-public offerings; (ii) the Restricted Shares may not be sold, pledged or otherwise transferred except pursuant to effective registrations or qualifications relating thereto under the Securities Act and applicable state securities or blue sky laws or pursuant to an exemption therefrom; and</w:t>
      </w:r>
    </w:p>
    <w:p>
      <w:pPr>
        <w:spacing w:after="0" w:line="2" w:lineRule="exact"/>
        <w:rPr>
          <w:sz w:val="20"/>
          <w:szCs w:val="20"/>
          <w:color w:val="auto"/>
        </w:rPr>
      </w:pPr>
    </w:p>
    <w:p>
      <w:pPr>
        <w:ind w:left="660" w:hanging="4"/>
        <w:spacing w:after="0" w:line="261"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not under any obligation to register or cause to be registered the Restricted Shares under the Securities Act or any state securities laws, or to take any action to make any exemption from any such registration provisions ava ilable.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160" w:firstLine="645"/>
        <w:spacing w:after="0" w:line="259" w:lineRule="auto"/>
        <w:tabs>
          <w:tab w:leader="none" w:pos="1929" w:val="left"/>
        </w:tabs>
        <w:numPr>
          <w:ilvl w:val="1"/>
          <w:numId w:val="50"/>
        </w:numPr>
        <w:rPr>
          <w:rFonts w:ascii="Arial" w:cs="Arial" w:eastAsia="Arial" w:hAnsi="Arial"/>
          <w:sz w:val="18"/>
          <w:szCs w:val="18"/>
          <w:color w:val="auto"/>
        </w:rPr>
      </w:pPr>
      <w:r>
        <w:rPr>
          <w:rFonts w:ascii="Arial" w:cs="Arial" w:eastAsia="Arial" w:hAnsi="Arial"/>
          <w:sz w:val="18"/>
          <w:szCs w:val="18"/>
          <w:color w:val="auto"/>
        </w:rPr>
        <w:t>You (i) have such knowledge and experience in financial and business matters so that you are capable of evaluating, and have evaluated, the relative merits and risks of owning the Restricted Shares and (ii) have adequate means of providing for your current economic needs and possible personal contingencies, have no need for liquidity in your investment in the Restricted Shares and are able financially to bear the risks of ownership of the Restricted Shares.</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You are aware of and acknowledge the following:</w:t>
      </w:r>
    </w:p>
    <w:p>
      <w:pPr>
        <w:spacing w:after="0" w:line="225" w:lineRule="exact"/>
        <w:rPr>
          <w:rFonts w:ascii="Arial" w:cs="Arial" w:eastAsia="Arial" w:hAnsi="Arial"/>
          <w:sz w:val="18"/>
          <w:szCs w:val="18"/>
          <w:color w:val="auto"/>
        </w:rPr>
      </w:pPr>
    </w:p>
    <w:p>
      <w:pPr>
        <w:ind w:left="1300" w:right="320" w:firstLine="653"/>
        <w:spacing w:after="0" w:line="277" w:lineRule="auto"/>
        <w:tabs>
          <w:tab w:leader="none" w:pos="2577"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that no Federal or state agency has made any finding or determination regarding the fairness of this investment, or any recommendation or endorsement of the Shares;</w:t>
      </w:r>
    </w:p>
    <w:p>
      <w:pPr>
        <w:spacing w:after="0" w:line="170" w:lineRule="exact"/>
        <w:rPr>
          <w:rFonts w:ascii="Arial" w:cs="Arial" w:eastAsia="Arial" w:hAnsi="Arial"/>
          <w:sz w:val="18"/>
          <w:szCs w:val="18"/>
          <w:color w:val="auto"/>
        </w:rPr>
      </w:pPr>
    </w:p>
    <w:p>
      <w:pPr>
        <w:ind w:left="1300" w:right="80" w:firstLine="653"/>
        <w:spacing w:after="0" w:line="277" w:lineRule="auto"/>
        <w:tabs>
          <w:tab w:leader="none" w:pos="2589"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that neither the officers, directors, agents, Affiliates or employees of the Company, nor any other Person, has expressly or by implication, made any representation or warranty concerning the Company other than as set forth herein;</w:t>
      </w:r>
    </w:p>
    <w:p>
      <w:pPr>
        <w:spacing w:after="0" w:line="170" w:lineRule="exact"/>
        <w:rPr>
          <w:rFonts w:ascii="Arial" w:cs="Arial" w:eastAsia="Arial" w:hAnsi="Arial"/>
          <w:sz w:val="18"/>
          <w:szCs w:val="18"/>
          <w:color w:val="auto"/>
        </w:rPr>
      </w:pPr>
    </w:p>
    <w:p>
      <w:pPr>
        <w:ind w:left="1300" w:right="240" w:firstLine="653"/>
        <w:spacing w:after="0" w:line="277" w:lineRule="auto"/>
        <w:tabs>
          <w:tab w:leader="none" w:pos="26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that the past performance or experience of the Company or the Company’s officers, directors, agents or employees will not in any way indicate or predict the results of the ownership of the Shares or of the Company’s activities.</w:t>
      </w:r>
    </w:p>
    <w:p>
      <w:pPr>
        <w:spacing w:after="0" w:line="170" w:lineRule="exact"/>
        <w:rPr>
          <w:rFonts w:ascii="Arial" w:cs="Arial" w:eastAsia="Arial" w:hAnsi="Arial"/>
          <w:sz w:val="18"/>
          <w:szCs w:val="18"/>
          <w:color w:val="auto"/>
        </w:rPr>
      </w:pPr>
    </w:p>
    <w:p>
      <w:pPr>
        <w:ind w:left="660" w:right="200" w:firstLine="645"/>
        <w:spacing w:after="0" w:line="308" w:lineRule="auto"/>
        <w:tabs>
          <w:tab w:leader="none" w:pos="19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You have been advised and represented by independent legal counsel regarding your rights and obligations under this Agreement (or you have voluntarily declined to seek such counsel) and you fully understand the terms and conditions contained herein.</w:t>
      </w:r>
    </w:p>
    <w:p>
      <w:pPr>
        <w:spacing w:after="0" w:line="146" w:lineRule="exact"/>
        <w:rPr>
          <w:rFonts w:ascii="Arial" w:cs="Arial" w:eastAsia="Arial" w:hAnsi="Arial"/>
          <w:sz w:val="17"/>
          <w:szCs w:val="17"/>
          <w:color w:val="auto"/>
        </w:rPr>
      </w:pPr>
    </w:p>
    <w:p>
      <w:pPr>
        <w:ind w:left="660" w:right="240" w:firstLine="645"/>
        <w:spacing w:after="0" w:line="273" w:lineRule="auto"/>
        <w:tabs>
          <w:tab w:leader="none" w:pos="1947" w:val="left"/>
        </w:tabs>
        <w:numPr>
          <w:ilvl w:val="1"/>
          <w:numId w:val="50"/>
        </w:numPr>
        <w:rPr>
          <w:rFonts w:ascii="Arial" w:cs="Arial" w:eastAsia="Arial" w:hAnsi="Arial"/>
          <w:sz w:val="17"/>
          <w:szCs w:val="17"/>
          <w:color w:val="auto"/>
        </w:rPr>
      </w:pPr>
      <w:r>
        <w:rPr>
          <w:rFonts w:ascii="Arial" w:cs="Arial" w:eastAsia="Arial" w:hAnsi="Arial"/>
          <w:sz w:val="17"/>
          <w:szCs w:val="17"/>
          <w:color w:val="auto"/>
        </w:rPr>
        <w:t>You have all requisite capacity to enter into this Agreement and to consummate the transactions contemplated hereby. You have duly executed and delivered this Agreement and this Agreement constitutes your legal, valid and binding obligations, enforceable against you in accordance with its terms, except as enforcement may be limited by applicable bankruptcy, insolvency, reorganization, moratorium and other laws affecting creditors’ rights generally and except insofar as the availability of equitable remedies may be limited by applicable law. The execution, delivery and performance of this Agreement by you does not and shall not conflict with, violate or cause a breach of any agreement, contract or instrument to which you are a party or any judgment, order or decree to which you are subject.</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you as follows:</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2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the State of Delaware. The Company has all requisite capacity to enter into this Agreement and to consummate the transactions contemplated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40"/>
        <w:spacing w:after="0" w:line="259" w:lineRule="auto"/>
        <w:rPr>
          <w:sz w:val="20"/>
          <w:szCs w:val="20"/>
          <w:color w:val="auto"/>
        </w:rPr>
      </w:pPr>
      <w:r>
        <w:rPr>
          <w:rFonts w:ascii="Arial" w:cs="Arial" w:eastAsia="Arial" w:hAnsi="Arial"/>
          <w:sz w:val="18"/>
          <w:szCs w:val="18"/>
          <w:color w:val="auto"/>
        </w:rPr>
        <w:t>hereby. This Agreement has been duly executed and delivered by the Company and this Agreement constitutes the legal, valid and binding obligation of the Company, enforceable against the Company in accordance with its terms, except as enforcement may be limited by applicable bankruptcy, insolvency, reorganization, moratorium and other laws affecting creditors’ rights generally and except insofar as the availability of equitable remedies may be limited by applicable law.</w:t>
      </w:r>
    </w:p>
    <w:p>
      <w:pPr>
        <w:spacing w:after="0" w:line="187" w:lineRule="exact"/>
        <w:rPr>
          <w:sz w:val="20"/>
          <w:szCs w:val="20"/>
          <w:color w:val="auto"/>
        </w:rPr>
      </w:pPr>
    </w:p>
    <w:p>
      <w:pPr>
        <w:ind w:left="660" w:right="280" w:firstLine="645"/>
        <w:spacing w:after="0" w:line="277" w:lineRule="auto"/>
        <w:tabs>
          <w:tab w:leader="none" w:pos="193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of the Restricted Shares to be issued hereunder will, on the Grant Date, have been duly authorized, validly issued, fully paid and be non-assessable.</w:t>
      </w:r>
    </w:p>
    <w:p>
      <w:pPr>
        <w:spacing w:after="0" w:line="170" w:lineRule="exact"/>
        <w:rPr>
          <w:rFonts w:ascii="Arial" w:cs="Arial" w:eastAsia="Arial" w:hAnsi="Arial"/>
          <w:sz w:val="18"/>
          <w:szCs w:val="18"/>
          <w:color w:val="auto"/>
        </w:rPr>
      </w:pPr>
    </w:p>
    <w:p>
      <w:pPr>
        <w:ind w:left="660" w:right="180" w:firstLine="645"/>
        <w:spacing w:after="0" w:line="259" w:lineRule="auto"/>
        <w:tabs>
          <w:tab w:leader="none" w:pos="192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As of the Grant Date, the authorized capital stock of the Company shall consist of (a) 55,500 shares which are divided into the following classes: (i) 5,000 shares of “Class A Common Stock” (as defined in the Certificate of Incorporation), par value $0.001 per share; (ii) 500 shares of Class B Common Stock, par value $0.001 per share; and (b) 50,000 shares of “Preferred Stock” (as defined in the Certificate of Incorporation), par value $1,000 per share.</w:t>
      </w:r>
    </w:p>
    <w:p>
      <w:pPr>
        <w:spacing w:after="0" w:line="186" w:lineRule="exact"/>
        <w:rPr>
          <w:rFonts w:ascii="Arial" w:cs="Arial" w:eastAsia="Arial" w:hAnsi="Arial"/>
          <w:sz w:val="18"/>
          <w:szCs w:val="18"/>
          <w:color w:val="auto"/>
        </w:rPr>
      </w:pPr>
    </w:p>
    <w:p>
      <w:pPr>
        <w:ind w:right="100" w:firstLine="656"/>
        <w:spacing w:after="0" w:line="277" w:lineRule="auto"/>
        <w:tabs>
          <w:tab w:leader="none" w:pos="129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Legends on Certificates</w:t>
      </w:r>
      <w:r>
        <w:rPr>
          <w:rFonts w:ascii="Arial" w:cs="Arial" w:eastAsia="Arial" w:hAnsi="Arial"/>
          <w:sz w:val="18"/>
          <w:szCs w:val="18"/>
          <w:color w:val="auto"/>
        </w:rPr>
        <w:t>. All certificates representing shares of Company Stock shall have endorsed in writing, stamped or printed, thereon the following legend: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SECURITIES REPRESENTED BY THIS CERTIFICATE HAVE NOT BEEN REGISTERED, QUALIFIED, APPROVED OR DISAPPROVED UNDER THE SECURITIES ACT OF 1933, AS AMENDED, OR THE SECURITIES LAWS OF ANY STATE AND MAY NOT BE SOLD OR OTHERWISE DISPOSED OF EXCEPT PURSUANT TO AN EFFECTIVE REGISTRATION STATEMENT UNDER SUCH ACT AND APPLICABLE STATE SECURITIES LAWS OR AN APPLICABLE EXEMPTION TO THE REGISTRATION REQUIREMENTS OF SUCH ACT OR SUCH LAWS AND NEITHER THE UNITED STATES SECURITIES AND EXCHANGE COMMISSION NOR ANY OTHER FEDERAL OR STATE REGULATORY AUTHORITY HAS PASSED ON OR ENDORSED THE MERITS OF THESE SECURITIES. THE TRANSFER OF ANY SECURITIES REPRESENTED BY THIS CERTIFICATE IS FURTHER LIMITED BY THE PROVISIONS OF THE RESTRICTED STOCK AWARD AGREEMENT AND ALL</w:t>
      </w:r>
    </w:p>
    <w:p>
      <w:pPr>
        <w:sectPr>
          <w:pgSz w:w="11900" w:h="16894" w:orient="portrait"/>
          <w:cols w:equalWidth="0" w:num="1">
            <w:col w:w="11420"/>
          </w:cols>
          <w:pgMar w:left="240" w:top="125" w:right="239" w:bottom="0" w:gutter="0" w:footer="0" w:header="0"/>
        </w:sectPr>
      </w:pPr>
    </w:p>
    <w:bookmarkStart w:id="128" w:name="page129"/>
    <w:bookmarkEnd w:id="128"/>
    <w:p>
      <w:pPr>
        <w:ind w:right="100"/>
        <w:spacing w:after="0" w:line="277" w:lineRule="auto"/>
        <w:rPr>
          <w:sz w:val="20"/>
          <w:szCs w:val="20"/>
          <w:color w:val="auto"/>
        </w:rPr>
      </w:pPr>
      <w:r>
        <w:rPr>
          <w:rFonts w:ascii="Arial" w:cs="Arial" w:eastAsia="Arial" w:hAnsi="Arial"/>
          <w:sz w:val="18"/>
          <w:szCs w:val="18"/>
          <w:color w:val="auto"/>
        </w:rPr>
        <w:t>APPENDICES AND EXHIBITS THERETO, DATED AS JANUARY 24, 2011 AMONG REALESTATE.COM, INC. AND STEVEN OZONIAN, A COPY OF WHICH IS ON FILE AT THE EXECUTIVE OF FICES OF TREE.COM, INC.”</w:t>
      </w:r>
    </w:p>
    <w:p>
      <w:pPr>
        <w:spacing w:after="0" w:line="170" w:lineRule="exact"/>
        <w:rPr>
          <w:sz w:val="20"/>
          <w:szCs w:val="20"/>
          <w:color w:val="auto"/>
        </w:rPr>
      </w:pPr>
    </w:p>
    <w:p>
      <w:pPr>
        <w:ind w:right="40" w:firstLine="656"/>
        <w:spacing w:after="0" w:line="255" w:lineRule="auto"/>
        <w:tabs>
          <w:tab w:leader="none" w:pos="129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It is intended that this Agreement comply with Section 409A of the Code and Treasury Regulations thereunder to the extent it is subject to Section 409A, and other guidance and transition rules issued thereunder (“Section 409A”), and this Agreement will be interpreted and operated consistently with that intent. If the Company determines that any provisions of this Agreement do not comply with the requirements of Section 409A, the Company has the authority to amend this Agreement to the extent necessary (including retroactively) in order to preserve compliance with said Section 409A. The Company also has express discretionary authority to take such other actions as may be permissible to correct any failures to comply in operation with the requirements of Section 409A. Neither the Company nor you have any discretion to accelerate the timing or schedule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of any benefit payment under this Agreement that is subject to Section 409A, except as specifically provided herein or as may be permitted pursuant to Section 409A.</w:t>
      </w:r>
    </w:p>
    <w:p>
      <w:pPr>
        <w:spacing w:after="0" w:line="170" w:lineRule="exact"/>
        <w:rPr>
          <w:sz w:val="20"/>
          <w:szCs w:val="20"/>
          <w:color w:val="auto"/>
        </w:rPr>
      </w:pPr>
    </w:p>
    <w:p>
      <w:pPr>
        <w:ind w:right="200" w:firstLine="656"/>
        <w:spacing w:after="0" w:line="286" w:lineRule="auto"/>
        <w:tabs>
          <w:tab w:leader="none" w:pos="1294"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Anti-Dilution</w:t>
      </w:r>
      <w:r>
        <w:rPr>
          <w:rFonts w:ascii="Arial" w:cs="Arial" w:eastAsia="Arial" w:hAnsi="Arial"/>
          <w:sz w:val="16"/>
          <w:szCs w:val="16"/>
          <w:color w:val="auto"/>
        </w:rPr>
        <w:t>. It is intended that upon the grant of these Restricted Shares on the date hereof (assuming full vesting), you will own a 5% equity interest in the value of the Company’s common stock as determined in a liquidation. In the event that at any time after the date hereof, the Company issues additional shares of common stock at a per share value (as determined by the Company’s Board of Directors in its sole discretion) of less than that which you received in connection with the grant of the Restricted Shares on the Grant Date (a “</w:t>
      </w:r>
      <w:r>
        <w:rPr>
          <w:rFonts w:ascii="Arial" w:cs="Arial" w:eastAsia="Arial" w:hAnsi="Arial"/>
          <w:sz w:val="16"/>
          <w:szCs w:val="16"/>
          <w:u w:val="single" w:color="auto"/>
          <w:color w:val="auto"/>
        </w:rPr>
        <w:t>Triggering Grant</w:t>
      </w:r>
      <w:r>
        <w:rPr>
          <w:rFonts w:ascii="Arial" w:cs="Arial" w:eastAsia="Arial" w:hAnsi="Arial"/>
          <w:sz w:val="16"/>
          <w:szCs w:val="16"/>
          <w:color w:val="auto"/>
        </w:rPr>
        <w:t>”) but prior to the date on which you either</w:t>
      </w:r>
    </w:p>
    <w:p>
      <w:pPr>
        <w:spacing w:after="0" w:line="1" w:lineRule="exact"/>
        <w:rPr>
          <w:rFonts w:ascii="Arial" w:cs="Arial" w:eastAsia="Arial" w:hAnsi="Arial"/>
          <w:sz w:val="16"/>
          <w:szCs w:val="16"/>
          <w:color w:val="auto"/>
        </w:rPr>
      </w:pPr>
    </w:p>
    <w:p>
      <w:pPr>
        <w:ind w:right="80" w:firstLine="8"/>
        <w:spacing w:after="0" w:line="253"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become vested in your Restricted Shares , or (b) you forfeit your Restricted Shares, whichever is earlier, then, in such event, you shall be entitled to receive (i) concurrently with such new issuance for cash or property or (ii) upon vesting or exercise with regard to the issuance of restricted stock or options to a third party by the holder thereof, an additional award of Class B Common Stock (subject to the same restrictions, terms and conditions as set forth in this Restricted Stock Award Agreement (and its Appendices and Exhibits)) (the “</w:t>
      </w:r>
      <w:r>
        <w:rPr>
          <w:rFonts w:ascii="Arial" w:cs="Arial" w:eastAsia="Arial" w:hAnsi="Arial"/>
          <w:sz w:val="18"/>
          <w:szCs w:val="18"/>
          <w:u w:val="single" w:color="auto"/>
          <w:color w:val="auto"/>
        </w:rPr>
        <w:t>Anti-Dilution Award</w:t>
      </w:r>
      <w:r>
        <w:rPr>
          <w:rFonts w:ascii="Arial" w:cs="Arial" w:eastAsia="Arial" w:hAnsi="Arial"/>
          <w:sz w:val="18"/>
          <w:szCs w:val="18"/>
          <w:color w:val="auto"/>
        </w:rPr>
        <w:t>”), in an amount (rounded to the nearest whole share) determined as follows: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ARS = CRS - [CRS/([P1 * Q1] + [P2 * Q2])/(Q1 + Q2)]</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Additional Restricted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Cumulative Restricted Shares held by you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outstanding (including all restricted shares) immediately prior to such new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per share of common stock received by the Company for the new issuance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issued in the new issuance</w:t>
      </w:r>
    </w:p>
    <w:p>
      <w:pPr>
        <w:spacing w:after="0" w:line="200" w:lineRule="exact"/>
        <w:rPr>
          <w:sz w:val="20"/>
          <w:szCs w:val="20"/>
          <w:color w:val="auto"/>
        </w:rPr>
      </w:pPr>
    </w:p>
    <w:p>
      <w:pPr>
        <w:sectPr>
          <w:pgSz w:w="11900" w:h="16838" w:orient="portrait"/>
          <w:cols w:equalWidth="0" w:num="2">
            <w:col w:w="400" w:space="380"/>
            <w:col w:w="10640"/>
          </w:cols>
          <w:pgMar w:left="240" w:top="125"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Any Anti-Dilution Award shall be evidenced by a separate Restricted Stock Award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example, if 950 shares of common stock are issued and outstanding and the Company issues 100 new shares of common stock to a third party at $0.50 per share, you would be entitled to receive an additional 2 shares of Class B Common Stock determined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2.38 = 50 - [50/([$1.00 * 1,000] + [$0.50 * 100])/(1000 + 100)]</w:t>
      </w:r>
    </w:p>
    <w:p>
      <w:pPr>
        <w:spacing w:after="0" w:line="225" w:lineRule="exact"/>
        <w:rPr>
          <w:sz w:val="20"/>
          <w:szCs w:val="20"/>
          <w:color w:val="auto"/>
        </w:rPr>
      </w:pPr>
    </w:p>
    <w:p>
      <w:pPr>
        <w:ind w:firstLine="656"/>
        <w:spacing w:after="0" w:line="277" w:lineRule="auto"/>
        <w:tabs>
          <w:tab w:leader="none" w:pos="129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State of Delaware without giving effect to any choice or conflict of law principles of any jurisdiction.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Company has caused this Restricted Stock Award Agreement to be signed, as of this 24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January, 2011.</w:t>
      </w:r>
    </w:p>
    <w:p>
      <w:pPr>
        <w:spacing w:after="0" w:line="1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REALESTATE.COM,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Douglas R. Lebda,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Steven Ozonian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January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Restrictions</w:t>
      </w:r>
    </w:p>
    <w:p>
      <w:pPr>
        <w:sectPr>
          <w:pgSz w:w="11900" w:h="16838" w:orient="portrait"/>
          <w:cols w:equalWidth="0" w:num="1">
            <w:col w:w="11420"/>
          </w:cols>
          <w:pgMar w:left="240" w:top="125" w:right="239" w:bottom="0" w:gutter="0" w:footer="0" w:header="0"/>
          <w:type w:val="continuous"/>
        </w:sectPr>
      </w:pPr>
    </w:p>
    <w:bookmarkStart w:id="129" w:name="page130"/>
    <w:bookmarkEnd w:id="129"/>
    <w:p>
      <w:pPr>
        <w:ind w:right="280" w:firstLine="648"/>
        <w:spacing w:after="0" w:line="277" w:lineRule="auto"/>
        <w:rPr>
          <w:sz w:val="20"/>
          <w:szCs w:val="20"/>
          <w:color w:val="auto"/>
        </w:rPr>
      </w:pPr>
      <w:r>
        <w:rPr>
          <w:rFonts w:ascii="Arial" w:cs="Arial" w:eastAsia="Arial" w:hAnsi="Arial"/>
          <w:sz w:val="18"/>
          <w:szCs w:val="18"/>
          <w:color w:val="auto"/>
        </w:rPr>
        <w:t>For purposes of this Appendix A, all capitalized terms not defined herein shall have the meanings assigned to them in the Restricted Stock Award Agreement between you and RealEstate.com (the “</w:t>
      </w:r>
      <w:r>
        <w:rPr>
          <w:rFonts w:ascii="Arial" w:cs="Arial" w:eastAsia="Arial" w:hAnsi="Arial"/>
          <w:sz w:val="18"/>
          <w:szCs w:val="18"/>
          <w:u w:val="single" w:color="auto"/>
          <w:color w:val="auto"/>
        </w:rPr>
        <w:t>Company</w:t>
      </w:r>
      <w:r>
        <w:rPr>
          <w:rFonts w:ascii="Arial" w:cs="Arial" w:eastAsia="Arial" w:hAnsi="Arial"/>
          <w:sz w:val="18"/>
          <w:szCs w:val="18"/>
          <w:color w:val="auto"/>
        </w:rPr>
        <w:t>”), dated January 24, 2011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TRANSFER RESTRICTIONS ON SHARES</w:t>
      </w:r>
      <w:r>
        <w:rPr>
          <w:rFonts w:ascii="Arial" w:cs="Arial" w:eastAsia="Arial" w:hAnsi="Arial"/>
          <w:sz w:val="18"/>
          <w:szCs w:val="18"/>
          <w:b w:val="1"/>
          <w:bCs w:val="1"/>
          <w:color w:val="auto"/>
        </w:rPr>
        <w:t>.</w:t>
      </w:r>
    </w:p>
    <w:p>
      <w:pPr>
        <w:spacing w:after="0" w:line="229" w:lineRule="exact"/>
        <w:rPr>
          <w:sz w:val="20"/>
          <w:szCs w:val="20"/>
          <w:color w:val="auto"/>
        </w:rPr>
      </w:pPr>
    </w:p>
    <w:p>
      <w:pPr>
        <w:ind w:left="740" w:right="20" w:firstLine="646"/>
        <w:spacing w:after="0" w:line="273" w:lineRule="auto"/>
        <w:tabs>
          <w:tab w:leader="none" w:pos="1702"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You may not sell, offer, assign, pledge, transfer or otherwise dispose of any interest in any Restricted Shares or shares of the Company’s Class B Common Stock (collectively, “</w:t>
      </w:r>
      <w:r>
        <w:rPr>
          <w:rFonts w:ascii="Arial" w:cs="Arial" w:eastAsia="Arial" w:hAnsi="Arial"/>
          <w:sz w:val="17"/>
          <w:szCs w:val="17"/>
          <w:u w:val="single" w:color="auto"/>
          <w:color w:val="auto"/>
        </w:rPr>
        <w:t>Shares</w:t>
      </w:r>
      <w:r>
        <w:rPr>
          <w:rFonts w:ascii="Arial" w:cs="Arial" w:eastAsia="Arial" w:hAnsi="Arial"/>
          <w:sz w:val="17"/>
          <w:szCs w:val="17"/>
          <w:color w:val="auto"/>
        </w:rPr>
        <w:t>”) (whether with or without consideration and whether voluntarily or involuntarily or by operation of law) (“</w:t>
      </w:r>
      <w:r>
        <w:rPr>
          <w:rFonts w:ascii="Arial" w:cs="Arial" w:eastAsia="Arial" w:hAnsi="Arial"/>
          <w:sz w:val="17"/>
          <w:szCs w:val="17"/>
          <w:u w:val="single" w:color="auto"/>
          <w:color w:val="auto"/>
        </w:rPr>
        <w:t>Sell</w:t>
      </w:r>
      <w:r>
        <w:rPr>
          <w:rFonts w:ascii="Arial" w:cs="Arial" w:eastAsia="Arial" w:hAnsi="Arial"/>
          <w:sz w:val="17"/>
          <w:szCs w:val="17"/>
          <w:color w:val="auto"/>
        </w:rPr>
        <w:t>”, “</w:t>
      </w:r>
      <w:r>
        <w:rPr>
          <w:rFonts w:ascii="Arial" w:cs="Arial" w:eastAsia="Arial" w:hAnsi="Arial"/>
          <w:sz w:val="17"/>
          <w:szCs w:val="17"/>
          <w:u w:val="single" w:color="auto"/>
          <w:color w:val="auto"/>
        </w:rPr>
        <w:t>Sale</w:t>
      </w:r>
      <w:r>
        <w:rPr>
          <w:rFonts w:ascii="Arial" w:cs="Arial" w:eastAsia="Arial" w:hAnsi="Arial"/>
          <w:sz w:val="17"/>
          <w:szCs w:val="17"/>
          <w:color w:val="auto"/>
        </w:rPr>
        <w:t>”, or “</w:t>
      </w:r>
      <w:r>
        <w:rPr>
          <w:rFonts w:ascii="Arial" w:cs="Arial" w:eastAsia="Arial" w:hAnsi="Arial"/>
          <w:sz w:val="17"/>
          <w:szCs w:val="17"/>
          <w:u w:val="single" w:color="auto"/>
          <w:color w:val="auto"/>
        </w:rPr>
        <w:t>Sold</w:t>
      </w:r>
      <w:r>
        <w:rPr>
          <w:rFonts w:ascii="Arial" w:cs="Arial" w:eastAsia="Arial" w:hAnsi="Arial"/>
          <w:sz w:val="17"/>
          <w:szCs w:val="17"/>
          <w:color w:val="auto"/>
        </w:rPr>
        <w:t>”), except pursuant to (i)(A) any Sale of Shares to the public pursuant to an underwritten offering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to the public through a broker, dealer or market maker pursuant to the provisions of Rule 144 adopted under the Secur ities Act (a “</w:t>
      </w:r>
      <w:r>
        <w:rPr>
          <w:rFonts w:ascii="Arial" w:cs="Arial" w:eastAsia="Arial" w:hAnsi="Arial"/>
          <w:sz w:val="17"/>
          <w:szCs w:val="17"/>
          <w:u w:val="single" w:color="auto"/>
          <w:color w:val="auto"/>
        </w:rPr>
        <w:t>Public Offering</w:t>
      </w:r>
      <w:r>
        <w:rPr>
          <w:rFonts w:ascii="Arial" w:cs="Arial" w:eastAsia="Arial" w:hAnsi="Arial"/>
          <w:sz w:val="17"/>
          <w:szCs w:val="17"/>
          <w:color w:val="auto"/>
        </w:rPr>
        <w:t xml:space="preserve">”), or (B) the provisions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(ii) your Restricted Shares has become fully vested in accordance with this Agreement.</w:t>
      </w:r>
    </w:p>
    <w:p>
      <w:pPr>
        <w:spacing w:after="0" w:line="178" w:lineRule="exact"/>
        <w:rPr>
          <w:rFonts w:ascii="Arial" w:cs="Arial" w:eastAsia="Arial" w:hAnsi="Arial"/>
          <w:sz w:val="17"/>
          <w:szCs w:val="17"/>
          <w:color w:val="auto"/>
        </w:rPr>
      </w:pPr>
    </w:p>
    <w:p>
      <w:pPr>
        <w:ind w:left="740" w:right="40" w:firstLine="646"/>
        <w:spacing w:after="0" w:line="273" w:lineRule="auto"/>
        <w:tabs>
          <w:tab w:leader="none" w:pos="171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Permitted Transfers</w:t>
      </w:r>
      <w:r>
        <w:rPr>
          <w:rFonts w:ascii="Arial" w:cs="Arial" w:eastAsia="Arial" w:hAnsi="Arial"/>
          <w:sz w:val="17"/>
          <w:szCs w:val="17"/>
          <w:color w:val="auto"/>
        </w:rPr>
        <w:t xml:space="preserve">. Subject to the terms of this Agreement, you may Sell all or a portion of your Shares without abiding by the requirements set forth in Section 1(c)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below to any Permitted Transferee (as defined below); however, as a condition to any Sale pursuant to this Section 1(b)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the Permitted Transferee must agree in writing that it shall be subject to and bound by the provisions of this Agreement. Notwithstanding the foregoing, you may not avoid the provisions of this Agreement by making one or more Sales to Permitted Transferees and then disposing of all or any portion of such party’s interest in any such Permitted Transferee or e ffecting any other material change in ownership of such Permitted Transferee. For purposes of this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960" w:firstLine="641"/>
        <w:spacing w:after="0" w:line="255" w:lineRule="auto"/>
        <w:tabs>
          <w:tab w:leader="none" w:pos="32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means: (1) your spouse, parent, descendant or sibling, if you retain voting control of such Shares, or (2) any trust for your benefit or the benefit of your spouse, children and/or lineal descendants, provided that you act as trustee and retain the sole power to direct the voting and disposition of any Shares held by such trust;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both circumstances no Shares may be transferred to a minor except in trust or pursuant to the Uniform Gifts to Minors Act. If you transfer some or all of your Shares to a Permitted Transferee you shall be referred to herein, as such Permitted Transferee’s “</w:t>
      </w:r>
      <w:r>
        <w:rPr>
          <w:rFonts w:ascii="Arial" w:cs="Arial" w:eastAsia="Arial" w:hAnsi="Arial"/>
          <w:sz w:val="18"/>
          <w:szCs w:val="18"/>
          <w:u w:val="single" w:color="auto"/>
          <w:color w:val="auto"/>
        </w:rPr>
        <w:t>Employee Transferor</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960" w:right="180" w:firstLine="641"/>
        <w:spacing w:after="0" w:line="308" w:lineRule="auto"/>
        <w:tabs>
          <w:tab w:leader="none" w:pos="3249"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u w:val="single" w:color="auto"/>
          <w:color w:val="auto"/>
        </w:rPr>
        <w:t>Affiliate</w:t>
      </w:r>
      <w:r>
        <w:rPr>
          <w:rFonts w:ascii="Arial" w:cs="Arial" w:eastAsia="Arial" w:hAnsi="Arial"/>
          <w:sz w:val="17"/>
          <w:szCs w:val="17"/>
          <w:color w:val="auto"/>
        </w:rPr>
        <w:t>” of a Person means any stockholder, partner, member or other equity owner of such Person or any other Person directly or indirectly controlling, controlled by or under common control with such Person;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960" w:right="280" w:firstLine="641"/>
        <w:spacing w:after="0" w:line="264" w:lineRule="auto"/>
        <w:tabs>
          <w:tab w:leader="none" w:pos="3261"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81" w:lineRule="exact"/>
        <w:rPr>
          <w:rFonts w:ascii="Arial" w:cs="Arial" w:eastAsia="Arial" w:hAnsi="Arial"/>
          <w:sz w:val="18"/>
          <w:szCs w:val="18"/>
          <w:color w:val="auto"/>
        </w:rPr>
      </w:pPr>
    </w:p>
    <w:p>
      <w:pPr>
        <w:ind w:left="1700" w:hanging="314"/>
        <w:spacing w:after="0"/>
        <w:tabs>
          <w:tab w:leader="none" w:pos="17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60" w:firstLine="641"/>
        <w:spacing w:after="0" w:line="259" w:lineRule="auto"/>
        <w:tabs>
          <w:tab w:leader="none" w:pos="323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Offer to Sell Shares</w:t>
      </w:r>
      <w:r>
        <w:rPr>
          <w:rFonts w:ascii="Arial" w:cs="Arial" w:eastAsia="Arial" w:hAnsi="Arial"/>
          <w:sz w:val="18"/>
          <w:szCs w:val="18"/>
          <w:color w:val="auto"/>
        </w:rPr>
        <w:t xml:space="preserve">. Except as provided in Section 1(a)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1(b)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above, if you (hereinafter referred to as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shall desire to voluntarily or involuntarily Sell all or any of your Shares, you must first receive a bona fide written offer from a third party prospective purchaser to purchase such Shares and then deliver to the Company a written notice (“</w:t>
      </w:r>
      <w:r>
        <w:rPr>
          <w:rFonts w:ascii="Arial" w:cs="Arial" w:eastAsia="Arial" w:hAnsi="Arial"/>
          <w:sz w:val="18"/>
          <w:szCs w:val="18"/>
          <w:u w:val="single" w:color="auto"/>
          <w:color w:val="auto"/>
        </w:rPr>
        <w:t>ROFR Notice</w:t>
      </w:r>
      <w:r>
        <w:rPr>
          <w:rFonts w:ascii="Arial" w:cs="Arial" w:eastAsia="Arial" w:hAnsi="Arial"/>
          <w:sz w:val="18"/>
          <w:szCs w:val="18"/>
          <w:color w:val="auto"/>
        </w:rPr>
        <w:t>”) containing the following information:</w:t>
      </w:r>
    </w:p>
    <w:p>
      <w:pPr>
        <w:spacing w:after="0" w:line="187" w:lineRule="exact"/>
        <w:rPr>
          <w:sz w:val="20"/>
          <w:szCs w:val="20"/>
          <w:color w:val="auto"/>
        </w:rPr>
      </w:pPr>
    </w:p>
    <w:p>
      <w:pPr>
        <w:ind w:left="3240" w:hanging="639"/>
        <w:spacing w:after="0"/>
        <w:tabs>
          <w:tab w:leader="none" w:pos="3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name and address of the prospective purchaser of such Shares;</w:t>
      </w:r>
    </w:p>
    <w:p>
      <w:pPr>
        <w:spacing w:after="0" w:line="23" w:lineRule="exact"/>
        <w:rPr>
          <w:rFonts w:ascii="Arial" w:cs="Arial" w:eastAsia="Arial" w:hAnsi="Arial"/>
          <w:sz w:val="18"/>
          <w:szCs w:val="18"/>
          <w:color w:val="auto"/>
        </w:rPr>
      </w:pPr>
    </w:p>
    <w:p>
      <w:pPr>
        <w:ind w:left="3260" w:hanging="659"/>
        <w:spacing w:after="0"/>
        <w:tabs>
          <w:tab w:leader="none" w:pos="3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that the Selling Stockholder desires to Sell;</w:t>
      </w:r>
    </w:p>
    <w:p>
      <w:pPr>
        <w:spacing w:after="0" w:line="9" w:lineRule="exact"/>
        <w:rPr>
          <w:rFonts w:ascii="Arial" w:cs="Arial" w:eastAsia="Arial" w:hAnsi="Arial"/>
          <w:sz w:val="18"/>
          <w:szCs w:val="18"/>
          <w:color w:val="auto"/>
        </w:rPr>
      </w:pPr>
    </w:p>
    <w:p>
      <w:pPr>
        <w:ind w:left="3260" w:hanging="659"/>
        <w:spacing w:after="0"/>
        <w:tabs>
          <w:tab w:leader="none" w:pos="3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price being offered to the Selling Stockholder and the terms of payment and any other terms and conditions</w:t>
      </w:r>
    </w:p>
    <w:p>
      <w:pPr>
        <w:spacing w:after="0" w:line="32"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of such offer; and</w:t>
      </w:r>
    </w:p>
    <w:p>
      <w:pPr>
        <w:spacing w:after="0" w:line="9" w:lineRule="exact"/>
        <w:rPr>
          <w:rFonts w:ascii="Arial" w:cs="Arial" w:eastAsia="Arial" w:hAnsi="Arial"/>
          <w:sz w:val="16"/>
          <w:szCs w:val="16"/>
          <w:color w:val="auto"/>
        </w:rPr>
      </w:pPr>
    </w:p>
    <w:p>
      <w:pPr>
        <w:ind w:left="1960" w:right="340" w:firstLine="641"/>
        <w:spacing w:after="0" w:line="261" w:lineRule="auto"/>
        <w:tabs>
          <w:tab w:leader="none" w:pos="3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proposed closing date for the transaction, which shall be not less than 60 nor more than 90 days after the date of delivery of the ROFR Notice.</w:t>
      </w:r>
    </w:p>
    <w:p>
      <w:pPr>
        <w:spacing w:after="0" w:line="184" w:lineRule="exact"/>
        <w:rPr>
          <w:sz w:val="20"/>
          <w:szCs w:val="20"/>
          <w:color w:val="auto"/>
        </w:rPr>
      </w:pPr>
    </w:p>
    <w:p>
      <w:pPr>
        <w:ind w:left="660" w:right="60" w:firstLine="648"/>
        <w:spacing w:after="0" w:line="255" w:lineRule="auto"/>
        <w:rPr>
          <w:sz w:val="20"/>
          <w:szCs w:val="20"/>
          <w:color w:val="auto"/>
        </w:rPr>
      </w:pPr>
      <w:r>
        <w:rPr>
          <w:rFonts w:ascii="Arial" w:cs="Arial" w:eastAsia="Arial" w:hAnsi="Arial"/>
          <w:sz w:val="18"/>
          <w:szCs w:val="18"/>
          <w:color w:val="auto"/>
        </w:rPr>
        <w:t>For a period of 30 days after the giving of the ROFR Notice by the Selling Stockholder, the Company shall have the option, exercisable in whole or in part by notice in writing to the Selling Stockholder, to purchase all or any portion of the Shares that are proposed to be Sold, at the lesser of: (1) the price and upon the terms and conditions set forth in the ROFR Notice; or (2</w:t>
      </w:r>
      <w:r>
        <w:rPr>
          <w:rFonts w:ascii="Arial" w:cs="Arial" w:eastAsia="Arial" w:hAnsi="Arial"/>
          <w:sz w:val="18"/>
          <w:szCs w:val="18"/>
          <w:b w:val="1"/>
          <w:bCs w:val="1"/>
          <w:color w:val="auto"/>
        </w:rPr>
        <w:t>)</w:t>
      </w:r>
      <w:r>
        <w:rPr>
          <w:rFonts w:ascii="Arial" w:cs="Arial" w:eastAsia="Arial" w:hAnsi="Arial"/>
          <w:sz w:val="18"/>
          <w:szCs w:val="18"/>
          <w:color w:val="auto"/>
        </w:rPr>
        <w:t xml:space="preserve"> the per-share Purchase Price determined pursuant to Section 14 of the Agreement multiplied by the number of Shares to be purchased by the Company. The decision to exercise such option, and action on such option may be taken by the majority of the members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(exclusive of the Selling Stockholder). A failure by the Company to give written notice of exercise during such period shall be deemed a rejection by the Compa ny of its option to purchase.</w:t>
      </w:r>
    </w:p>
    <w:p>
      <w:pPr>
        <w:spacing w:after="0" w:line="189" w:lineRule="exact"/>
        <w:rPr>
          <w:sz w:val="20"/>
          <w:szCs w:val="20"/>
          <w:color w:val="auto"/>
        </w:rPr>
      </w:pPr>
    </w:p>
    <w:p>
      <w:pPr>
        <w:ind w:left="1960" w:right="60" w:firstLine="641"/>
        <w:spacing w:after="0" w:line="257" w:lineRule="auto"/>
        <w:tabs>
          <w:tab w:leader="none" w:pos="324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Non-Cash Consideration for Shares</w:t>
      </w:r>
      <w:r>
        <w:rPr>
          <w:rFonts w:ascii="Arial" w:cs="Arial" w:eastAsia="Arial" w:hAnsi="Arial"/>
          <w:sz w:val="18"/>
          <w:szCs w:val="18"/>
          <w:color w:val="auto"/>
        </w:rPr>
        <w:t>. If any consideration to be received by a Selling Stockholder from a prospective purchaser of its Shares consists of property other than cash, then the Company, if it exercises its option to purchase the Selling Stockholder’s Shares, may deliver to the Selling Stockholder, in payment of the non-cash portion of the purchase price for the Shares proposed to be Sold, an amount of cash equal to the fair market value of the non-cash consideration that has been offered to the Selling Stockholder. For purposes hereof, the “</w:t>
      </w:r>
      <w:r>
        <w:rPr>
          <w:rFonts w:ascii="Arial" w:cs="Arial" w:eastAsia="Arial" w:hAnsi="Arial"/>
          <w:sz w:val="18"/>
          <w:szCs w:val="18"/>
          <w:u w:val="single" w:color="auto"/>
          <w:color w:val="auto"/>
        </w:rPr>
        <w:t>fair market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60"/>
        <w:spacing w:after="0" w:line="293" w:lineRule="auto"/>
        <w:rPr>
          <w:sz w:val="20"/>
          <w:szCs w:val="20"/>
          <w:color w:val="auto"/>
        </w:rPr>
      </w:pPr>
      <w:r>
        <w:rPr>
          <w:rFonts w:ascii="Arial" w:cs="Arial" w:eastAsia="Arial" w:hAnsi="Arial"/>
          <w:sz w:val="16"/>
          <w:szCs w:val="16"/>
          <w:u w:val="single" w:color="auto"/>
          <w:color w:val="auto"/>
        </w:rPr>
        <w:t>value</w:t>
      </w:r>
      <w:r>
        <w:rPr>
          <w:rFonts w:ascii="Arial" w:cs="Arial" w:eastAsia="Arial" w:hAnsi="Arial"/>
          <w:sz w:val="16"/>
          <w:szCs w:val="16"/>
          <w:color w:val="auto"/>
        </w:rPr>
        <w:t xml:space="preserve">” of non-cash consideration shall in each case be agreed upon by the Selling Stockholder and the Company as provided in this Agreement, or, in the absence of such agreement, such “fair market value” shall be determined by an appraisal thereof by three independent qualified appraisers, one being selected by the Company, and the third appraiser being selected by the two appraisers thus chosen. The cost of any such appraisal shall be borne equally by the parties to the appraisal proceeding. Any closing provided for herein may be extended for such reasonable period of time as may be necessary in order for a required appraisal to be completed. In the event of an appraisal pursuant to this Section 1(c)(ii) of </w:t>
      </w:r>
      <w:r>
        <w:rPr>
          <w:rFonts w:ascii="Arial" w:cs="Arial" w:eastAsia="Arial" w:hAnsi="Arial"/>
          <w:sz w:val="16"/>
          <w:szCs w:val="16"/>
          <w:u w:val="single" w:color="auto"/>
          <w:color w:val="auto"/>
        </w:rPr>
        <w:t>Appendix A</w:t>
      </w:r>
      <w:r>
        <w:rPr>
          <w:rFonts w:ascii="Arial" w:cs="Arial" w:eastAsia="Arial" w:hAnsi="Arial"/>
          <w:sz w:val="16"/>
          <w:szCs w:val="16"/>
          <w:color w:val="auto"/>
        </w:rPr>
        <w:t>, the parties agree to be bound thereby.</w:t>
      </w:r>
    </w:p>
    <w:p>
      <w:pPr>
        <w:sectPr>
          <w:pgSz w:w="11900" w:h="16838" w:orient="portrait"/>
          <w:cols w:equalWidth="0" w:num="1">
            <w:col w:w="11420"/>
          </w:cols>
          <w:pgMar w:left="240" w:top="125" w:right="239" w:bottom="0" w:gutter="0" w:footer="0" w:header="0"/>
        </w:sectPr>
      </w:pPr>
    </w:p>
    <w:bookmarkStart w:id="130" w:name="page131"/>
    <w:bookmarkEnd w:id="130"/>
    <w:p>
      <w:pPr>
        <w:ind w:left="1960" w:right="400" w:firstLine="641"/>
        <w:spacing w:after="0" w:line="312" w:lineRule="auto"/>
        <w:tabs>
          <w:tab w:leader="none" w:pos="326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Closings</w:t>
      </w:r>
      <w:r>
        <w:rPr>
          <w:rFonts w:ascii="Arial" w:cs="Arial" w:eastAsia="Arial" w:hAnsi="Arial"/>
          <w:sz w:val="16"/>
          <w:szCs w:val="16"/>
          <w:color w:val="auto"/>
        </w:rPr>
        <w:t xml:space="preserve">. If the Company exercises its option to purchase granted in this Section 1 of </w:t>
      </w:r>
      <w:r>
        <w:rPr>
          <w:rFonts w:ascii="Arial" w:cs="Arial" w:eastAsia="Arial" w:hAnsi="Arial"/>
          <w:sz w:val="16"/>
          <w:szCs w:val="16"/>
          <w:u w:val="single" w:color="auto"/>
          <w:color w:val="auto"/>
        </w:rPr>
        <w:t>Appendix A</w:t>
      </w:r>
      <w:r>
        <w:rPr>
          <w:rFonts w:ascii="Arial" w:cs="Arial" w:eastAsia="Arial" w:hAnsi="Arial"/>
          <w:sz w:val="16"/>
          <w:szCs w:val="16"/>
          <w:color w:val="auto"/>
        </w:rPr>
        <w:t>, then the closing of the purchase and sale transaction shall be held at the principal office of the Company on a date designated by the Company, which date in no event shall be later than 90 days after the Selling Stockholder gives the ROFR Notice.</w:t>
      </w:r>
    </w:p>
    <w:p>
      <w:pPr>
        <w:spacing w:after="0" w:line="146" w:lineRule="exact"/>
        <w:rPr>
          <w:rFonts w:ascii="Arial" w:cs="Arial" w:eastAsia="Arial" w:hAnsi="Arial"/>
          <w:sz w:val="16"/>
          <w:szCs w:val="16"/>
          <w:color w:val="auto"/>
        </w:rPr>
      </w:pPr>
    </w:p>
    <w:p>
      <w:pPr>
        <w:ind w:left="1960" w:firstLine="641"/>
        <w:spacing w:after="0" w:line="270" w:lineRule="auto"/>
        <w:tabs>
          <w:tab w:leader="none" w:pos="325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Right to Transfer</w:t>
      </w:r>
      <w:r>
        <w:rPr>
          <w:rFonts w:ascii="Arial" w:cs="Arial" w:eastAsia="Arial" w:hAnsi="Arial"/>
          <w:sz w:val="17"/>
          <w:szCs w:val="17"/>
          <w:color w:val="auto"/>
        </w:rPr>
        <w:t xml:space="preserve">. If the Company does not elect to purchase all the Shares that a Selling Stockholder desires to Sell, for a period of 90 days from the earlier of the date of any closing pursuant to Section 1(c)(iv)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or the expiration of the last option provided for in this Section 1(c)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the Selling Stockholder shall have the right to Sell the Shares covered by the bona fide offer to the prospective purchaser named in the ROFR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Sale is made in strict accordance with the terms of sale set forth in the ROFR Notice and this Section 1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In ad dition, as a condition to any such Sale, the purchaser of the Shares must agree in writing that it shall be subject to and bound by the provisions of this Agreement. In the event that the Sale of the unsold portion of the Shares covered by the bona fide offer is not consummated within such 90 day period, then the Selling Stockholder’s right to Sell such Shares shall be deemed to lapse, and any Sale of such Shares without additional notice to the Company and full compliance again with the provisions of this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be deemed to be in violation of the provisions of this Agreement.</w:t>
      </w:r>
    </w:p>
    <w:p>
      <w:pPr>
        <w:spacing w:after="0" w:line="177" w:lineRule="exact"/>
        <w:rPr>
          <w:rFonts w:ascii="Arial" w:cs="Arial" w:eastAsia="Arial" w:hAnsi="Arial"/>
          <w:sz w:val="17"/>
          <w:szCs w:val="17"/>
          <w:color w:val="auto"/>
        </w:rPr>
      </w:pPr>
    </w:p>
    <w:p>
      <w:pPr>
        <w:ind w:left="1960" w:right="160" w:firstLine="641"/>
        <w:spacing w:after="0" w:line="279" w:lineRule="auto"/>
        <w:tabs>
          <w:tab w:leader="none" w:pos="323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Prohibited Transfers Void</w:t>
      </w:r>
      <w:r>
        <w:rPr>
          <w:rFonts w:ascii="Arial" w:cs="Arial" w:eastAsia="Arial" w:hAnsi="Arial"/>
          <w:sz w:val="17"/>
          <w:szCs w:val="17"/>
          <w:color w:val="auto"/>
        </w:rPr>
        <w:t>. Any purported Sale of Shares in violation of this Agreement shall be void and shall not transfer any interest or title to any Shares to the purported transferee. The Company shall not be required to transfer on its books any Shares Sold or transferred in violation of any of the provisions set forth in this Agreement or to treat as owner of those Shares or to pay dividends to any transferee to whom any of those Shares shall have been so Sold.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TRANFERS, FUTURE SALES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Prior to you transferring any Shares (other than pursuant to an Approved Sale or Public Offering) to any Person, you shall cause the prospective stockholder or transferee to be bound by this Agreement and to execute and deliver to the Company a counterpart signature page to this Agreement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Such prospective stockholder or transferee of Shares held by you shall be deemed to be a stockholder of the Company hereunder from and after the date such prospective stockholder or transferee executes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TERMINATION OF TRANSFER RESTRICTIONS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restrictions set forth in this Appendix A shall cease to apply following the consummation of a Public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24,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REALESTATE.COM,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STEVEN OZONIAN</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The undersigned hereby executes the Restricted Stock Award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authorizes this Signature Page to be attached as a counterpart of the Agreement, and hereby agrees to be bound by the Agreement; and this Signature Page, together with the Signature Pages of RealEstate.com, Inc. shall constitute counterpart copies of the Agreement in accordance with the terms of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If an entity: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Stockholder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If an individual:</w:t>
      </w:r>
    </w:p>
    <w:p>
      <w:pPr>
        <w:spacing w:after="0" w:line="200" w:lineRule="exact"/>
        <w:rPr>
          <w:sz w:val="20"/>
          <w:szCs w:val="20"/>
          <w:color w:val="auto"/>
        </w:rPr>
      </w:pPr>
    </w:p>
    <w:p>
      <w:pPr>
        <w:spacing w:after="0" w:line="236" w:lineRule="exact"/>
        <w:rPr>
          <w:sz w:val="20"/>
          <w:szCs w:val="20"/>
          <w:color w:val="auto"/>
        </w:rPr>
      </w:pPr>
    </w:p>
    <w:tbl>
      <w:tblPr>
        <w:tblLayout w:type="fixed"/>
        <w:tblInd w:w="5720" w:type="dxa"/>
        <w:tblCellMar>
          <w:top w:w="0" w:type="dxa"/>
          <w:left w:w="0" w:type="dxa"/>
          <w:bottom w:w="0" w:type="dxa"/>
          <w:right w:w="0" w:type="dxa"/>
        </w:tblCellMar>
      </w:tblPr>
      <w:tr>
        <w:trPr>
          <w:trHeight w:val="244"/>
        </w:trPr>
        <w:tc>
          <w:tcPr>
            <w:tcW w:w="1620" w:type="dxa"/>
            <w:vAlign w:val="bottom"/>
            <w:tcBorders>
              <w:top w:val="single" w:sz="8" w:color="auto"/>
            </w:tcBorders>
          </w:tcPr>
          <w:p>
            <w:pPr>
              <w:spacing w:after="0"/>
              <w:rPr>
                <w:sz w:val="21"/>
                <w:szCs w:val="21"/>
                <w:color w:val="auto"/>
              </w:rPr>
            </w:pPr>
          </w:p>
        </w:tc>
        <w:tc>
          <w:tcPr>
            <w:tcW w:w="408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Steven Ozonian</w:t>
            </w:r>
          </w:p>
        </w:tc>
      </w:tr>
      <w:tr>
        <w:trPr>
          <w:trHeight w:val="404"/>
        </w:trPr>
        <w:tc>
          <w:tcPr>
            <w:tcW w:w="1620" w:type="dxa"/>
            <w:vAlign w:val="bottom"/>
          </w:tcPr>
          <w:p>
            <w:pPr>
              <w:ind w:left="700"/>
              <w:spacing w:after="0"/>
              <w:rPr>
                <w:sz w:val="20"/>
                <w:szCs w:val="20"/>
                <w:color w:val="auto"/>
              </w:rPr>
            </w:pPr>
            <w:r>
              <w:rPr>
                <w:rFonts w:ascii="Arial" w:cs="Arial" w:eastAsia="Arial" w:hAnsi="Arial"/>
                <w:sz w:val="18"/>
                <w:szCs w:val="18"/>
                <w:color w:val="auto"/>
              </w:rPr>
              <w:t>Address:</w:t>
            </w:r>
          </w:p>
        </w:tc>
        <w:tc>
          <w:tcPr>
            <w:tcW w:w="4080" w:type="dxa"/>
            <w:vAlign w:val="bottom"/>
          </w:tcPr>
          <w:p>
            <w:pPr>
              <w:ind w:left="280"/>
              <w:spacing w:after="0"/>
              <w:rPr>
                <w:sz w:val="20"/>
                <w:szCs w:val="20"/>
                <w:color w:val="auto"/>
              </w:rPr>
            </w:pPr>
            <w:r>
              <w:rPr>
                <w:rFonts w:ascii="Arial" w:cs="Arial" w:eastAsia="Arial" w:hAnsi="Arial"/>
                <w:sz w:val="18"/>
                <w:szCs w:val="18"/>
                <w:color w:val="auto"/>
              </w:rPr>
              <w:t>50 Vista Del Sol</w:t>
            </w:r>
          </w:p>
        </w:tc>
      </w:tr>
      <w:tr>
        <w:trPr>
          <w:trHeight w:val="230"/>
        </w:trPr>
        <w:tc>
          <w:tcPr>
            <w:tcW w:w="162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Laguna Beach, CA 92651</w:t>
            </w:r>
          </w:p>
        </w:tc>
      </w:tr>
    </w:tbl>
    <w:p>
      <w:pPr>
        <w:spacing w:after="0" w:line="200" w:lineRule="exact"/>
        <w:rPr>
          <w:sz w:val="20"/>
          <w:szCs w:val="20"/>
          <w:color w:val="auto"/>
        </w:rPr>
      </w:pPr>
    </w:p>
    <w:p>
      <w:pPr>
        <w:sectPr>
          <w:pgSz w:w="11900" w:h="16838" w:orient="portrait"/>
          <w:cols w:equalWidth="0" w:num="1">
            <w:col w:w="11420"/>
          </w:cols>
          <w:pgMar w:left="240" w:top="125" w:right="239" w:bottom="56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68" w:gutter="0" w:footer="0" w:header="0"/>
          <w:type w:val="continuous"/>
        </w:sectPr>
      </w:pPr>
    </w:p>
    <w:bookmarkStart w:id="131" w:name="page132"/>
    <w:bookmarkEnd w:id="131"/>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800" w:type="dxa"/>
            <w:vAlign w:val="bottom"/>
            <w:gridSpan w:val="3"/>
          </w:tcPr>
          <w:p>
            <w:pPr>
              <w:ind w:left="600"/>
              <w:spacing w:after="0"/>
              <w:rPr>
                <w:sz w:val="20"/>
                <w:szCs w:val="20"/>
                <w:color w:val="auto"/>
              </w:rPr>
            </w:pPr>
            <w:r>
              <w:rPr>
                <w:rFonts w:ascii="Arial" w:cs="Arial" w:eastAsia="Arial" w:hAnsi="Arial"/>
                <w:sz w:val="18"/>
                <w:szCs w:val="18"/>
                <w:b w:val="1"/>
                <w:bCs w:val="1"/>
                <w:color w:val="auto"/>
              </w:rPr>
              <w:t>SUBSIDIARIES OF TREE.COM, INC.</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7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Formation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Holdings Corp.</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LendingTree, LLC</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Tree BU Holding Company, Inc.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Tree Insurance Agency, Inc.</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Tree Home Services, Inc.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Home Loan Center, Inc.</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HLC Escrow, Inc.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HLC Settlement Services, Inc.</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Settlement Services, LLC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LendingTree Alabama Title Services, LLC</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Realestate.com, Inc.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LT Real Estate, Inc.</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RealEstate.com Oregon, LLC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Robin Acquisition Corp.</w:t>
            </w:r>
          </w:p>
        </w:tc>
        <w:tc>
          <w:tcPr>
            <w:tcW w:w="67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iNest Realty, Inc.</w:t>
            </w:r>
          </w:p>
        </w:tc>
        <w:tc>
          <w:tcPr>
            <w:tcW w:w="6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iNest Realty Minnesota, Inc.</w:t>
            </w:r>
          </w:p>
        </w:tc>
        <w:tc>
          <w:tcPr>
            <w:tcW w:w="67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MN</w:t>
            </w:r>
          </w:p>
        </w:tc>
        <w:tc>
          <w:tcPr>
            <w:tcW w:w="0" w:type="dxa"/>
            <w:vAlign w:val="bottom"/>
          </w:tcPr>
          <w:p>
            <w:pPr>
              <w:spacing w:after="0"/>
              <w:rPr>
                <w:sz w:val="1"/>
                <w:szCs w:val="1"/>
                <w:color w:val="auto"/>
              </w:rPr>
            </w:pPr>
          </w:p>
        </w:tc>
      </w:tr>
      <w:tr>
        <w:trPr>
          <w:trHeight w:val="98"/>
        </w:trPr>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67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QuickLinks</w:t>
      </w:r>
    </w:p>
    <w:p>
      <w:pPr>
        <w:spacing w:after="0" w:line="204"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733"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12"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2010 of Tree.com, Inc.;</w:t>
      </w:r>
    </w:p>
    <w:p>
      <w:pPr>
        <w:spacing w:after="0" w:line="238"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3"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6"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1"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2011</w:t>
      </w:r>
    </w:p>
    <w:p>
      <w:pPr>
        <w:spacing w:after="0" w:line="34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62230</wp:posOffset>
            </wp:positionV>
            <wp:extent cx="34905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QuickLinks</w:t>
      </w:r>
    </w:p>
    <w:p>
      <w:pPr>
        <w:spacing w:after="0" w:line="204"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733" w:right="1440" w:bottom="1440" w:gutter="0" w:footer="0" w:header="0"/>
        </w:sectPr>
      </w:pPr>
    </w:p>
    <w:bookmarkStart w:id="135" w:name="page136"/>
    <w:bookmarkEnd w:id="135"/>
    <w:p>
      <w:pPr>
        <w:spacing w:after="0"/>
        <w:rPr>
          <w:rFonts w:ascii="Arial" w:cs="Arial" w:eastAsia="Arial" w:hAnsi="Arial"/>
          <w:sz w:val="22"/>
          <w:szCs w:val="22"/>
          <w:color w:val="0000EE"/>
        </w:rPr>
      </w:pPr>
      <w:hyperlink w:anchor="page1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12" w:lineRule="exact"/>
        <w:rPr>
          <w:sz w:val="20"/>
          <w:szCs w:val="20"/>
          <w:color w:val="auto"/>
        </w:rPr>
      </w:pPr>
    </w:p>
    <w:p>
      <w:pPr>
        <w:ind w:left="540" w:hanging="53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2010 of Tree.com, Inc.;</w:t>
      </w:r>
    </w:p>
    <w:p>
      <w:pPr>
        <w:spacing w:after="0" w:line="238"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3"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sz w:val="20"/>
          <w:szCs w:val="20"/>
          <w:color w:val="auto"/>
        </w:rPr>
      </w:pPr>
    </w:p>
    <w:p>
      <w:pPr>
        <w:ind w:left="1080" w:right="60" w:hanging="532"/>
        <w:spacing w:after="0" w:line="259" w:lineRule="auto"/>
        <w:tabs>
          <w:tab w:leader="none" w:pos="1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6"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1"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2011</w:t>
      </w:r>
    </w:p>
    <w:p>
      <w:pPr>
        <w:spacing w:after="0" w:line="34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62230</wp:posOffset>
            </wp:positionV>
            <wp:extent cx="34905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QuickLinks</w:t>
      </w:r>
    </w:p>
    <w:p>
      <w:pPr>
        <w:spacing w:after="0" w:line="204"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733" w:right="1440" w:bottom="1440" w:gutter="0" w:footer="0" w:header="0"/>
        </w:sectPr>
      </w:pPr>
    </w:p>
    <w:bookmarkStart w:id="137" w:name="page138"/>
    <w:bookmarkEnd w:id="137"/>
    <w:p>
      <w:pPr>
        <w:spacing w:after="0"/>
        <w:rPr>
          <w:rFonts w:ascii="Arial" w:cs="Arial" w:eastAsia="Arial" w:hAnsi="Arial"/>
          <w:sz w:val="22"/>
          <w:szCs w:val="22"/>
          <w:color w:val="0000EE"/>
        </w:rPr>
      </w:pPr>
      <w:hyperlink w:anchor="page1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Douglas R. Lebda, certify, pursuant to 18 U.S.C. Section 1350, as adopted pursuant to Section 906 of the Sarbanes-Oxley Act of 2002, that:</w:t>
      </w:r>
    </w:p>
    <w:p>
      <w:pPr>
        <w:spacing w:after="0" w:line="235" w:lineRule="exact"/>
        <w:rPr>
          <w:sz w:val="20"/>
          <w:szCs w:val="20"/>
          <w:color w:val="auto"/>
        </w:rPr>
      </w:pPr>
    </w:p>
    <w:p>
      <w:pPr>
        <w:ind w:left="1080" w:right="60" w:hanging="532"/>
        <w:spacing w:after="0" w:line="370" w:lineRule="auto"/>
        <w:tabs>
          <w:tab w:leader="none" w:pos="10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2010 of Tree.com, Inc. (the "Report") which this statement accompanies fully complies with the requirements of Section 13(a) or 15(d) of the Securities Exchange Act of 1934 (15 U.S.C. 78m or 78o(d)); and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51"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February 28,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71120</wp:posOffset>
            </wp:positionV>
            <wp:extent cx="2907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QuickLinks</w:t>
      </w:r>
    </w:p>
    <w:p>
      <w:pPr>
        <w:spacing w:after="0" w:line="204" w:lineRule="exact"/>
        <w:rPr>
          <w:sz w:val="20"/>
          <w:szCs w:val="20"/>
          <w:color w:val="auto"/>
        </w:rPr>
      </w:pPr>
    </w:p>
    <w:p>
      <w:pPr>
        <w:ind w:left="54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 32.1</w:t>
        </w:r>
      </w:hyperlink>
    </w:p>
    <w:p>
      <w:pPr>
        <w:spacing w:after="0" w:line="18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138">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733" w:right="299" w:bottom="1440" w:gutter="0" w:footer="0" w:header="0"/>
        </w:sectPr>
      </w:pPr>
    </w:p>
    <w:bookmarkStart w:id="139" w:name="page140"/>
    <w:bookmarkEnd w:id="139"/>
    <w:p>
      <w:pPr>
        <w:spacing w:after="0"/>
        <w:rPr>
          <w:rFonts w:ascii="Arial" w:cs="Arial" w:eastAsia="Arial" w:hAnsi="Arial"/>
          <w:sz w:val="22"/>
          <w:szCs w:val="22"/>
          <w:color w:val="0000EE"/>
        </w:rPr>
      </w:pPr>
      <w:hyperlink w:anchor="page14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Christopher R. Hayek, certify, pursuant to 18 U.S.C. Section 1350, as adopted pursuant to Section 906 of the Sarbanes-Oxley Act of 2002, that:</w:t>
      </w:r>
    </w:p>
    <w:p>
      <w:pPr>
        <w:spacing w:after="0" w:line="235" w:lineRule="exact"/>
        <w:rPr>
          <w:sz w:val="20"/>
          <w:szCs w:val="20"/>
          <w:color w:val="auto"/>
        </w:rPr>
      </w:pPr>
    </w:p>
    <w:p>
      <w:pPr>
        <w:ind w:left="1080" w:right="60" w:hanging="532"/>
        <w:spacing w:after="0" w:line="370"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2010 of Tree.com, Inc. (the "Report") which this statement accompanies fully complies with the requirements of Section 13(a) or 15(d) of the Securities Exchange Act of 1934 (15 U.S.C. 78m or 78o(d)); and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5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February 28,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71120</wp:posOffset>
            </wp:positionV>
            <wp:extent cx="2907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QuickLinks</w:t>
      </w:r>
    </w:p>
    <w:p>
      <w:pPr>
        <w:spacing w:after="0" w:line="204" w:lineRule="exact"/>
        <w:rPr>
          <w:sz w:val="20"/>
          <w:szCs w:val="20"/>
          <w:color w:val="auto"/>
        </w:rPr>
      </w:pPr>
    </w:p>
    <w:p>
      <w:pPr>
        <w:ind w:left="5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Exhibit 32.2</w:t>
        </w:r>
      </w:hyperlink>
    </w:p>
    <w:p>
      <w:pPr>
        <w:spacing w:after="0" w:line="18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140">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20"/>
          </w:cols>
          <w:pgMar w:left="240" w:top="733" w:right="339" w:bottom="1440"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lowerLetter"/>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3"/>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2"/>
    </w:lvl>
  </w:abstractNum>
  <w:abstractNum w:abstractNumId="26">
    <w:nsid w:val="7644A45C"/>
    <w:multiLevelType w:val="hybridMultilevel"/>
    <w:lvl w:ilvl="0">
      <w:lvlJc w:val="left"/>
      <w:lvlText w:val="(%1)"/>
      <w:numFmt w:val="decimal"/>
      <w:start w:val="3"/>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decimal"/>
      <w:start w:val="1"/>
    </w:lvl>
    <w:lvl w:ilvl="1">
      <w:lvlJc w:val="left"/>
      <w:lvlText w:val="(%2)"/>
      <w:numFmt w:val="lowerLetter"/>
      <w:start w:val="1"/>
    </w:lvl>
  </w:abstractNum>
  <w:abstractNum w:abstractNumId="32">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79A1DEA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4">
    <w:nsid w:val="75C6C33A"/>
    <w:multiLevelType w:val="hybridMultilevel"/>
    <w:lvl w:ilvl="0">
      <w:lvlJc w:val="left"/>
      <w:lvlText w:val="(%1)"/>
      <w:numFmt w:val="upperLetter"/>
      <w:start w:val="2"/>
    </w:lvl>
  </w:abstractNum>
  <w:abstractNum w:abstractNumId="35">
    <w:nsid w:val="12E685FB"/>
    <w:multiLevelType w:val="hybridMultilevel"/>
    <w:lvl w:ilvl="0">
      <w:lvlJc w:val="left"/>
      <w:lvlText w:val="(%1)"/>
      <w:numFmt w:val="upperLetter"/>
      <w:start w:val="3"/>
    </w:lvl>
  </w:abstractNum>
  <w:abstractNum w:abstractNumId="36">
    <w:nsid w:val="70C6A529"/>
    <w:multiLevelType w:val="hybridMultilevel"/>
    <w:lvl w:ilvl="0">
      <w:lvlJc w:val="left"/>
      <w:lvlText w:val="(%1)"/>
      <w:numFmt w:val="lowerRoman"/>
      <w:start w:val="2"/>
    </w:lvl>
  </w:abstractNum>
  <w:abstractNum w:abstractNumId="37">
    <w:nsid w:val="520EEDD1"/>
    <w:multiLevelType w:val="hybridMultilevel"/>
    <w:lvl w:ilvl="0">
      <w:lvlJc w:val="left"/>
      <w:lvlText w:val="%1."/>
      <w:numFmt w:val="decimal"/>
      <w:start w:val="3"/>
    </w:lvl>
    <w:lvl w:ilvl="1">
      <w:lvlJc w:val="left"/>
      <w:lvlText w:val="(%2)"/>
      <w:numFmt w:val="lowerLetter"/>
      <w:start w:val="1"/>
    </w:lvl>
  </w:abstractNum>
  <w:abstractNum w:abstractNumId="38">
    <w:nsid w:val="374A3FE6"/>
    <w:multiLevelType w:val="hybridMultilevel"/>
    <w:lvl w:ilvl="0">
      <w:lvlJc w:val="left"/>
      <w:lvlText w:val="%1"/>
      <w:numFmt w:val="decimal"/>
      <w:start w:val="1"/>
    </w:lvl>
    <w:lvl w:ilvl="1">
      <w:lvlJc w:val="left"/>
      <w:lvlText w:val="(%2)"/>
      <w:numFmt w:val="lowerLetter"/>
      <w:start w:val="2"/>
    </w:lvl>
  </w:abstractNum>
  <w:abstractNum w:abstractNumId="39">
    <w:nsid w:val="4F4EF005"/>
    <w:multiLevelType w:val="hybridMultilevel"/>
    <w:lvl w:ilvl="0">
      <w:lvlJc w:val="left"/>
      <w:lvlText w:val="%1."/>
      <w:numFmt w:val="decimal"/>
      <w:start w:val="4"/>
    </w:lvl>
    <w:lvl w:ilvl="1">
      <w:lvlJc w:val="left"/>
      <w:lvlText w:val="%2"/>
      <w:numFmt w:val="lowerLetter"/>
      <w:start w:val="1"/>
    </w:lvl>
  </w:abstractNum>
  <w:abstractNum w:abstractNumId="40">
    <w:nsid w:val="23F9C13C"/>
    <w:multiLevelType w:val="hybridMultilevel"/>
    <w:lvl w:ilvl="0">
      <w:lvlJc w:val="left"/>
      <w:lvlText w:val="%1."/>
      <w:numFmt w:val="decimal"/>
      <w:start w:val="7"/>
    </w:lvl>
  </w:abstractNum>
  <w:abstractNum w:abstractNumId="41">
    <w:nsid w:val="649BB77C"/>
    <w:multiLevelType w:val="hybridMultilevel"/>
    <w:lvl w:ilvl="0">
      <w:lvlJc w:val="left"/>
      <w:lvlText w:val="%1."/>
      <w:numFmt w:val="decimal"/>
      <w:start w:val="11"/>
    </w:lvl>
    <w:lvl w:ilvl="1">
      <w:lvlJc w:val="left"/>
      <w:lvlText w:val="(%2)"/>
      <w:numFmt w:val="lowerLetter"/>
      <w:start w:val="1"/>
    </w:lvl>
  </w:abstractNum>
  <w:abstractNum w:abstractNumId="42">
    <w:nsid w:val="275AC794"/>
    <w:multiLevelType w:val="hybridMultilevel"/>
    <w:lvl w:ilvl="0">
      <w:lvlJc w:val="left"/>
      <w:lvlText w:val="%1"/>
      <w:numFmt w:val="lowerLetter"/>
      <w:start w:val="1"/>
    </w:lvl>
    <w:lvl w:ilvl="1">
      <w:lvlJc w:val="left"/>
      <w:lvlText w:val="%2."/>
      <w:numFmt w:val="decimal"/>
      <w:start w:val="12"/>
    </w:lvl>
  </w:abstractNum>
  <w:abstractNum w:abstractNumId="43">
    <w:nsid w:val="39386575"/>
    <w:multiLevelType w:val="hybridMultilevel"/>
    <w:lvl w:ilvl="0">
      <w:lvlJc w:val="left"/>
      <w:lvlText w:val="(%1)"/>
      <w:numFmt w:val="lowerLetter"/>
      <w:start w:val="2"/>
    </w:lvl>
    <w:lvl w:ilvl="1">
      <w:lvlJc w:val="left"/>
      <w:lvlText w:val="%2"/>
      <w:numFmt w:val="decimal"/>
      <w:start w:val="1"/>
    </w:lvl>
  </w:abstractNum>
  <w:abstractNum w:abstractNumId="44">
    <w:nsid w:val="1CF10FD8"/>
    <w:multiLevelType w:val="hybridMultilevel"/>
    <w:lvl w:ilvl="0">
      <w:lvlJc w:val="left"/>
      <w:lvlText w:val="%1."/>
      <w:numFmt w:val="decimal"/>
      <w:start w:val="13"/>
    </w:lvl>
  </w:abstractNum>
  <w:abstractNum w:abstractNumId="45">
    <w:nsid w:val="180115BE"/>
    <w:multiLevelType w:val="hybridMultilevel"/>
    <w:lvl w:ilvl="0">
      <w:lvlJc w:val="left"/>
      <w:lvlText w:val="%1."/>
      <w:numFmt w:val="decimal"/>
      <w:start w:val="15"/>
    </w:lvl>
  </w:abstractNum>
  <w:abstractNum w:abstractNumId="46">
    <w:nsid w:val="235BA861"/>
    <w:multiLevelType w:val="hybridMultilevel"/>
    <w:lvl w:ilvl="0">
      <w:lvlJc w:val="left"/>
      <w:lvlText w:val="%1."/>
      <w:numFmt w:val="decimal"/>
      <w:start w:val="17"/>
    </w:lvl>
  </w:abstractNum>
  <w:abstractNum w:abstractNumId="47">
    <w:nsid w:val="47398C89"/>
    <w:multiLevelType w:val="hybridMultilevel"/>
    <w:lvl w:ilvl="0">
      <w:lvlJc w:val="left"/>
      <w:lvlText w:val="%1."/>
      <w:numFmt w:val="decimal"/>
      <w:start w:val="18"/>
    </w:lvl>
    <w:lvl w:ilvl="1">
      <w:lvlJc w:val="left"/>
      <w:lvlText w:val="(%2)"/>
      <w:numFmt w:val="lowerLetter"/>
      <w:start w:val="1"/>
    </w:lvl>
  </w:abstractNum>
  <w:abstractNum w:abstractNumId="48">
    <w:nsid w:val="354FE9F9"/>
    <w:multiLevelType w:val="hybridMultilevel"/>
    <w:lvl w:ilvl="0">
      <w:lvlJc w:val="left"/>
      <w:lvlText w:val="(%1)"/>
      <w:numFmt w:val="lowerRoman"/>
      <w:start w:val="3"/>
    </w:lvl>
  </w:abstractNum>
  <w:abstractNum w:abstractNumId="49">
    <w:nsid w:val="15B5AF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0">
    <w:nsid w:val="741226BB"/>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51">
    <w:nsid w:val="D34B6A8"/>
    <w:multiLevelType w:val="hybridMultilevel"/>
    <w:lvl w:ilvl="0">
      <w:lvlJc w:val="left"/>
      <w:lvlText w:val="%1"/>
      <w:numFmt w:val="decimal"/>
      <w:start w:val="1"/>
    </w:lvl>
    <w:lvl w:ilvl="1">
      <w:lvlJc w:val="left"/>
      <w:lvlText w:val="(%2)"/>
      <w:numFmt w:val="lowerLetter"/>
      <w:start w:val="2"/>
    </w:lvl>
  </w:abstractNum>
  <w:abstractNum w:abstractNumId="52">
    <w:nsid w:val="10233C99"/>
    <w:multiLevelType w:val="hybridMultilevel"/>
    <w:lvl w:ilvl="0">
      <w:lvlJc w:val="left"/>
      <w:lvlText w:val="%1."/>
      <w:numFmt w:val="decimal"/>
      <w:start w:val="20"/>
    </w:lvl>
    <w:lvl w:ilvl="1">
      <w:lvlJc w:val="left"/>
      <w:lvlText w:val="%2"/>
      <w:numFmt w:val="lowerLetter"/>
      <w:start w:val="1"/>
    </w:lvl>
  </w:abstractNum>
  <w:abstractNum w:abstractNumId="53">
    <w:nsid w:val="3F6AB60F"/>
    <w:multiLevelType w:val="hybridMultilevel"/>
    <w:lvl w:ilvl="0">
      <w:lvlJc w:val="left"/>
      <w:lvlText w:val="%1."/>
      <w:numFmt w:val="decimal"/>
      <w:start w:val="21"/>
    </w:lvl>
  </w:abstractNum>
  <w:abstractNum w:abstractNumId="54">
    <w:nsid w:val="61574095"/>
    <w:multiLevelType w:val="hybridMultilevel"/>
    <w:lvl w:ilvl="0">
      <w:lvlJc w:val="left"/>
      <w:lvlText w:val="%1"/>
      <w:numFmt w:val="lowerLetter"/>
      <w:start w:val="1"/>
    </w:lvl>
    <w:lvl w:ilvl="1">
      <w:lvlJc w:val="left"/>
      <w:lvlText w:val="%2."/>
      <w:numFmt w:val="decimal"/>
      <w:start w:val="22"/>
    </w:lvl>
  </w:abstractNum>
  <w:abstractNum w:abstractNumId="55">
    <w:nsid w:val="7E0C57B1"/>
    <w:multiLevelType w:val="hybridMultilevel"/>
    <w:lvl w:ilvl="0">
      <w:lvlJc w:val="left"/>
      <w:lvlText w:val="(%1)"/>
      <w:numFmt w:val="lowerLetter"/>
      <w:start w:val="1"/>
    </w:lvl>
    <w:lvl w:ilvl="1">
      <w:lvlJc w:val="left"/>
      <w:lvlText w:val="%2"/>
      <w:numFmt w:val="decimal"/>
      <w:start w:val="1"/>
    </w:lvl>
  </w:abstractNum>
  <w:abstractNum w:abstractNumId="56">
    <w:nsid w:val="77AE35EB"/>
    <w:multiLevelType w:val="hybridMultilevel"/>
    <w:lvl w:ilvl="0">
      <w:lvlJc w:val="left"/>
      <w:lvlText w:val="%1."/>
      <w:numFmt w:val="decimal"/>
      <w:start w:val="23"/>
    </w:lvl>
  </w:abstractNum>
  <w:abstractNum w:abstractNumId="57">
    <w:nsid w:val="579BE4F1"/>
    <w:multiLevelType w:val="hybridMultilevel"/>
    <w:lvl w:ilvl="0">
      <w:lvlJc w:val="left"/>
      <w:lvlText w:val="(%1)"/>
      <w:numFmt w:val="lowerLetter"/>
      <w:start w:val="1"/>
    </w:lvl>
    <w:lvl w:ilvl="1">
      <w:lvlJc w:val="left"/>
      <w:lvlText w:val="(%2)"/>
      <w:numFmt w:val="lowerRoman"/>
      <w:start w:val="1"/>
    </w:lvl>
  </w:abstractNum>
  <w:abstractNum w:abstractNumId="58">
    <w:nsid w:val="310C50B3"/>
    <w:multiLevelType w:val="hybridMultilevel"/>
    <w:lvl w:ilvl="0">
      <w:lvlJc w:val="left"/>
      <w:lvlText w:val="%1"/>
      <w:numFmt w:val="lowerLetter"/>
      <w:start w:val="1"/>
    </w:lvl>
    <w:lvl w:ilvl="1">
      <w:lvlJc w:val="left"/>
      <w:lvlText w:val="(%2)"/>
      <w:numFmt w:val="lowerLetter"/>
      <w:start w:val="61"/>
    </w:lvl>
  </w:abstractNum>
  <w:abstractNum w:abstractNumId="59">
    <w:nsid w:val="5FF87E05"/>
    <w:multiLevelType w:val="hybridMultilevel"/>
    <w:lvl w:ilvl="0">
      <w:lvlJc w:val="left"/>
      <w:lvlText w:val="(%1)"/>
      <w:numFmt w:val="lowerLetter"/>
      <w:start w:val="3"/>
    </w:lvl>
    <w:lvl w:ilvl="1">
      <w:lvlJc w:val="left"/>
      <w:lvlText w:val="(%2)"/>
      <w:numFmt w:val="lowerLetter"/>
      <w:start w:val="9"/>
    </w:lvl>
  </w:abstractNum>
  <w:abstractNum w:abstractNumId="60">
    <w:nsid w:val="2F305DEF"/>
    <w:multiLevelType w:val="hybridMultilevel"/>
    <w:lvl w:ilvl="0">
      <w:lvlJc w:val="left"/>
      <w:lvlText w:val="(%1)"/>
      <w:numFmt w:val="upperLetter"/>
      <w:start w:val="1"/>
    </w:lvl>
  </w:abstractNum>
  <w:abstractNum w:abstractNumId="61">
    <w:nsid w:val="25A70BF7"/>
    <w:multiLevelType w:val="hybridMultilevel"/>
    <w:lvl w:ilvl="0">
      <w:lvlJc w:val="left"/>
      <w:lvlText w:val="(%1)"/>
      <w:numFmt w:val="lowerRoman"/>
      <w:start w:val="2"/>
    </w:lvl>
  </w:abstractNum>
  <w:abstractNum w:abstractNumId="62">
    <w:nsid w:val="1DBABF00"/>
    <w:multiLevelType w:val="hybridMultilevel"/>
    <w:lvl w:ilvl="0">
      <w:lvlJc w:val="left"/>
      <w:lvlText w:val="(%1)"/>
      <w:numFmt w:val="lowerRoman"/>
      <w:start w:val="3"/>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3"/>
    </w:lvl>
  </w:abstractNum>
  <w:abstractNum w:abstractNumId="66">
    <w:nsid w:val="5DB70AE5"/>
    <w:multiLevelType w:val="hybridMultilevel"/>
    <w:lvl w:ilvl="0">
      <w:lvlJc w:val="left"/>
      <w:lvlText w:val="%1."/>
      <w:numFmt w:val="decimal"/>
      <w:start w:val="5"/>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2019-12-11T07:42:41Z</dcterms:created>
  <dcterms:modified xsi:type="dcterms:W3CDTF">2019-12-11T07:42:41Z</dcterms:modified>
</cp:coreProperties>
</file>