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167640</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4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183515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3700" w:right="1360" w:hanging="3327"/>
        <w:spacing w:after="0" w:line="313" w:lineRule="auto"/>
        <w:tabs>
          <w:tab w:leader="none" w:pos="92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920" w:hanging="511"/>
        <w:spacing w:after="0"/>
        <w:tabs>
          <w:tab w:leader="none" w:pos="9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2" w:lineRule="exact"/>
        <w:rPr>
          <w:sz w:val="24"/>
          <w:szCs w:val="24"/>
          <w:color w:val="auto"/>
        </w:rPr>
      </w:pPr>
    </w:p>
    <w:p>
      <w:pPr>
        <w:ind w:left="3700"/>
        <w:spacing w:after="0"/>
        <w:tabs>
          <w:tab w:leader="none" w:pos="68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105410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337185</wp:posOffset>
            </wp:positionV>
            <wp:extent cx="142367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67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9" w:lineRule="exact"/>
        <w:rPr>
          <w:sz w:val="24"/>
          <w:szCs w:val="24"/>
          <w:color w:val="auto"/>
        </w:rPr>
      </w:pPr>
    </w:p>
    <w:p>
      <w:pPr>
        <w:ind w:left="232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70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6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26-2414818</w:t>
      </w:r>
    </w:p>
    <w:p>
      <w:pPr>
        <w:spacing w:after="0" w:line="26"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2440"/>
        <w:spacing w:after="0"/>
        <w:rPr>
          <w:sz w:val="20"/>
          <w:szCs w:val="20"/>
          <w:color w:val="auto"/>
        </w:rPr>
      </w:pPr>
      <w:r>
        <w:rPr>
          <w:rFonts w:ascii="Arial" w:cs="Arial" w:eastAsia="Arial" w:hAnsi="Arial"/>
          <w:sz w:val="15"/>
          <w:szCs w:val="15"/>
          <w:color w:val="auto"/>
        </w:rPr>
        <w:t>Identification No.)</w:t>
      </w:r>
    </w:p>
    <w:p>
      <w:pPr>
        <w:spacing w:after="0" w:line="153" w:lineRule="exact"/>
        <w:rPr>
          <w:sz w:val="24"/>
          <w:szCs w:val="24"/>
          <w:color w:val="auto"/>
        </w:rPr>
      </w:pPr>
    </w:p>
    <w:p>
      <w:pPr>
        <w:sectPr>
          <w:pgSz w:w="11900" w:h="16838" w:orient="portrait"/>
          <w:cols w:equalWidth="0" w:num="2">
            <w:col w:w="7040" w:space="720"/>
            <w:col w:w="3660"/>
          </w:cols>
          <w:pgMar w:left="240" w:top="233"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92710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7" w:lineRule="exact"/>
        <w:rPr>
          <w:sz w:val="24"/>
          <w:szCs w:val="24"/>
          <w:color w:val="auto"/>
        </w:rPr>
      </w:pPr>
    </w:p>
    <w:p>
      <w:pPr>
        <w:jc w:val="both"/>
        <w:ind w:firstLine="205"/>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6"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6"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32" w:lineRule="exact"/>
        <w:rPr>
          <w:sz w:val="24"/>
          <w:szCs w:val="24"/>
          <w:color w:val="auto"/>
        </w:rPr>
      </w:pPr>
    </w:p>
    <w:p>
      <w:pPr>
        <w:ind w:left="180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73" w:lineRule="exact"/>
        <w:rPr>
          <w:sz w:val="24"/>
          <w:szCs w:val="24"/>
          <w:color w:val="auto"/>
        </w:rPr>
      </w:pPr>
    </w:p>
    <w:p>
      <w:pPr>
        <w:sectPr>
          <w:pgSz w:w="11900" w:h="16838" w:orient="portrait"/>
          <w:cols w:equalWidth="0" w:num="2">
            <w:col w:w="7020" w:space="720"/>
            <w:col w:w="3680"/>
          </w:cols>
          <w:pgMar w:left="240" w:top="233" w:right="23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Smaller reporting company o</w:t>
      </w:r>
    </w:p>
    <w:p>
      <w:pPr>
        <w:spacing w:after="0" w:line="83" w:lineRule="exact"/>
        <w:rPr>
          <w:sz w:val="24"/>
          <w:szCs w:val="24"/>
          <w:color w:val="auto"/>
        </w:rPr>
      </w:pPr>
    </w:p>
    <w:p>
      <w:pPr>
        <w:sectPr>
          <w:pgSz w:w="11900" w:h="16838" w:orient="portrait"/>
          <w:cols w:equalWidth="0" w:num="2">
            <w:col w:w="6640" w:space="720"/>
            <w:col w:w="4060"/>
          </w:cols>
          <w:pgMar w:left="240" w:top="233" w:right="23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(Do not check if a smaller reporting company)</w:t>
      </w:r>
    </w:p>
    <w:p>
      <w:pPr>
        <w:spacing w:after="0" w:line="56" w:lineRule="exact"/>
        <w:rPr>
          <w:sz w:val="24"/>
          <w:szCs w:val="24"/>
          <w:color w:val="auto"/>
        </w:rPr>
      </w:pPr>
    </w:p>
    <w:p>
      <w:pPr>
        <w:ind w:left="7360"/>
        <w:spacing w:after="0"/>
        <w:rPr>
          <w:sz w:val="20"/>
          <w:szCs w:val="20"/>
          <w:color w:val="auto"/>
        </w:rPr>
      </w:pPr>
      <w:r>
        <w:rPr>
          <w:rFonts w:ascii="Arial" w:cs="Arial" w:eastAsia="Arial" w:hAnsi="Arial"/>
          <w:sz w:val="17"/>
          <w:szCs w:val="17"/>
          <w:color w:val="auto"/>
        </w:rPr>
        <w:t>Emerging growth company o</w:t>
      </w:r>
    </w:p>
    <w:p>
      <w:pPr>
        <w:spacing w:after="0" w:line="358" w:lineRule="exact"/>
        <w:rPr>
          <w:sz w:val="24"/>
          <w:szCs w:val="24"/>
          <w:color w:val="auto"/>
        </w:rPr>
      </w:pPr>
    </w:p>
    <w:p>
      <w:pPr>
        <w:ind w:firstLine="162"/>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5"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147"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October 26, 2018, there were 12,827,755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69977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5"/>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4">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bottom w:val="single" w:sz="8" w:color="0000FF"/>
            </w:tcBorders>
          </w:tcPr>
          <w:p>
            <w:pPr>
              <w:spacing w:after="0"/>
              <w:rPr>
                <w:rFonts w:ascii="Arial" w:cs="Arial" w:eastAsia="Arial" w:hAnsi="Arial"/>
                <w:sz w:val="18"/>
                <w:szCs w:val="18"/>
                <w:b w:val="1"/>
                <w:bCs w:val="1"/>
                <w:color w:val="0000FF"/>
                <w:w w:val="91"/>
              </w:rPr>
            </w:pPr>
            <w:hyperlink w:anchor="page45">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80" w:type="dxa"/>
            <w:vAlign w:val="bottom"/>
            <w:tcBorders>
              <w:top w:val="single" w:sz="8" w:color="0000FF"/>
              <w:bottom w:val="single" w:sz="8" w:color="0000FF"/>
            </w:tcBorders>
            <w:gridSpan w:val="9"/>
          </w:tcPr>
          <w:p>
            <w:pPr>
              <w:spacing w:after="0"/>
              <w:rPr>
                <w:rFonts w:ascii="Arial" w:cs="Arial" w:eastAsia="Arial" w:hAnsi="Arial"/>
                <w:sz w:val="18"/>
                <w:szCs w:val="18"/>
                <w:b w:val="1"/>
                <w:bCs w:val="1"/>
                <w:i w:val="1"/>
                <w:iCs w:val="1"/>
                <w:color w:val="0000FF"/>
                <w:w w:val="87"/>
              </w:rPr>
            </w:pPr>
            <w:hyperlink w:anchor="page45">
              <w:r>
                <w:rPr>
                  <w:rFonts w:ascii="Arial" w:cs="Arial" w:eastAsia="Arial" w:hAnsi="Arial"/>
                  <w:sz w:val="18"/>
                  <w:szCs w:val="18"/>
                  <w:b w:val="1"/>
                  <w:bCs w:val="1"/>
                  <w:i w:val="1"/>
                  <w:iCs w:val="1"/>
                  <w:color w:val="0000FF"/>
                  <w:w w:val="87"/>
                </w:rPr>
                <w:t>Quantitative and Qualitative Disclosures About Market Risk</w:t>
              </w:r>
            </w:hyperlink>
          </w:p>
        </w:tc>
        <w:tc>
          <w:tcPr>
            <w:tcW w:w="2200" w:type="dxa"/>
            <w:vAlign w:val="bottom"/>
            <w:tcBorders>
              <w:top w:val="single" w:sz="8" w:color="0000FF"/>
            </w:tcBorders>
            <w:gridSpan w:val="3"/>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Item 4.</w:t>
              </w:r>
            </w:hyperlink>
          </w:p>
        </w:tc>
        <w:tc>
          <w:tcPr>
            <w:tcW w:w="9680" w:type="dxa"/>
            <w:vAlign w:val="bottom"/>
            <w:gridSpan w:val="14"/>
          </w:tcPr>
          <w:p>
            <w:pPr>
              <w:ind w:left="820"/>
              <w:spacing w:after="0"/>
              <w:rPr>
                <w:rFonts w:ascii="Arial" w:cs="Arial" w:eastAsia="Arial" w:hAnsi="Arial"/>
                <w:sz w:val="18"/>
                <w:szCs w:val="18"/>
                <w:b w:val="1"/>
                <w:bCs w:val="1"/>
                <w:i w:val="1"/>
                <w:iCs w:val="1"/>
                <w:color w:val="0000FF"/>
              </w:rPr>
            </w:pPr>
            <w:hyperlink w:anchor="page46">
              <w:r>
                <w:rPr>
                  <w:rFonts w:ascii="Arial" w:cs="Arial" w:eastAsia="Arial" w:hAnsi="Arial"/>
                  <w:sz w:val="18"/>
                  <w:szCs w:val="18"/>
                  <w:b w:val="1"/>
                  <w:bCs w:val="1"/>
                  <w:i w:val="1"/>
                  <w:iCs w:val="1"/>
                  <w:color w:val="0000FF"/>
                </w:rPr>
                <w:t>Controls and Procedures</w:t>
              </w:r>
            </w:hyperlink>
          </w:p>
        </w:tc>
        <w:tc>
          <w:tcPr>
            <w:tcW w:w="10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260"/>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PART II—OTHER INFORMATION</w:t>
              </w:r>
            </w:hyperlink>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Borders>
              <w:bottom w:val="single" w:sz="8" w:color="0000FF"/>
            </w:tcBorders>
          </w:tcPr>
          <w:p>
            <w:pPr>
              <w:spacing w:after="0"/>
              <w:rPr>
                <w:rFonts w:ascii="Arial" w:cs="Arial" w:eastAsia="Arial" w:hAnsi="Arial"/>
                <w:sz w:val="18"/>
                <w:szCs w:val="18"/>
                <w:b w:val="1"/>
                <w:bCs w:val="1"/>
                <w:color w:val="0000FF"/>
                <w:w w:val="91"/>
              </w:rPr>
            </w:pPr>
            <w:hyperlink w:anchor="page47">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Arial" w:cs="Arial" w:eastAsia="Arial" w:hAnsi="Arial"/>
                <w:sz w:val="18"/>
                <w:szCs w:val="18"/>
                <w:b w:val="1"/>
                <w:bCs w:val="1"/>
                <w:i w:val="1"/>
                <w:iCs w:val="1"/>
                <w:color w:val="0000FF"/>
                <w:w w:val="84"/>
              </w:rPr>
            </w:pPr>
            <w:hyperlink w:anchor="page47">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47">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47">
              <w:r>
                <w:rPr>
                  <w:rFonts w:ascii="Arial" w:cs="Arial" w:eastAsia="Arial" w:hAnsi="Arial"/>
                  <w:sz w:val="18"/>
                  <w:szCs w:val="18"/>
                  <w:b w:val="1"/>
                  <w:bCs w:val="1"/>
                  <w:i w:val="1"/>
                  <w:iCs w:val="1"/>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47">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47">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tcPr>
          <w:p>
            <w:pPr>
              <w:spacing w:after="0"/>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Arial" w:cs="Arial" w:eastAsia="Arial" w:hAnsi="Arial"/>
                <w:sz w:val="18"/>
                <w:szCs w:val="18"/>
                <w:b w:val="1"/>
                <w:bCs w:val="1"/>
                <w:i w:val="1"/>
                <w:iCs w:val="1"/>
                <w:color w:val="0000EE"/>
              </w:rPr>
            </w:pPr>
            <w:hyperlink w:anchor="page48">
              <w:r>
                <w:rPr>
                  <w:rFonts w:ascii="Arial" w:cs="Arial" w:eastAsia="Arial" w:hAnsi="Arial"/>
                  <w:sz w:val="18"/>
                  <w:szCs w:val="18"/>
                  <w:b w:val="1"/>
                  <w:bCs w:val="1"/>
                  <w:i w:val="1"/>
                  <w:iCs w:val="1"/>
                  <w:color w:val="0000EE"/>
                </w:rPr>
                <w:t>Other Information</w:t>
              </w:r>
            </w:hyperlink>
          </w:p>
        </w:tc>
        <w:tc>
          <w:tcPr>
            <w:tcW w:w="4400" w:type="dxa"/>
            <w:vAlign w:val="bottom"/>
            <w:gridSpan w:val="5"/>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EE"/>
            </w:tcBorders>
          </w:tcPr>
          <w:p>
            <w:pPr>
              <w:spacing w:after="0"/>
              <w:rPr>
                <w:rFonts w:ascii="Arial" w:cs="Arial" w:eastAsia="Arial" w:hAnsi="Arial"/>
                <w:sz w:val="18"/>
                <w:szCs w:val="18"/>
                <w:b w:val="1"/>
                <w:bCs w:val="1"/>
                <w:color w:val="0000FF"/>
                <w:w w:val="91"/>
              </w:rPr>
            </w:pPr>
            <w:hyperlink w:anchor="page49">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EE"/>
            </w:tcBorders>
            <w:gridSpan w:val="3"/>
          </w:tcPr>
          <w:p>
            <w:pPr>
              <w:spacing w:after="0"/>
              <w:rPr>
                <w:rFonts w:ascii="Arial" w:cs="Arial" w:eastAsia="Arial" w:hAnsi="Arial"/>
                <w:sz w:val="18"/>
                <w:szCs w:val="18"/>
                <w:b w:val="1"/>
                <w:bCs w:val="1"/>
                <w:i w:val="1"/>
                <w:iCs w:val="1"/>
                <w:color w:val="0000FF"/>
              </w:rPr>
            </w:pPr>
            <w:hyperlink w:anchor="page49">
              <w:r>
                <w:rPr>
                  <w:rFonts w:ascii="Arial" w:cs="Arial" w:eastAsia="Arial" w:hAnsi="Arial"/>
                  <w:sz w:val="18"/>
                  <w:szCs w:val="18"/>
                  <w:b w:val="1"/>
                  <w:bCs w:val="1"/>
                  <w:i w:val="1"/>
                  <w:iCs w:val="1"/>
                  <w:color w:val="0000FF"/>
                </w:rPr>
                <w:t>Exhibits</w:t>
              </w:r>
            </w:hyperlink>
          </w:p>
        </w:tc>
        <w:tc>
          <w:tcPr>
            <w:tcW w:w="748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2017</w:t>
            </w: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6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w w:val="89"/>
              </w:rPr>
              <w:t>(in thousands, except per share amounts)</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197,057</w:t>
            </w:r>
          </w:p>
        </w:tc>
        <w:tc>
          <w:tcPr>
            <w:tcW w:w="5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9"/>
              </w:rPr>
              <w:t>171,494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562,193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456,782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 xml:space="preserve">Cost of revenue </w:t>
            </w:r>
            <w:r>
              <w:rPr>
                <w:rFonts w:ascii="Arial" w:cs="Arial" w:eastAsia="Arial" w:hAnsi="Arial"/>
                <w:sz w:val="18"/>
                <w:szCs w:val="18"/>
                <w:i w:val="1"/>
                <w:iCs w:val="1"/>
                <w:color w:val="auto"/>
                <w:w w:val="93"/>
              </w:rPr>
              <w:t>(exclusive of depreciation and amortization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10,838</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22,577</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12,143</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124,400</w:t>
            </w:r>
          </w:p>
        </w:tc>
        <w:tc>
          <w:tcPr>
            <w:tcW w:w="5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118,538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374,390</w:t>
            </w:r>
          </w:p>
        </w:tc>
        <w:tc>
          <w:tcPr>
            <w:tcW w:w="4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320,930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22,980</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70,553</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41,561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6,608</w:t>
            </w:r>
          </w:p>
        </w:tc>
        <w:tc>
          <w:tcPr>
            <w:tcW w:w="5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18,835</w:t>
            </w:r>
          </w:p>
        </w:tc>
        <w:tc>
          <w:tcPr>
            <w:tcW w:w="4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12,492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1,895</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5,199</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5,701</w:t>
            </w:r>
          </w:p>
        </w:tc>
        <w:tc>
          <w:tcPr>
            <w:tcW w:w="5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13,628</w:t>
            </w:r>
          </w:p>
        </w:tc>
        <w:tc>
          <w:tcPr>
            <w:tcW w:w="4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9,034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2,105</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1,197</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Severance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2,328</w:t>
            </w:r>
          </w:p>
        </w:tc>
        <w:tc>
          <w:tcPr>
            <w:tcW w:w="5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2,331</w:t>
            </w:r>
          </w:p>
        </w:tc>
        <w:tc>
          <w:tcPr>
            <w:tcW w:w="4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404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(280)</w:t>
            </w:r>
          </w:p>
        </w:tc>
        <w:tc>
          <w:tcPr>
            <w:tcW w:w="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176,767</w:t>
            </w:r>
          </w:p>
        </w:tc>
        <w:tc>
          <w:tcPr>
            <w:tcW w:w="5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9"/>
              </w:rPr>
              <w:t>154,039</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508,430</w:t>
            </w:r>
          </w:p>
        </w:tc>
        <w:tc>
          <w:tcPr>
            <w:tcW w:w="4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2"/>
              </w:rPr>
              <w:t>423,474</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20,290</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53,763</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33,308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(8,305)</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17,828</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14,423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45,352</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29,045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10,534</w:t>
            </w: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63,716</w:t>
            </w: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(3,109)</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28,362</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109,068</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25,936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(2,634)</w:t>
            </w: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(9,269)</w:t>
            </w: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(2,632)</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25,728</w:t>
            </w:r>
          </w:p>
        </w:tc>
        <w:tc>
          <w:tcPr>
            <w:tcW w:w="5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9,120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99,799</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23,304</w:t>
            </w:r>
          </w:p>
        </w:tc>
      </w:tr>
      <w:tr>
        <w:trPr>
          <w:trHeight w:val="270"/>
        </w:trPr>
        <w:tc>
          <w:tcPr>
            <w:tcW w:w="65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12,799</w:t>
            </w:r>
          </w:p>
        </w:tc>
        <w:tc>
          <w:tcPr>
            <w:tcW w:w="5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11,999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12,437</w:t>
            </w:r>
          </w:p>
        </w:tc>
        <w:tc>
          <w:tcPr>
            <w:tcW w:w="4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11,931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13,850</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14,299</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Income per share from continuing operations: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5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8.77</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2.05</w:t>
            </w:r>
          </w:p>
        </w:tc>
        <w:tc>
          <w:tcPr>
            <w:tcW w:w="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7.63</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1.90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(0.21)</w:t>
            </w:r>
          </w:p>
        </w:tc>
        <w:tc>
          <w:tcPr>
            <w:tcW w:w="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(0.75)</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(0.65)</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5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8.02</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1.86</w:t>
            </w:r>
          </w:p>
        </w:tc>
        <w:tc>
          <w:tcPr>
            <w:tcW w:w="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6.98</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156"/>
        </w:trPr>
        <w:tc>
          <w:tcPr>
            <w:tcW w:w="8800" w:type="dxa"/>
            <w:vAlign w:val="bottom"/>
          </w:tcPr>
          <w:p>
            <w:pPr>
              <w:spacing w:after="0"/>
              <w:rPr>
                <w:sz w:val="13"/>
                <w:szCs w:val="13"/>
                <w:color w:val="auto"/>
              </w:rPr>
            </w:pPr>
          </w:p>
        </w:tc>
        <w:tc>
          <w:tcPr>
            <w:tcW w:w="2620" w:type="dxa"/>
            <w:vAlign w:val="bottom"/>
            <w:gridSpan w:val="4"/>
          </w:tcPr>
          <w:p>
            <w:pPr>
              <w:jc w:val="right"/>
              <w:spacing w:after="0" w:line="157" w:lineRule="exact"/>
              <w:rPr>
                <w:sz w:val="20"/>
                <w:szCs w:val="20"/>
                <w:color w:val="auto"/>
              </w:rPr>
            </w:pPr>
            <w:r>
              <w:rPr>
                <w:rFonts w:ascii="Arial" w:cs="Arial" w:eastAsia="Arial" w:hAnsi="Arial"/>
                <w:sz w:val="14"/>
                <w:szCs w:val="14"/>
                <w:b w:val="1"/>
                <w:bCs w:val="1"/>
                <w:i w:val="1"/>
                <w:iCs w:val="1"/>
                <w:color w:val="auto"/>
                <w:w w:val="90"/>
              </w:rPr>
              <w:t>(in thousands, except par value and share</w:t>
            </w:r>
          </w:p>
        </w:tc>
      </w:tr>
      <w:tr>
        <w:trPr>
          <w:trHeight w:val="188"/>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3"/>
          </w:tcPr>
          <w:p>
            <w:pPr>
              <w:jc w:val="right"/>
              <w:ind w:right="931"/>
              <w:spacing w:after="0"/>
              <w:rPr>
                <w:sz w:val="20"/>
                <w:szCs w:val="20"/>
                <w:color w:val="auto"/>
              </w:rPr>
            </w:pPr>
            <w:r>
              <w:rPr>
                <w:rFonts w:ascii="Arial" w:cs="Arial" w:eastAsia="Arial" w:hAnsi="Arial"/>
                <w:sz w:val="14"/>
                <w:szCs w:val="14"/>
                <w:b w:val="1"/>
                <w:bCs w:val="1"/>
                <w:i w:val="1"/>
                <w:iCs w:val="1"/>
                <w:color w:val="auto"/>
              </w:rPr>
              <w:t>amounts)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265,194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368,550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$1,518 and $675, respectively)</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79,444</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53,444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16,411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361,271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438,041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$13,609 and $13,043, respectively)</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40,448</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36,431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166,330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113,368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95,970</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81,125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75,484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1,708</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1,910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2,428</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743,639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693,459</w:t>
            </w:r>
          </w:p>
        </w:tc>
      </w:tr>
      <w:tr>
        <w:trPr>
          <w:trHeight w:val="34"/>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8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13,355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68,711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77,183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7,327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46,576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15)</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18,988</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14,507</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108,381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147,516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247,696</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238,199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9,019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2,077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1,597</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367,173</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398,585</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 12)</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$.01 par value; 50,000,000 shares authorized; 15,390,409 and 14,218,572 shares issued, respectively,</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12,945,961 and 11,979,434 shares outstanding,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1,125,185</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1,087,582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(607,182)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(708,354)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Treasury stock; 2,444,448 and 2,239,138 shares, respectively</w:t>
            </w: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(142,268)</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(85,085)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577</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376,466</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294,874</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743,639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693,459</w:t>
            </w:r>
          </w:p>
        </w:tc>
      </w:tr>
      <w:tr>
        <w:trPr>
          <w:trHeight w:val="27"/>
        </w:trPr>
        <w:tc>
          <w:tcPr>
            <w:tcW w:w="88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2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186"/>
              <w:spacing w:after="0" w:line="139"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jc w:val="right"/>
              <w:ind w:right="145"/>
              <w:spacing w:after="0" w:line="158"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3"/>
                <w:szCs w:val="13"/>
                <w:color w:val="auto"/>
              </w:rPr>
            </w:pPr>
          </w:p>
        </w:tc>
        <w:tc>
          <w:tcPr>
            <w:tcW w:w="70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3"/>
                <w:szCs w:val="13"/>
                <w:color w:val="auto"/>
              </w:rPr>
            </w:pPr>
          </w:p>
        </w:tc>
        <w:tc>
          <w:tcPr>
            <w:tcW w:w="96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3"/>
                <w:szCs w:val="13"/>
                <w:color w:val="auto"/>
              </w:rPr>
            </w:pPr>
          </w:p>
        </w:tc>
        <w:tc>
          <w:tcPr>
            <w:tcW w:w="1100" w:type="dxa"/>
            <w:vAlign w:val="bottom"/>
          </w:tcPr>
          <w:p>
            <w:pPr>
              <w:jc w:val="right"/>
              <w:ind w:right="184"/>
              <w:spacing w:after="0" w:line="158" w:lineRule="exact"/>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jc w:val="right"/>
              <w:ind w:right="145"/>
              <w:spacing w:after="0" w:line="158" w:lineRule="exact"/>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3"/>
                <w:szCs w:val="13"/>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080" w:type="dxa"/>
            <w:vAlign w:val="bottom"/>
          </w:tcPr>
          <w:p>
            <w:pPr>
              <w:jc w:val="right"/>
              <w:ind w:right="146"/>
              <w:spacing w:after="0"/>
              <w:rPr>
                <w:sz w:val="20"/>
                <w:szCs w:val="20"/>
                <w:color w:val="auto"/>
              </w:rPr>
            </w:pPr>
            <w:r>
              <w:rPr>
                <w:rFonts w:ascii="Arial" w:cs="Arial" w:eastAsia="Arial" w:hAnsi="Arial"/>
                <w:sz w:val="13"/>
                <w:szCs w:val="13"/>
                <w:b w:val="1"/>
                <w:bCs w:val="1"/>
                <w:color w:val="auto"/>
                <w:w w:val="90"/>
              </w:rPr>
              <w:t>Noncontrolling</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Deficit</w:t>
            </w:r>
          </w:p>
        </w:tc>
        <w:tc>
          <w:tcPr>
            <w:tcW w:w="92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of Shares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3"/>
                <w:szCs w:val="13"/>
                <w:b w:val="1"/>
                <w:bCs w:val="1"/>
                <w:i w:val="1"/>
                <w:iCs w:val="1"/>
                <w:color w:val="auto"/>
                <w:w w:val="87"/>
              </w:rPr>
              <w:t>(in thousands)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2017</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294,874</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14,218</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142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1,087,582</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(708,354)</w:t>
            </w:r>
          </w:p>
        </w:tc>
        <w:tc>
          <w:tcPr>
            <w:tcW w:w="9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2,239</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(85,085)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589</w:t>
            </w: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w w:val="96"/>
              </w:rPr>
              <w:t>Net income and comprehensive income</w:t>
            </w:r>
          </w:p>
        </w:tc>
        <w:tc>
          <w:tcPr>
            <w:tcW w:w="220" w:type="dxa"/>
            <w:vAlign w:val="bottom"/>
          </w:tcPr>
          <w:p>
            <w:pPr>
              <w:spacing w:after="0"/>
              <w:rPr>
                <w:sz w:val="18"/>
                <w:szCs w:val="18"/>
                <w:color w:val="auto"/>
              </w:rPr>
            </w:pP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99,799</w:t>
            </w:r>
          </w:p>
        </w:tc>
        <w:tc>
          <w:tcPr>
            <w:tcW w:w="94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960" w:type="dxa"/>
            <w:vAlign w:val="bottom"/>
            <w:vMerge w:val="restart"/>
          </w:tcPr>
          <w:p>
            <w:pPr>
              <w:jc w:val="right"/>
              <w:ind w:right="126"/>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144"/>
              <w:spacing w:after="0"/>
              <w:rPr>
                <w:sz w:val="20"/>
                <w:szCs w:val="20"/>
                <w:color w:val="auto"/>
              </w:rPr>
            </w:pPr>
            <w:r>
              <w:rPr>
                <w:rFonts w:ascii="Arial" w:cs="Arial" w:eastAsia="Arial" w:hAnsi="Arial"/>
                <w:sz w:val="15"/>
                <w:szCs w:val="15"/>
                <w:color w:val="auto"/>
              </w:rPr>
              <w:t>99,799</w:t>
            </w:r>
          </w:p>
        </w:tc>
        <w:tc>
          <w:tcPr>
            <w:tcW w:w="92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34,384</w:t>
            </w:r>
          </w:p>
        </w:tc>
        <w:tc>
          <w:tcPr>
            <w:tcW w:w="9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color w:val="auto"/>
              </w:rPr>
              <w:t>34,384</w:t>
            </w: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7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rPr>
              <w:t>Purchase of treasury stock</w:t>
            </w:r>
          </w:p>
        </w:tc>
        <w:tc>
          <w:tcPr>
            <w:tcW w:w="220" w:type="dxa"/>
            <w:vAlign w:val="bottom"/>
          </w:tcPr>
          <w:p>
            <w:pPr>
              <w:spacing w:after="0"/>
              <w:rPr>
                <w:sz w:val="18"/>
                <w:szCs w:val="18"/>
                <w:color w:val="auto"/>
              </w:rPr>
            </w:pPr>
          </w:p>
        </w:tc>
        <w:tc>
          <w:tcPr>
            <w:tcW w:w="840" w:type="dxa"/>
            <w:vAlign w:val="bottom"/>
            <w:vMerge w:val="restart"/>
          </w:tcPr>
          <w:p>
            <w:pPr>
              <w:jc w:val="right"/>
              <w:ind w:right="104"/>
              <w:spacing w:after="0"/>
              <w:rPr>
                <w:sz w:val="20"/>
                <w:szCs w:val="20"/>
                <w:color w:val="auto"/>
              </w:rPr>
            </w:pPr>
            <w:r>
              <w:rPr>
                <w:rFonts w:ascii="Arial" w:cs="Arial" w:eastAsia="Arial" w:hAnsi="Arial"/>
                <w:sz w:val="15"/>
                <w:szCs w:val="15"/>
                <w:color w:val="auto"/>
              </w:rPr>
              <w:t>(57,183)</w:t>
            </w:r>
          </w:p>
        </w:tc>
        <w:tc>
          <w:tcPr>
            <w:tcW w:w="94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960" w:type="dxa"/>
            <w:vAlign w:val="bottom"/>
            <w:vMerge w:val="restart"/>
          </w:tcPr>
          <w:p>
            <w:pPr>
              <w:jc w:val="right"/>
              <w:ind w:right="126"/>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65"/>
              <w:spacing w:after="0"/>
              <w:rPr>
                <w:sz w:val="20"/>
                <w:szCs w:val="20"/>
                <w:color w:val="auto"/>
              </w:rPr>
            </w:pPr>
            <w:r>
              <w:rPr>
                <w:rFonts w:ascii="Arial" w:cs="Arial" w:eastAsia="Arial" w:hAnsi="Arial"/>
                <w:sz w:val="15"/>
                <w:szCs w:val="15"/>
                <w:color w:val="auto"/>
              </w:rPr>
              <w:t>205</w:t>
            </w:r>
          </w:p>
        </w:tc>
        <w:tc>
          <w:tcPr>
            <w:tcW w:w="2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(57,183)</w:t>
            </w:r>
          </w:p>
        </w:tc>
        <w:tc>
          <w:tcPr>
            <w:tcW w:w="160" w:type="dxa"/>
            <w:vAlign w:val="bottom"/>
          </w:tcPr>
          <w:p>
            <w:pPr>
              <w:spacing w:after="0"/>
              <w:rPr>
                <w:sz w:val="18"/>
                <w:szCs w:val="18"/>
                <w:color w:val="auto"/>
              </w:rPr>
            </w:pPr>
          </w:p>
        </w:tc>
        <w:tc>
          <w:tcPr>
            <w:tcW w:w="1080" w:type="dxa"/>
            <w:vAlign w:val="bottom"/>
            <w:vMerge w:val="restart"/>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for stock</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options, restricted stock awards and</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97"/>
              </w:rPr>
              <w:t>restricted stock units, net of withholding</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taxes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3,236</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1,172</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3,224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rPr>
              <w:t>Cumulative effect adjustment due to</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ASU 2014-09</w:t>
            </w:r>
          </w:p>
        </w:tc>
        <w:tc>
          <w:tcPr>
            <w:tcW w:w="220" w:type="dxa"/>
            <w:vAlign w:val="bottom"/>
          </w:tcPr>
          <w:p>
            <w:pPr>
              <w:spacing w:after="0"/>
              <w:rPr>
                <w:sz w:val="17"/>
                <w:szCs w:val="17"/>
                <w:color w:val="auto"/>
              </w:rPr>
            </w:pP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1,373</w:t>
            </w: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1,373</w:t>
            </w:r>
          </w:p>
        </w:tc>
        <w:tc>
          <w:tcPr>
            <w:tcW w:w="9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7"/>
              </w:rPr>
              <w:t>Issuance of 0.625% Convertible Senior</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Notes, net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(5)</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rPr>
              <w:t>Noncontrolling interest</w:t>
            </w:r>
          </w:p>
        </w:tc>
        <w:tc>
          <w:tcPr>
            <w:tcW w:w="220" w:type="dxa"/>
            <w:vAlign w:val="bottom"/>
          </w:tcPr>
          <w:p>
            <w:pPr>
              <w:spacing w:after="0"/>
              <w:rPr>
                <w:sz w:val="18"/>
                <w:szCs w:val="18"/>
                <w:color w:val="auto"/>
              </w:rPr>
            </w:pPr>
          </w:p>
        </w:tc>
        <w:tc>
          <w:tcPr>
            <w:tcW w:w="840" w:type="dxa"/>
            <w:vAlign w:val="bottom"/>
            <w:vMerge w:val="restart"/>
          </w:tcPr>
          <w:p>
            <w:pPr>
              <w:jc w:val="right"/>
              <w:ind w:right="104"/>
              <w:spacing w:after="0"/>
              <w:rPr>
                <w:sz w:val="20"/>
                <w:szCs w:val="20"/>
                <w:color w:val="auto"/>
              </w:rPr>
            </w:pPr>
            <w:r>
              <w:rPr>
                <w:rFonts w:ascii="Arial" w:cs="Arial" w:eastAsia="Arial" w:hAnsi="Arial"/>
                <w:sz w:val="15"/>
                <w:szCs w:val="15"/>
                <w:color w:val="auto"/>
              </w:rPr>
              <w:t>(12)</w:t>
            </w:r>
          </w:p>
        </w:tc>
        <w:tc>
          <w:tcPr>
            <w:tcW w:w="94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960" w:type="dxa"/>
            <w:vAlign w:val="bottom"/>
            <w:vMerge w:val="restart"/>
          </w:tcPr>
          <w:p>
            <w:pPr>
              <w:jc w:val="right"/>
              <w:ind w:right="126"/>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6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58"/>
        </w:trPr>
        <w:tc>
          <w:tcPr>
            <w:tcW w:w="2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September 30, 2018</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376,466</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15,390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1,125,185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(607,182)</w:t>
            </w:r>
          </w:p>
        </w:tc>
        <w:tc>
          <w:tcPr>
            <w:tcW w:w="9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2,444</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(142,268)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577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Net income and comprehensive income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51"/>
              <w:spacing w:after="0"/>
              <w:rPr>
                <w:sz w:val="20"/>
                <w:szCs w:val="20"/>
                <w:color w:val="auto"/>
              </w:rPr>
            </w:pPr>
            <w:r>
              <w:rPr>
                <w:rFonts w:ascii="Arial" w:cs="Arial" w:eastAsia="Arial" w:hAnsi="Arial"/>
                <w:sz w:val="18"/>
                <w:szCs w:val="18"/>
                <w:b w:val="1"/>
                <w:bCs w:val="1"/>
                <w:color w:val="auto"/>
              </w:rPr>
              <w:t>99,799</w:t>
            </w:r>
          </w:p>
        </w:tc>
        <w:tc>
          <w:tcPr>
            <w:tcW w:w="5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23,304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Loss from discontinued operations,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9,269</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2,632</w:t>
            </w:r>
          </w:p>
        </w:tc>
      </w:tr>
      <w:tr>
        <w:trPr>
          <w:trHeight w:val="237"/>
        </w:trPr>
        <w:tc>
          <w:tcPr>
            <w:tcW w:w="8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109,068</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25,936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income from continuing operations to net cash provided by operating</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 attributable to continuing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Loss on impairments and disposal of assets</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1,986</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13,628</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5,199</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5,309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amortization of intangibles and 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554</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Non-cash compensation expense</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34,384</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13,068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(64,435)</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1,197</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20,640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922</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1,308</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convertible debt discount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8,497</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(23,387)</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(2,970)</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Current contingent consideration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(21,900)</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4,223</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 attributable to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60,227</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65,083</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Student Loan Hero, net of cash acquired</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(57,448)</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Ovation,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(11,683)</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SnapCap</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(11,886)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DepositAccounts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MagnifyMoney, net of cash acquired</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(29,511)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(79,793)</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(72,322)</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8"/>
              </w:rPr>
              <w:t>Proceeds from exercise of stock options, net of payments related to net-share settlement of stock-based</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30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3,236</w:t>
            </w:r>
          </w:p>
        </w:tc>
        <w:tc>
          <w:tcPr>
            <w:tcW w:w="5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payments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the issuance of 0.625% Convertible Senior Notes</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convertible note hedge transactions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the sale of warrants</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43,410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(57,018)</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(10,001)</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 attributable to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(80,482)</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263,710</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cash (used in) provided by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(100,048)</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256,471</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(7,352)</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(2,365)</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used in discontinued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(7,352)</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(2,365)</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8"/>
              </w:rPr>
              <w:t>Net (decrease) increase in cash, cash equivalents, restricted cash and restricted cash equivalents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(107,400)</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254,106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restricted cash and restricted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372,641</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95,220</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cash equivalents, restricted cash and restricted cash equivalents at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265,241</w:t>
            </w:r>
          </w:p>
        </w:tc>
        <w:tc>
          <w:tcPr>
            <w:tcW w:w="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349,326</w:t>
            </w:r>
          </w:p>
        </w:tc>
      </w:tr>
      <w:tr>
        <w:trPr>
          <w:trHeight w:val="34"/>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11420"/>
          </w:cols>
          <w:pgMar w:left="240" w:top="125" w:right="239" w:bottom="1"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25"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LendingTree, Inc. ("LendingTree" or the "Company"), is the parent of LendingTree, LLC and several companies owned by LendingTree, LLC.</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LendingTree operates what it believes to be the leading online loan marketplace for consumers seeking loans and other credit-based offerings.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and other related offerings. The Company primarily seeks to match in-market consumers with multiple lenders on its marketplace who can provide them with competing quotes for the loans, deposits or credit-based offerings they are seeking. The Company also serves as a valued partner to lenders seeking an efficient, scalable and flexible source of customer acquisition with directly measurable benefits, by matching the consumer loan inquiries it generates with these lenders.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 </w:t>
      </w:r>
      <w:r>
        <w:rPr>
          <w:rFonts w:ascii="Arial" w:cs="Arial" w:eastAsia="Arial" w:hAnsi="Arial"/>
          <w:sz w:val="18"/>
          <w:szCs w:val="18"/>
          <w:b w:val="1"/>
          <w:bCs w:val="1"/>
          <w:color w:val="auto"/>
        </w:rPr>
        <w:t>—</w:t>
      </w:r>
      <w:r>
        <w:rPr>
          <w:rFonts w:ascii="Arial" w:cs="Arial" w:eastAsia="Arial" w:hAnsi="Arial"/>
          <w:sz w:val="18"/>
          <w:szCs w:val="18"/>
          <w:color w:val="auto"/>
        </w:rPr>
        <w:t xml:space="preserve"> Discontinued Operations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September 30, 2018 and for the three and nine months ended September 30, 2018 and 2017,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nine months ended September 30, 2018 are not necessarily indicative of the results to be expected for the year ending December 31, 2018, or any other period. The accompanying consolidated balance sheet as of December 31, 2017 was derived from audited financial statements included in the Company's annual report on Form 10-K for the year ended December 31, 2017 (the "2017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2017 Annual Report.</w:t>
      </w:r>
    </w:p>
    <w:p>
      <w:pPr>
        <w:spacing w:after="0" w:line="11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Certain prior year amounts have been reclassified to conform to current year presentation.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discussion in Note 2—Significant Accounting Policies for the impact of adopting Accounting Standards Update ("ASU") 2016-18 on the presentation of changes in restricted cash in the statement of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fair value of assets acquired in a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combination; contingent consideration related to business combinations; litigation accruals; contract assets; various other allowances, reserves and accruals; and assumptions related to the determination of stock-based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September 30, 2018,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nature of the mortgage lending industry, interest rate fluctuations may negatively impact future revenue from the Company's lender marketplace.</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services, its ability to generate revenue may be limited. Because the Company does not have exclusive relationships with the lenders whose loan offerings are offered on its online marketplace, consumers may obtain offers and loans from these lenders without using its services.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2018, the Financial Accounting Standards Board ("FASB") issued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annual and interim reporting periods beginning after December 15, 2019. Early adoption is permitted, including adoption in any interim period. The amendments should be applied either retrospectively or prospectively to all implementation costs incurred after the date of adoption. The Company is evaluating the impact this ASU will have on its consolidated financial statements and whether to early adopt.</w:t>
      </w:r>
    </w:p>
    <w:p>
      <w:pPr>
        <w:spacing w:after="0" w:line="13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August 2018, the FASB issued ASU 2018-13 which removes, modifies and adds certain disclosure requirements in Accounting Standards Codification ("ASC") Topic 820, Fair Value Measurement. This ASU is effective for annual and interim reporting periods beginning after December 15, 2019, with early adoption permitted. Entities are permitted to adopt any removed or modified disclosures and delay adoption of the additional disclosures until the effective date of the ASU. Certain amendments must be applied prospectively while others are to be applied on a retrospective basis to all periods presented. The Company is evaluating the impact this ASU will have on its consolidated financial statements and whether to early adopt.</w:t>
      </w:r>
    </w:p>
    <w:p>
      <w:pPr>
        <w:spacing w:after="0" w:line="10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2018, the FASB issued ASU 2018-07 which simplifies the accounting for nonemployee share-based payments by expanding the scope of ASC Topic 718, Compensation—Stock Compensation, to include share-based payment transactions for acquiring goods and services from nonemployees. Under the new guidance, most of the initial and subsequent measurement for such payments to nonemployees is aligned with the requirements for share-based payments to employees. This ASU is effective for annual and interim reporting periods beginning after December 15, 2018, with early adoption permitted. Entities must transition to the new guidance through a cumulative-effect adjustment to retained earnings as of the beginning of the fiscal year of adoption. The Company early-adopted this ASU during the second quarter of 2018, with no impact to its consolidated financial statements.</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2017, the FASB issued ASU 2017-09 which clarifies when to account for a change to the terms or conditions of a share-based payment award as a modification. Under the new guidance, modification accounting is required only if the fair value, the vesting conditions or the classification of the award changes as a result of the change in terms or conditions. This ASU 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prospectively for annual periods beginning on or after December 15, 2017, and early adoption was permitted. The Company adopted this ASU during the first quarter of 2018.</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Early adoption is permitted for annual and interim goodwill impairment testing dates after January 1, 2017. The Company is evaluating the impact this ASU will have on its consolidated financial statements and whether to early adopt.</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November 2016, the FASB issued ASU 2016-18 which is intended to reduce the diversity in the classification and presentation of changes in restricted cash in the statement of cash flows, by requiring entities to combine the changes in cash and cash equivalents and restricted cash in one line. As a result, entities will no longer present transfers between cash and cash equivalents and restricted cash in the statement of cash flows. In addition, if more than one line item is recorded on the balance sheet for cash and cash equivalents and restricted cash, a reconciliation between the statement of cash flows and balance sheet is required. This ASU is effective for annual and interim reporting periods beginning after December 15, 2017, and early adoption was permitted. The retrospective transition method, requiring adjustment to all comparative periods presented, is required. The Company adopted this ASU during the first quarter of 2018. The adoption resulted in an immaterial reclassification of cash inflows from investing activities to operating activities for the nine months ended September 30, 2017.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4—Cash and Restricted Cash for the reconciliation of cash and cash equivalents and restricted cash reported on the balance sheet to the total of such amounts shown on the statement of cash flows.</w:t>
      </w:r>
    </w:p>
    <w:p>
      <w:pPr>
        <w:spacing w:after="0" w:line="12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August 2016, the FASB issued ASU 2016-15 which addresses eight cash flow classification issues, eliminating the diversity in practice. This ASU is effective for annual and interim reporting periods beginning after December 15, 2017, and early adoption was permitted. The retrospective transition method, requiring adjustment to all comparative periods presented, is required unless it is impracticable for some of the amendments, in which case those amendments would be prospectively applied as of the earliest date practicable. The Company adopted this ASU during the first quarter of 2018, and there was no adjustment to prior periods. Pursuant to adoption of this ASU, contingent consideration payments made are classified as cash outflows from financing activities up to the amount of the contingent consideration liability recognized at the acquisition date, and the portion of payments in excess of that initial liability are classified as cash outflows from operating activities.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6—Business Acquisitions for additional information.</w:t>
      </w:r>
    </w:p>
    <w:p>
      <w:pPr>
        <w:spacing w:after="0" w:line="11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February 2016, the FASB issued ASU 2016-02 related to leases. This ASU introduces ASC Topic 842, Leases, which will supersede the existing lease accounting guidance in ASC Topic 840, Leases. This ASU is effective for annual and interim reporting periods beginning after December 15, 2018, with early adoption permitted. In July 2018, the FASB issued ASU 2018-10 which clarifies certain narrow aspects of implementing ASU 2016-02, including clarifications related to the rate implicit in the lease, lessee reassessment of lease classification, lessor reassessment of lease term and purchase options, variable payments that depend on an index or rate, and impairment of the net investment in the lease. In the same month, the FASB issued ASU 2018-11 which provides an optional transition method that allows entities to initially apply the lease accounting transition requirements at the adoption date and recognize a cumulative effect adjustment to the opening balance of retained earnings in the period of adoption without restating comparative prior periods presented. ASU 2018-11 also includes a practical expedient for lessors to not separate the lease and nonlease components of a contract. ASU 2018-10 and ASU 2018-11 must be adopted concurrently with the adoption of ASU 2016-02 (collectively, "ASC Topic 842"). The Company is developing an inventory of lease arrangements and evaluating the impact ASC Topic 842 will have on its consolidated financial statements, which includes the recognition of right-of-use assets and lease liabilities related to operating leases greater than one year in duration for which the Company is the lessee. The Company will adopt ASC Topic 842 as of January 1, 2019 through a cumulative effect adjustment to the opening balance of accumulated deficit in the period of adoption without restating comparative prior periods presented.</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May 2014, the FASB issued ASU 2014-09 related to revenue recognition. This guidance introduces ASC Topic 606, Revenue from Contracts with Customers, and supersedes the revenue recognition requirements in ASC Topic 605, Revenue Recognition. In 2016, the FASB issued final amendments clarifying implementation guidance for principal versus agent considerations, identifying performance obligations, assessing collectability, presenting sales taxes, measuring noncash consideration and certain other transition matters. The clarification ASUs must be adopted concurrently with the adoption of ASU 2014-09 (collectively, "ASC Topic 606"). Under the new ASUs, the timing of recognizing revenue for closing fees and approval fees in the Company's non-mortgage product category has been accelerated to the point when a loan request or a credit card consumer is delivered to the customer as opposed to when the consumer loan is closed by the lender or credit card approval is made by the issuer and communicated to the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Company has adopted ASC Topic 606 as of January 1, 2018 using the modified retrospective transition approach. The Company recognized the cumulative effect of initially applying ASC Topic 606 as an adjustment to the opening balance of accumulated deficit. Under this approach, revenue for 2017 is reported in the consolidated statements of operations and comprehensive income on the historical basis, and revenue for 2018 is reported in the consolidated statements of operations and comprehensive income under ASC Topic 606. A comparison of revenue for 2018 periods to the historical basis is included below. The Company does not expect the adoption of ASC Topic 606 to have a material effect on annual revenue or net income from continuing operations on an ongoing basis.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3—Revenue for additional information.</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cumulative effect of the changes made to the consolidated January 1, 2018 balance sheet for the adoption of ASC Topic 606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2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4"/>
                <w:szCs w:val="14"/>
                <w:color w:val="auto"/>
              </w:rPr>
            </w:pPr>
          </w:p>
        </w:tc>
        <w:tc>
          <w:tcPr>
            <w:tcW w:w="122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due to</w:t>
            </w:r>
          </w:p>
        </w:tc>
        <w:tc>
          <w:tcPr>
            <w:tcW w:w="3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ASC Topic 606</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11,881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1,903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13,784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income tax assets</w:t>
            </w:r>
          </w:p>
        </w:tc>
        <w:tc>
          <w:tcPr>
            <w:tcW w:w="220" w:type="dxa"/>
            <w:vAlign w:val="bottom"/>
          </w:tcPr>
          <w:p>
            <w:pPr>
              <w:spacing w:after="0"/>
              <w:rPr>
                <w:sz w:val="21"/>
                <w:szCs w:val="21"/>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20,156</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(530)</w:t>
            </w:r>
          </w:p>
        </w:tc>
        <w:tc>
          <w:tcPr>
            <w:tcW w:w="3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19,626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(708,354)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1,373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(706,981)</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impact of adoption on the consolidated income statement and balance sheet for the periods ended September 30, 2018 was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September 30, 2018</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left="59"/>
              <w:spacing w:after="0"/>
              <w:rPr>
                <w:sz w:val="20"/>
                <w:szCs w:val="20"/>
                <w:color w:val="auto"/>
              </w:rPr>
            </w:pPr>
            <w:r>
              <w:rPr>
                <w:rFonts w:ascii="Arial" w:cs="Arial" w:eastAsia="Arial" w:hAnsi="Arial"/>
                <w:sz w:val="14"/>
                <w:szCs w:val="14"/>
                <w:b w:val="1"/>
                <w:bCs w:val="1"/>
                <w:color w:val="auto"/>
                <w:w w:val="93"/>
              </w:rPr>
              <w:t>Nine Months Ended September 30, 2018</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gridSpan w:val="3"/>
          </w:tcPr>
          <w:p>
            <w:pPr>
              <w:jc w:val="center"/>
              <w:ind w:left="37"/>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6"/>
              </w:rPr>
              <w:t>As Reported</w:t>
            </w:r>
          </w:p>
        </w:tc>
        <w:tc>
          <w:tcPr>
            <w:tcW w:w="220" w:type="dxa"/>
            <w:vAlign w:val="bottom"/>
          </w:tcPr>
          <w:p>
            <w:pPr>
              <w:spacing w:after="0"/>
              <w:rPr>
                <w:sz w:val="12"/>
                <w:szCs w:val="12"/>
                <w:color w:val="auto"/>
              </w:rPr>
            </w:pPr>
          </w:p>
        </w:tc>
        <w:tc>
          <w:tcPr>
            <w:tcW w:w="10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Effect of Change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adoption of</w:t>
            </w:r>
          </w:p>
        </w:tc>
        <w:tc>
          <w:tcPr>
            <w:tcW w:w="20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ASC Topic 606</w:t>
            </w:r>
          </w:p>
        </w:tc>
        <w:tc>
          <w:tcPr>
            <w:tcW w:w="114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2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4"/>
                <w:szCs w:val="14"/>
                <w:b w:val="1"/>
                <w:bCs w:val="1"/>
                <w:color w:val="auto"/>
                <w:w w:val="91"/>
              </w:rPr>
              <w:t>ASC Topic 606</w:t>
            </w: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197,057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196,316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580" w:type="dxa"/>
            <w:vAlign w:val="bottom"/>
            <w:tcBorders>
              <w:bottom w:val="single" w:sz="8" w:color="CCEEFF"/>
            </w:tcBorders>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89"/>
              </w:rPr>
              <w:t>562,193</w:t>
            </w:r>
          </w:p>
        </w:tc>
        <w:tc>
          <w:tcPr>
            <w:tcW w:w="26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560,560</w:t>
            </w:r>
          </w:p>
        </w:tc>
        <w:tc>
          <w:tcPr>
            <w:tcW w:w="7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1,633</w:t>
            </w: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21"/>
                <w:szCs w:val="21"/>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10,534</w:t>
            </w:r>
          </w:p>
        </w:tc>
        <w:tc>
          <w:tcPr>
            <w:tcW w:w="22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10,733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63,716</w:t>
            </w:r>
          </w:p>
        </w:tc>
        <w:tc>
          <w:tcPr>
            <w:tcW w:w="260" w:type="dxa"/>
            <w:vAlign w:val="bottom"/>
          </w:tcPr>
          <w:p>
            <w:pPr>
              <w:spacing w:after="0"/>
              <w:rPr>
                <w:sz w:val="21"/>
                <w:szCs w:val="21"/>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64,146</w:t>
            </w:r>
          </w:p>
        </w:tc>
        <w:tc>
          <w:tcPr>
            <w:tcW w:w="7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28,362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27,820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542</w:t>
            </w:r>
          </w:p>
        </w:tc>
        <w:tc>
          <w:tcPr>
            <w:tcW w:w="58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w w:val="89"/>
              </w:rPr>
              <w:t>109,068</w:t>
            </w:r>
          </w:p>
        </w:tc>
        <w:tc>
          <w:tcPr>
            <w:tcW w:w="260" w:type="dxa"/>
            <w:vAlign w:val="bottom"/>
          </w:tcPr>
          <w:p>
            <w:pPr>
              <w:jc w:val="center"/>
              <w:ind w:left="1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107,865</w:t>
            </w:r>
          </w:p>
        </w:tc>
        <w:tc>
          <w:tcPr>
            <w:tcW w:w="720" w:type="dxa"/>
            <w:vAlign w:val="bottom"/>
          </w:tcPr>
          <w:p>
            <w:pPr>
              <w:jc w:val="right"/>
              <w:ind w:right="39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1,203</w:t>
            </w:r>
          </w:p>
        </w:tc>
        <w:tc>
          <w:tcPr>
            <w:tcW w:w="0" w:type="dxa"/>
            <w:vAlign w:val="bottom"/>
          </w:tcPr>
          <w:p>
            <w:pPr>
              <w:spacing w:after="0"/>
              <w:rPr>
                <w:sz w:val="1"/>
                <w:szCs w:val="1"/>
                <w:color w:val="auto"/>
              </w:rPr>
            </w:pPr>
          </w:p>
        </w:tc>
      </w:tr>
      <w:tr>
        <w:trPr>
          <w:trHeight w:val="588"/>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As Reported</w:t>
            </w: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adoption of</w:t>
            </w:r>
          </w:p>
        </w:tc>
        <w:tc>
          <w:tcPr>
            <w:tcW w:w="200" w:type="dxa"/>
            <w:vAlign w:val="bottom"/>
          </w:tcPr>
          <w:p>
            <w:pPr>
              <w:spacing w:after="0"/>
              <w:rPr>
                <w:sz w:val="12"/>
                <w:szCs w:val="12"/>
                <w:color w:val="auto"/>
              </w:rPr>
            </w:pPr>
          </w:p>
        </w:tc>
        <w:tc>
          <w:tcPr>
            <w:tcW w:w="12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w w:val="91"/>
              </w:rPr>
              <w:t>Effect of Change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vMerge w:val="continue"/>
          </w:tcPr>
          <w:p>
            <w:pPr>
              <w:spacing w:after="0"/>
              <w:rPr>
                <w:sz w:val="16"/>
                <w:szCs w:val="16"/>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ASC Topic 606</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gridSpan w:val="3"/>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w w:val="87"/>
              </w:rPr>
              <w:t>16,411</w:t>
            </w:r>
          </w:p>
        </w:tc>
        <w:tc>
          <w:tcPr>
            <w:tcW w:w="7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4"/>
              </w:rPr>
              <w:t>12,103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4,308</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Deferred income tax assets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gridSpan w:val="3"/>
          </w:tcPr>
          <w:p>
            <w:pPr>
              <w:jc w:val="right"/>
              <w:ind w:right="8"/>
              <w:spacing w:after="0"/>
              <w:rPr>
                <w:sz w:val="20"/>
                <w:szCs w:val="20"/>
                <w:color w:val="auto"/>
              </w:rPr>
            </w:pPr>
            <w:r>
              <w:rPr>
                <w:rFonts w:ascii="Arial" w:cs="Arial" w:eastAsia="Arial" w:hAnsi="Arial"/>
                <w:sz w:val="18"/>
                <w:szCs w:val="18"/>
                <w:color w:val="auto"/>
                <w:w w:val="87"/>
              </w:rPr>
              <w:t>75,484</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w w:val="94"/>
              </w:rPr>
              <w:t>76,014</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4"/>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(607,182)</w:t>
            </w:r>
          </w:p>
        </w:tc>
        <w:tc>
          <w:tcPr>
            <w:tcW w:w="7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(610,960)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3,778</w:t>
            </w:r>
          </w:p>
        </w:tc>
        <w:tc>
          <w:tcPr>
            <w:tcW w:w="0" w:type="dxa"/>
            <w:vAlign w:val="bottom"/>
          </w:tcPr>
          <w:p>
            <w:pPr>
              <w:spacing w:after="0"/>
              <w:rPr>
                <w:sz w:val="1"/>
                <w:szCs w:val="1"/>
                <w:color w:val="auto"/>
              </w:rPr>
            </w:pPr>
          </w:p>
        </w:tc>
      </w:tr>
      <w:tr>
        <w:trPr>
          <w:trHeight w:val="459"/>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616"/>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6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696"/>
              <w:spacing w:after="0"/>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8"/>
                <w:szCs w:val="18"/>
                <w:color w:val="auto"/>
              </w:rPr>
            </w:pPr>
          </w:p>
        </w:tc>
        <w:tc>
          <w:tcPr>
            <w:tcW w:w="1160" w:type="dxa"/>
            <w:vAlign w:val="bottom"/>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3"/>
        </w:trPr>
        <w:tc>
          <w:tcPr>
            <w:tcW w:w="3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1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 products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55,287</w:t>
            </w:r>
          </w:p>
        </w:tc>
        <w:tc>
          <w:tcPr>
            <w:tcW w:w="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73,756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195,697</w:t>
            </w:r>
          </w:p>
        </w:tc>
        <w:tc>
          <w:tcPr>
            <w:tcW w:w="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208,209</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Non-mortgage products</w:t>
            </w: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Credit cards</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42,698</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127,577</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110,134</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Personal loans</w:t>
            </w:r>
          </w:p>
        </w:tc>
        <w:tc>
          <w:tcPr>
            <w:tcW w:w="110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38,569</w:t>
            </w:r>
          </w:p>
        </w:tc>
        <w:tc>
          <w:tcPr>
            <w:tcW w:w="7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25,449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100,744</w:t>
            </w:r>
          </w:p>
        </w:tc>
        <w:tc>
          <w:tcPr>
            <w:tcW w:w="7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62,984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60,503</w:t>
            </w: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32,920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138,175</w:t>
            </w: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75,455</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8"/>
                <w:szCs w:val="18"/>
                <w:color w:val="auto"/>
              </w:rPr>
              <w:t>Total non-mortgage products</w:t>
            </w:r>
          </w:p>
        </w:tc>
        <w:tc>
          <w:tcPr>
            <w:tcW w:w="1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5"/>
              </w:rPr>
              <w:t>141,770</w:t>
            </w:r>
          </w:p>
        </w:tc>
        <w:tc>
          <w:tcPr>
            <w:tcW w:w="7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97,738</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366,496</w:t>
            </w:r>
          </w:p>
        </w:tc>
        <w:tc>
          <w:tcPr>
            <w:tcW w:w="7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248,573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revenue</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5"/>
              </w:rPr>
              <w:t>197,057</w:t>
            </w:r>
          </w:p>
        </w:tc>
        <w:tc>
          <w:tcPr>
            <w:tcW w:w="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171,494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562,193</w:t>
            </w:r>
          </w:p>
        </w:tc>
        <w:tc>
          <w:tcPr>
            <w:tcW w:w="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456,782</w:t>
            </w:r>
          </w:p>
        </w:tc>
        <w:tc>
          <w:tcPr>
            <w:tcW w:w="0" w:type="dxa"/>
            <w:vAlign w:val="bottom"/>
          </w:tcPr>
          <w:p>
            <w:pPr>
              <w:spacing w:after="0"/>
              <w:rPr>
                <w:sz w:val="1"/>
                <w:szCs w:val="1"/>
                <w:color w:val="auto"/>
              </w:rPr>
            </w:pPr>
          </w:p>
        </w:tc>
      </w:tr>
      <w:tr>
        <w:trPr>
          <w:trHeight w:val="27"/>
        </w:trPr>
        <w:tc>
          <w:tcPr>
            <w:tcW w:w="37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In identifying performance obligations, judgment is required around contracts where there was a possibility of bundled services and multiple parties. In applying judgment, the Company considered customer expectations of performance, materiality and the core principles of ASC Topic 606. The Company's services are generally transferred to the customer at a point in time.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Variable consideration is included in revenue if it is probable that a significant future reversal of cumulative revenue under the contract will not occur.</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 within the mortgage product category is primarily generated from upfront match fees paid by network lenders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Revenue recognition on match fees was not impacted by the adoption of ASC Topic 606, as the Company's contractual right to the match fee consideration is contemporaneous with the satisfaction of the performance obligation to deliver a loan request to the customer.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match and other upfront fees, revenue within the non-mortgage product category is also generated from closing fees and approval fees.</w:t>
      </w:r>
    </w:p>
    <w:p>
      <w:pPr>
        <w:spacing w:after="0" w:line="1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Closing fees are derived from lenders on certain auto loans, business loans, personal loans and student loans when the lender funds a loan with the consumer. Prior to the adoption of ASC Topic 606, closed loan fees were recognized at the time the lender reported the closed loan to the Company, which could be several months after the original request was transmitted.</w:t>
      </w:r>
    </w:p>
    <w:p>
      <w:pPr>
        <w:spacing w:after="0" w:line="12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Approval fees are derived from credit card issuers when the credit card consumer receives card approval from the credit card issuer. Prior to the adoption of ASC Topic 606, approval fees were recognized at the time the credit card issuer reported the card approval for the consumer to the Company, which is generally within two weeks after the consumer's request was transmitted.</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ASC Topic 606, the timing of recognizing revenue for closing fees and approval fees is accelerated to the point when a loan request or a credit card consumer is delivered to the customer, as opposed to when the consumer loan is closed by the lender or credit card approval is made by the issuer. The Company's contractual right to closing fees and approval fees is not contemporaneous with the satisfaction of the performance obligation to deliver a loan request or a credit card consumer to the customer. As such, the Company will record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 The time between satisfaction of the Company's performance obligation and when the Company's right to consideration becomes unconditional is generally less than 90 days.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Upfront fees and subscription fees are derived from consumers in the Company's credit services business, which was acquired on June 11, 2018. Upfront fees paid by consumers are recognized as revenue over the estimated time the consumer will remain a customer and receive services. Subscription fees are recognized over the period a consumer is receiving services.</w:t>
      </w:r>
    </w:p>
    <w:p>
      <w:pPr>
        <w:spacing w:after="0" w:line="12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contract asset recorded within prepaid and other current assets on the consolidated balance sheets related to estimated variable consideration was $1.9 million and $4.3 million on January 1, 2018 and September 30, 2018, respectively. The increase in the contract asset from January 1, 2018 to September 30, 2018 is primarily due to recent business acquisitions. During the third quarter of 2018, the Company established a contract asset for business loans from a recent acquisition, for which the Company has determined it has established sufficient historical information to determine an estimate. Additionally, the Company increased the contract asset balance for the acquisition of Student Loan Hero, Inc. (“Student Loan Hero”), which was acquired on July 23, 2018.</w:t>
      </w:r>
    </w:p>
    <w:p>
      <w:pPr>
        <w:spacing w:after="0" w:line="10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a result of the acquisition of Ovation Credit Services, Inc. ("Ovation") on June 11, 2018, a $0.3 million contract liability was recorded within accrued expenses and other current liabilities on the September 30, 2018 consolidated balance sheet related to the upfront fees paid by consumers.</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a decrease to such revenue from prior periods of $0.1 million in the third quarter of 2018.</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Both the mortgage and non-mortgage product categories are included in the Company's single reportable segment.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payment terms vary by customer and services offered. The term between invoicing and when payment is due is generally 30 days or less.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commissions are incremental costs of obtaining contracts with customers. The Company expenses sales commissions when incurred as the duration of contracts with customers is less than one year, based on the right for either party to terminate the contract with less than one year's notice without compensation to either party. These costs are recorded within selling and marketing expense on the consolidated statements of operations and comprehensive income.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265,194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368,550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4,091</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265,241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372,641</w:t>
            </w:r>
          </w:p>
        </w:tc>
      </w:tr>
      <w:tr>
        <w:trPr>
          <w:trHeight w:val="378"/>
        </w:trPr>
        <w:tc>
          <w:tcPr>
            <w:tcW w:w="83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88"/>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24"/>
                <w:szCs w:val="2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2017</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from sale of LendingTree Loans </w:t>
            </w:r>
            <w:r>
              <w:rPr>
                <w:rFonts w:ascii="Arial" w:cs="Arial" w:eastAsia="Arial" w:hAnsi="Arial"/>
                <w:sz w:val="25"/>
                <w:szCs w:val="25"/>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restricted 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4,091</w:t>
            </w:r>
          </w:p>
        </w:tc>
      </w:tr>
      <w:tr>
        <w:trPr>
          <w:trHeight w:val="27"/>
        </w:trPr>
        <w:tc>
          <w:tcPr>
            <w:tcW w:w="8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Home Loan Center, Inc. ("HLC"), a subsidiary of the Company, continues to be liable for certain indemnification obligations, repurchase obligations and premium repayment obligations following the sale of substantially all of the operating assets of its LendingTree Loans business in the second quarter of 2012. Of the purchase price received, a portion was deposited in escrow in accordance with the agreement with Discover for certain loan loss obligations that remain with the Company following the sale. During the second quarter of 2018, the remaining funds in escrow were released to the Company in accordance with the terms of the agreement with Discover.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16—Subsequent Events for additional information regarding cash and cash equivalents.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Goodwill</w:t>
            </w:r>
          </w:p>
        </w:tc>
        <w:tc>
          <w:tcPr>
            <w:tcW w:w="280" w:type="dxa"/>
            <w:vAlign w:val="bottom"/>
          </w:tcPr>
          <w:p>
            <w:pPr>
              <w:spacing w:after="0"/>
              <w:rPr>
                <w:sz w:val="14"/>
                <w:szCs w:val="14"/>
                <w:color w:val="auto"/>
              </w:rPr>
            </w:pPr>
          </w:p>
        </w:tc>
        <w:tc>
          <w:tcPr>
            <w:tcW w:w="1360" w:type="dxa"/>
            <w:vAlign w:val="bottom"/>
          </w:tcPr>
          <w:p>
            <w:pPr>
              <w:jc w:val="right"/>
              <w:ind w:right="277"/>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26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3"/>
              </w:rPr>
              <w:t>Net Goodwill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8"/>
              </w:rPr>
              <w:t>Impairment Loss</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596,456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113,368</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Acquisition of Ovation</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11,280</w:t>
            </w:r>
          </w:p>
        </w:tc>
        <w:tc>
          <w:tcPr>
            <w:tcW w:w="280" w:type="dxa"/>
            <w:vAlign w:val="bottom"/>
          </w:tcPr>
          <w:p>
            <w:pPr>
              <w:spacing w:after="0"/>
              <w:rPr>
                <w:sz w:val="21"/>
                <w:szCs w:val="21"/>
                <w:color w:val="auto"/>
              </w:rPr>
            </w:pP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Student Loan Hero</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41,682</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41,682</w:t>
            </w:r>
          </w:p>
        </w:tc>
        <w:tc>
          <w:tcPr>
            <w:tcW w:w="0" w:type="dxa"/>
            <w:vAlign w:val="bottom"/>
          </w:tcPr>
          <w:p>
            <w:pPr>
              <w:spacing w:after="0"/>
              <w:rPr>
                <w:sz w:val="1"/>
                <w:szCs w:val="1"/>
                <w:color w:val="auto"/>
              </w:rPr>
            </w:pPr>
          </w:p>
        </w:tc>
      </w:tr>
      <w:tr>
        <w:trPr>
          <w:trHeight w:val="237"/>
        </w:trPr>
        <w:tc>
          <w:tcPr>
            <w:tcW w:w="68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649,418</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(483,088)</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166,330</w:t>
            </w:r>
          </w:p>
        </w:tc>
        <w:tc>
          <w:tcPr>
            <w:tcW w:w="0" w:type="dxa"/>
            <w:vAlign w:val="bottom"/>
          </w:tcPr>
          <w:p>
            <w:pPr>
              <w:spacing w:after="0"/>
              <w:rPr>
                <w:sz w:val="1"/>
                <w:szCs w:val="1"/>
                <w:color w:val="auto"/>
              </w:rPr>
            </w:pPr>
          </w:p>
        </w:tc>
      </w:tr>
      <w:tr>
        <w:trPr>
          <w:trHeight w:val="34"/>
        </w:trPr>
        <w:tc>
          <w:tcPr>
            <w:tcW w:w="6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8"/>
        </w:trPr>
        <w:tc>
          <w:tcPr>
            <w:tcW w:w="6860" w:type="dxa"/>
            <w:vAlign w:val="bottom"/>
          </w:tcPr>
          <w:p>
            <w:pPr>
              <w:ind w:left="340"/>
              <w:spacing w:after="0"/>
              <w:rPr>
                <w:sz w:val="20"/>
                <w:szCs w:val="20"/>
                <w:color w:val="auto"/>
              </w:rPr>
            </w:pPr>
            <w:r>
              <w:rPr>
                <w:rFonts w:ascii="Arial" w:cs="Arial" w:eastAsia="Arial" w:hAnsi="Arial"/>
                <w:sz w:val="18"/>
                <w:szCs w:val="18"/>
                <w:color w:val="auto"/>
              </w:rPr>
              <w:t xml:space="preserve">The balance of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ind w:right="337"/>
              <w:spacing w:after="0"/>
              <w:rPr>
                <w:sz w:val="20"/>
                <w:szCs w:val="20"/>
                <w:color w:val="auto"/>
              </w:rPr>
            </w:pPr>
            <w:r>
              <w:rPr>
                <w:rFonts w:ascii="Arial" w:cs="Arial" w:eastAsia="Arial" w:hAnsi="Arial"/>
                <w:sz w:val="14"/>
                <w:szCs w:val="14"/>
                <w:b w:val="1"/>
                <w:bCs w:val="1"/>
                <w:color w:val="auto"/>
                <w:w w:val="96"/>
              </w:rPr>
              <w:t>September 30,</w:t>
            </w:r>
          </w:p>
        </w:tc>
        <w:tc>
          <w:tcPr>
            <w:tcW w:w="280" w:type="dxa"/>
            <w:vAlign w:val="bottom"/>
          </w:tcPr>
          <w:p>
            <w:pPr>
              <w:spacing w:after="0"/>
              <w:rPr>
                <w:sz w:val="24"/>
                <w:szCs w:val="24"/>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10,142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85,828</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70,983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95,970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81,125</w:t>
            </w:r>
          </w:p>
        </w:tc>
        <w:tc>
          <w:tcPr>
            <w:tcW w:w="0" w:type="dxa"/>
            <w:vAlign w:val="bottom"/>
          </w:tcPr>
          <w:p>
            <w:pPr>
              <w:spacing w:after="0"/>
              <w:rPr>
                <w:sz w:val="1"/>
                <w:szCs w:val="1"/>
                <w:color w:val="auto"/>
              </w:rPr>
            </w:pPr>
          </w:p>
        </w:tc>
      </w:tr>
      <w:tr>
        <w:trPr>
          <w:trHeight w:val="27"/>
        </w:trPr>
        <w:tc>
          <w:tcPr>
            <w:tcW w:w="6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goodwill is associated with its one reportable segment. Intangible assets with indefinite lives relate to the Company's trademarks.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(15,680)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27,820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37,500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(5,969)</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31,531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Tenant leases</w:t>
            </w:r>
          </w:p>
        </w:tc>
        <w:tc>
          <w:tcPr>
            <w:tcW w:w="3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1,081</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(550)</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Website content</w:t>
            </w:r>
          </w:p>
        </w:tc>
        <w:tc>
          <w:tcPr>
            <w:tcW w:w="3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24,200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(4,161)</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20,039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3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3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115,478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(29,650)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85,828</w:t>
            </w:r>
          </w:p>
        </w:tc>
        <w:tc>
          <w:tcPr>
            <w:tcW w:w="0" w:type="dxa"/>
            <w:vAlign w:val="bottom"/>
          </w:tcPr>
          <w:p>
            <w:pPr>
              <w:spacing w:after="0"/>
              <w:rPr>
                <w:sz w:val="1"/>
                <w:szCs w:val="1"/>
                <w:color w:val="auto"/>
              </w:rPr>
            </w:pPr>
          </w:p>
        </w:tc>
      </w:tr>
      <w:tr>
        <w:trPr>
          <w:trHeight w:val="288"/>
        </w:trPr>
        <w:tc>
          <w:tcPr>
            <w:tcW w:w="400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(8,694)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28,806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33,100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(3,239)</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29,861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(1,992)</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Tenant leases</w:t>
            </w:r>
          </w:p>
        </w:tc>
        <w:tc>
          <w:tcPr>
            <w:tcW w:w="3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1,362</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(504)</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Website content</w:t>
            </w:r>
          </w:p>
        </w:tc>
        <w:tc>
          <w:tcPr>
            <w:tcW w:w="3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3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(248)</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3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86,960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(15,977)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70,983</w:t>
            </w:r>
          </w:p>
        </w:tc>
        <w:tc>
          <w:tcPr>
            <w:tcW w:w="0" w:type="dxa"/>
            <w:vAlign w:val="bottom"/>
          </w:tcPr>
          <w:p>
            <w:pPr>
              <w:spacing w:after="0"/>
              <w:rPr>
                <w:sz w:val="1"/>
                <w:szCs w:val="1"/>
                <w:color w:val="auto"/>
              </w:rPr>
            </w:pPr>
          </w:p>
        </w:tc>
      </w:tr>
      <w:tr>
        <w:trPr>
          <w:trHeight w:val="459"/>
        </w:trPr>
        <w:tc>
          <w:tcPr>
            <w:tcW w:w="400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jc w:val="right"/>
              <w:ind w:right="1190"/>
              <w:spacing w:after="0"/>
              <w:rPr>
                <w:sz w:val="20"/>
                <w:szCs w:val="20"/>
                <w:color w:val="auto"/>
              </w:rPr>
            </w:pPr>
            <w:r>
              <w:rPr>
                <w:rFonts w:ascii="Arial" w:cs="Arial" w:eastAsia="Arial" w:hAnsi="Arial"/>
                <w:sz w:val="18"/>
                <w:szCs w:val="18"/>
                <w:color w:val="auto"/>
              </w:rPr>
              <w:t>13</w:t>
            </w: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September 30, 2018,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2019</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23,969</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2021</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10,509</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2022</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18,758</w:t>
            </w:r>
          </w:p>
        </w:tc>
      </w:tr>
      <w:tr>
        <w:trPr>
          <w:trHeight w:val="27"/>
        </w:trPr>
        <w:tc>
          <w:tcPr>
            <w:tcW w:w="9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85,828</w:t>
            </w:r>
          </w:p>
        </w:tc>
      </w:tr>
      <w:tr>
        <w:trPr>
          <w:trHeight w:val="27"/>
        </w:trPr>
        <w:tc>
          <w:tcPr>
            <w:tcW w:w="99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6—BUSINESS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Student Loan Hero</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23, 2018, the Company acquired Student Loan Hero, Inc., a personal finance website dedicated to helping student loan borrowers manage their student debt. Student Loan Hero offers current and former students in-depth financial comparison tools, educational resources, and unbiased, personalized advice. The Company made an upfront cash payment of $60.7 million at the closing of the transaction, of which $2.3 million was recognized as severance expense in the Company's consolidated statements of operations and comprehensive income. The Company has estimated a preliminary purchase price of $60.4 million, comprised of the upfront cash payment of $60.7 million less the $2.3 million recognized as severance expense, and an estimated $2.0 million post-closing increase to working capital.</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The preliminary allocation of purchase price to the assets acquired and liabilities assumed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191"/>
              <w:spacing w:after="0"/>
              <w:rPr>
                <w:sz w:val="20"/>
                <w:szCs w:val="20"/>
                <w:color w:val="auto"/>
              </w:rPr>
            </w:pPr>
            <w:r>
              <w:rPr>
                <w:rFonts w:ascii="Arial" w:cs="Arial" w:eastAsia="Arial" w:hAnsi="Arial"/>
                <w:sz w:val="16"/>
                <w:szCs w:val="16"/>
                <w:b w:val="1"/>
                <w:bCs w:val="1"/>
                <w:color w:val="auto"/>
                <w:w w:val="98"/>
              </w:rPr>
              <w:t>Preliminary Fair Value</w:t>
            </w:r>
          </w:p>
        </w:tc>
      </w:tr>
      <w:tr>
        <w:trPr>
          <w:trHeight w:val="33"/>
        </w:trPr>
        <w:tc>
          <w:tcPr>
            <w:tcW w:w="9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19,900</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41,682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(6,323)</w:t>
            </w:r>
          </w:p>
        </w:tc>
      </w:tr>
      <w:tr>
        <w:trPr>
          <w:trHeight w:val="27"/>
        </w:trPr>
        <w:tc>
          <w:tcPr>
            <w:tcW w:w="9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preliminary purchase price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60,418</w:t>
            </w:r>
          </w:p>
        </w:tc>
      </w:tr>
      <w:tr>
        <w:trPr>
          <w:trHeight w:val="27"/>
        </w:trPr>
        <w:tc>
          <w:tcPr>
            <w:tcW w:w="9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of content, customer relationships and trademarks and tradenames. The estimated fair values of the content was determined using excess earnings analysis, the customer relationships were determined using the distributor method and the trademarks and tradenames were determined using relief from royalty analysis. 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ind w:right="352"/>
              <w:spacing w:after="0"/>
              <w:rPr>
                <w:sz w:val="20"/>
                <w:szCs w:val="20"/>
                <w:color w:val="auto"/>
              </w:rPr>
            </w:pPr>
            <w:r>
              <w:rPr>
                <w:rFonts w:ascii="Arial" w:cs="Arial" w:eastAsia="Arial" w:hAnsi="Arial"/>
                <w:sz w:val="16"/>
                <w:szCs w:val="16"/>
                <w:b w:val="1"/>
                <w:bCs w:val="1"/>
                <w:color w:val="auto"/>
                <w:w w:val="99"/>
              </w:rPr>
              <w:t>Preliminary Fair Value</w:t>
            </w:r>
          </w:p>
        </w:tc>
        <w:tc>
          <w:tcPr>
            <w:tcW w:w="2000" w:type="dxa"/>
            <w:vAlign w:val="bottom"/>
          </w:tcPr>
          <w:p>
            <w:pPr>
              <w:jc w:val="right"/>
              <w:ind w:right="373"/>
              <w:spacing w:after="0"/>
              <w:rPr>
                <w:sz w:val="20"/>
                <w:szCs w:val="20"/>
                <w:color w:val="auto"/>
              </w:rPr>
            </w:pPr>
            <w:r>
              <w:rPr>
                <w:rFonts w:ascii="Arial" w:cs="Arial" w:eastAsia="Arial" w:hAnsi="Arial"/>
                <w:sz w:val="16"/>
                <w:szCs w:val="16"/>
                <w:b w:val="1"/>
                <w:bCs w:val="1"/>
                <w:color w:val="auto"/>
              </w:rPr>
              <w:t>Amortization Life</w:t>
            </w:r>
          </w:p>
        </w:tc>
      </w:tr>
      <w:tr>
        <w:trPr>
          <w:trHeight w:val="33"/>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16,400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200" w:type="dxa"/>
            <w:vAlign w:val="bottom"/>
          </w:tcPr>
          <w:p>
            <w:pPr>
              <w:spacing w:after="0"/>
              <w:rPr>
                <w:sz w:val="21"/>
                <w:szCs w:val="21"/>
                <w:color w:val="auto"/>
              </w:rPr>
            </w:pPr>
          </w:p>
        </w:tc>
        <w:tc>
          <w:tcPr>
            <w:tcW w:w="2140" w:type="dxa"/>
            <w:vAlign w:val="bottom"/>
          </w:tcPr>
          <w:p>
            <w:pPr>
              <w:jc w:val="right"/>
              <w:ind w:right="172"/>
              <w:spacing w:after="0"/>
              <w:rPr>
                <w:sz w:val="20"/>
                <w:szCs w:val="20"/>
                <w:color w:val="auto"/>
              </w:rPr>
            </w:pPr>
            <w:r>
              <w:rPr>
                <w:rFonts w:ascii="Arial" w:cs="Arial" w:eastAsia="Arial" w:hAnsi="Arial"/>
                <w:sz w:val="18"/>
                <w:szCs w:val="18"/>
                <w:color w:val="auto"/>
              </w:rPr>
              <w:t>2,500</w:t>
            </w:r>
          </w:p>
        </w:tc>
        <w:tc>
          <w:tcPr>
            <w:tcW w:w="200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20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14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19,900</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 years</w:t>
            </w:r>
          </w:p>
        </w:tc>
      </w:tr>
      <w:tr>
        <w:trPr>
          <w:trHeight w:val="34"/>
        </w:trPr>
        <w:tc>
          <w:tcPr>
            <w:tcW w:w="7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September 30, 2018, the Company has not completed its determination of the final purchase price or the final allocation of the purchase price to the assets and liabilities of the acquisition. The purchase price and final allocation of purchase price is expected to be finalized in the fourth quarter of 2018. Any adjustment to the preliminary purchase price or the assets and liabilities assumed with the acquisition will adjust goodwill.</w:t>
      </w:r>
    </w:p>
    <w:p>
      <w:pPr>
        <w:spacing w:after="0" w:line="11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recorded preliminary goodwill of $41.7 million, which represents the excess of the purchase price over the estimated fair value of tangible and intangible assets acquired, net of the liabilities assumed. The goodwill is primarily attributable to Student Loan Hero as a going concern, which represents the ability of the Company to earn a higher return on the collection of assets and business of Student Loan Hero than if those assets and business were to be acquired and managed separately. The benefit of access to the workforce is an additional element of goodwill. The goodwill is recorded in the Company’s one reportable segment. For income tax purposes, the acquisition was an equity purchase and the goodwill will not be tax deductible.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Acquisition-related costs were $0.2 million and $0.5 million, respectively, in the third quarter and first nine months of 2018, and are included in general and administrative expense on the consolidated statement of operations and comprehensive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11, 2018, the Company acquired Ovation Credit Services, Inc., a leading provider of credit services with a strong customer service reputation.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paid $12.2 million in initial cash consideration and could make up to two additional earnout payments, each ranging from zero to $4.375 million, based on certain defined operating metrics during the earnout periods July 1, 2018 through June 30, 2019 and July 1, 2019 through June 30, 2020. These additional payments, to the extent earned, will be payable in cash. The purchase price of $17.9 million is comprised of the upfront cash payment of $12.2 million, $5.8 million for the estimated fair value of the earnout payments, and a $0.1 million post-closing reduction to working capital.</w:t>
      </w:r>
    </w:p>
    <w:p>
      <w:pPr>
        <w:spacing w:after="0" w:line="10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September 30, 2018, the estimated fair value of the contingent consideration totaled $6.7 million, which is included in non-current contingent consideration in the accompanying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third quarter and first nine months of 2018, the Company recorded $0.9 million of contingent consideration expense in the consolidated statement of operations and comprehensive income due to the change in estimated fair value of the contingent consideration.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The preliminary allocation of purchase price to the assets acquired and liabilities assumed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191"/>
              <w:spacing w:after="0"/>
              <w:rPr>
                <w:sz w:val="20"/>
                <w:szCs w:val="20"/>
                <w:color w:val="auto"/>
              </w:rPr>
            </w:pPr>
            <w:r>
              <w:rPr>
                <w:rFonts w:ascii="Arial" w:cs="Arial" w:eastAsia="Arial" w:hAnsi="Arial"/>
                <w:sz w:val="16"/>
                <w:szCs w:val="16"/>
                <w:b w:val="1"/>
                <w:bCs w:val="1"/>
                <w:color w:val="auto"/>
                <w:w w:val="98"/>
              </w:rPr>
              <w:t>Preliminary Fair Value</w:t>
            </w:r>
          </w:p>
        </w:tc>
      </w:tr>
      <w:tr>
        <w:trPr>
          <w:trHeight w:val="33"/>
        </w:trPr>
        <w:tc>
          <w:tcPr>
            <w:tcW w:w="9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11,280</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r>
      <w:tr>
        <w:trPr>
          <w:trHeight w:val="237"/>
        </w:trPr>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17,871</w:t>
            </w:r>
          </w:p>
        </w:tc>
      </w:tr>
      <w:tr>
        <w:trPr>
          <w:trHeight w:val="34"/>
        </w:trPr>
        <w:tc>
          <w:tcPr>
            <w:tcW w:w="9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of developed technology, customer relationships and trademarks and tradenames. The estimated fair values of the developed technology were determined using excess earnings analysis, the customer relationships were determined using cost savings analysis and the trademarks and tradenames were determined using relief from royalty analysis. 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708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Arial" w:cs="Arial" w:eastAsia="Arial" w:hAnsi="Arial"/>
                <w:sz w:val="16"/>
                <w:szCs w:val="16"/>
                <w:b w:val="1"/>
                <w:bCs w:val="1"/>
                <w:color w:val="auto"/>
              </w:rPr>
              <w:t>Fair Value</w:t>
            </w:r>
          </w:p>
        </w:tc>
        <w:tc>
          <w:tcPr>
            <w:tcW w:w="780" w:type="dxa"/>
            <w:vAlign w:val="bottom"/>
          </w:tcPr>
          <w:p>
            <w:pPr>
              <w:spacing w:after="0"/>
              <w:rPr>
                <w:sz w:val="18"/>
                <w:szCs w:val="18"/>
                <w:color w:val="auto"/>
              </w:rPr>
            </w:pPr>
          </w:p>
        </w:tc>
        <w:tc>
          <w:tcPr>
            <w:tcW w:w="2000" w:type="dxa"/>
            <w:vAlign w:val="bottom"/>
          </w:tcPr>
          <w:p>
            <w:pPr>
              <w:jc w:val="right"/>
              <w:ind w:right="373"/>
              <w:spacing w:after="0"/>
              <w:rPr>
                <w:sz w:val="20"/>
                <w:szCs w:val="20"/>
                <w:color w:val="auto"/>
              </w:rPr>
            </w:pPr>
            <w:r>
              <w:rPr>
                <w:rFonts w:ascii="Arial" w:cs="Arial" w:eastAsia="Arial" w:hAnsi="Arial"/>
                <w:sz w:val="16"/>
                <w:szCs w:val="16"/>
                <w:b w:val="1"/>
                <w:bCs w:val="1"/>
                <w:color w:val="auto"/>
              </w:rPr>
              <w:t>Amortization Life</w:t>
            </w:r>
          </w:p>
        </w:tc>
      </w:tr>
      <w:tr>
        <w:trPr>
          <w:trHeight w:val="33"/>
        </w:trPr>
        <w:tc>
          <w:tcPr>
            <w:tcW w:w="7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560" w:type="dxa"/>
            <w:vAlign w:val="bottom"/>
            <w:tcBorders>
              <w:bottom w:val="single" w:sz="8" w:color="CCEEFF"/>
            </w:tcBorders>
            <w:shd w:val="clear" w:color="auto" w:fill="CCEEFF"/>
          </w:tcPr>
          <w:p>
            <w:pPr>
              <w:jc w:val="right"/>
              <w:ind w:right="135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5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1,900</w:t>
            </w:r>
          </w:p>
        </w:tc>
        <w:tc>
          <w:tcPr>
            <w:tcW w:w="2000" w:type="dxa"/>
            <w:vAlign w:val="bottom"/>
          </w:tcPr>
          <w:p>
            <w:pPr>
              <w:jc w:val="right"/>
              <w:spacing w:after="0"/>
              <w:rPr>
                <w:sz w:val="20"/>
                <w:szCs w:val="20"/>
                <w:color w:val="auto"/>
              </w:rPr>
            </w:pPr>
            <w:r>
              <w:rPr>
                <w:rFonts w:ascii="Arial" w:cs="Arial" w:eastAsia="Arial" w:hAnsi="Arial"/>
                <w:sz w:val="18"/>
                <w:szCs w:val="18"/>
                <w:color w:val="auto"/>
              </w:rPr>
              <w:t>1 year</w:t>
            </w:r>
          </w:p>
        </w:tc>
      </w:tr>
      <w:tr>
        <w:trPr>
          <w:trHeight w:val="27"/>
        </w:trPr>
        <w:tc>
          <w:tcPr>
            <w:tcW w:w="7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15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1560" w:type="dxa"/>
            <w:vAlign w:val="bottom"/>
            <w:tcBorders>
              <w:top w:val="single" w:sz="8" w:color="auto"/>
            </w:tcBorders>
          </w:tcPr>
          <w:p>
            <w:pPr>
              <w:jc w:val="right"/>
              <w:ind w:right="1353"/>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8,900</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 years</w:t>
            </w:r>
          </w:p>
        </w:tc>
      </w:tr>
      <w:tr>
        <w:trPr>
          <w:trHeight w:val="34"/>
        </w:trPr>
        <w:tc>
          <w:tcPr>
            <w:tcW w:w="7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2018, the Company has not completed its determination of the final allocation of the purchase price to the assets and liabilities of the acquisition. The final allocation of purchase price is expected to be finalized in the fourth quarter of 2018. Any adjustment to the assets and liabilities assumed with the acquisition will adjust goodwill.</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recorded preliminary goodwill of $11.3 million, which represents the excess of the purchase price over the estimated fair value of tangible and intangible assets acquired, net of the liabilities assumed. The goodwill is primarily attributable to Ovation as a going concern, which represents the ability of the Company to earn a higher return on the collection of assets and business of Ovation than if those assets and business were to be acquired and managed separately. The benefit of access to the workforce is an additional element of goodwill. The goodwill is recorded in the Company’s one reportable segment. For income tax purposes, the acquisition was an equity purchase and the goodwill will not be tax deductible.</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Acquisition-related costs were $0.1 million and $0.4 million, respectively, in the third quarter and first nine months of 2018, and are included in general and administrative expense on the consolidated statement of operations and comprehensive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Contingent Consideration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CompareCards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16, 2016, the Company acquired all of the membership interests of Iron Horse Holdings, LLC, which does business under the name CompareCards ("CompareCards"). CompareCards is an online marketing platform for credit cards, which the Company is utilizing to grow its existing credit card business. The acquisition has been accounted for as a business combination. During 2017, the Company finalized the determination of the purchase price allocation with respect to the assets acquired and liabilities assumed.</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paid $80.7 million in initial cash consideration and agreed to make two earnout payments, each up to $22.5 million, based on the amount of earnings before interest, taxes, depreciation and amortization CompareCards generates during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periods of January 1, 2017 through December 31, 2017 and January 1, 2018 through December 31, 2018, or up to $45.0 million in aggregate payments. The purchase price for the acquisition is $103.8 million comprised of an upfront cash payment of $80.7 million on November 16, 2016 and $23.1 million for the estimated fair value of the earnout payments at the time of closing the acquisition. In the first quarter of 2018, the Company paid $22.5 million related to the earnout payment for the period of January 1, 2017 through December 31, 2017, which is included within cash flows from financing activities on the consolidated statement of cash flows. In the second quarter of 2018, the Company paid $22.5 million related to the earnout payment for the period of January 1, 2018 through December 31, 2018, of which $0.6 million is included within cash flows from financing activities and $21.9 million is included within cash flows from operating activities on the consolidated statement of cash flows.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nine months of 2018, the Company recorded $0.7 million of contingent consideration expense within operating income in the consolidated statement of operations and comprehensive income due to the change in estimated fair value of the earnout payments.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DepositAccounts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June 14, 2017, the Company acquired substantially all of the assets of Deposits Online, LLC, which does business under the name DepositAccounts.com (“DepositAccounts”).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 The acquisition has been accounted for as a business combination. During 2017, the Company finalized the determination of the purchase price allocation with respect to the assets acquired and liabilities assumed.</w:t>
      </w:r>
    </w:p>
    <w:p>
      <w:pPr>
        <w:spacing w:after="0" w:line="1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paid $24.0 million of initial cash consideration and could make additional contingent consideration payments of up to $9.0 million. The potential contingent consideration payments are comprised of (i) up to seven payments of $1.0 million each based on specified increases in Federal Funds interest rates during the period commencing on the closing date and ending on June 30, 2020 and (ii) a one-time performance payment of up to $2.0 million based on the net revenue of deposit products during the period of January 1, 2018 through December 31, 2018. These additional payments, to the extent earned, will be payable in cash. The purchase price for the acquisition is $29.0 million, comprised of the upfront cash payment of $24.0 million and $5.0 million for the estimated fair value of the contingent consideration at the time of closing the acquisition.</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third quarter of 2017, the Company made a payment of $1.0 million associated with a specified increase in the Federal Funds rate in June 2017. In each of the first, second and third quarters of 2018, the Company paid $1.0 million associated with specified increases in the Federal Funds rate in December 2017, March 2018 and June 2018, respectively, which are included within cash flows from financing activities on the consolidated statement of cash flows. As of September 30, 2018, the estimated fair value of the contingent consideration totaled $4.4 million which is included in current contingent consideration in the accompanying consolidated balance sheet. The estimated fair value of the portion of the contingent consideration payments based on increases in interest rates is determined using a scenario approach based on the interest rate forecasts of Federal Open Market Committee participants. The estimated fair value of the portion of the contingent consideration payments potentially earned based on net revenue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third quarter and first nine months of 2018, the Company recorded $0.1 million and $1.4 million, respectively, of contingent consideration expense in the consolidated statement of operations and comprehensive income due to the change in estimated fair value of the contingent consideration.</w:t>
      </w:r>
    </w:p>
    <w:p>
      <w:pPr>
        <w:spacing w:after="0" w:line="126" w:lineRule="exact"/>
        <w:rPr>
          <w:sz w:val="20"/>
          <w:szCs w:val="20"/>
          <w:color w:val="auto"/>
        </w:rPr>
      </w:pPr>
    </w:p>
    <w:p>
      <w:pPr>
        <w:ind w:right="1680" w:firstLine="324"/>
        <w:spacing w:after="0" w:line="438" w:lineRule="auto"/>
        <w:rPr>
          <w:sz w:val="20"/>
          <w:szCs w:val="20"/>
          <w:color w:val="auto"/>
        </w:rPr>
      </w:pPr>
      <w:r>
        <w:rPr>
          <w:rFonts w:ascii="Arial" w:cs="Arial" w:eastAsia="Arial" w:hAnsi="Arial"/>
          <w:sz w:val="18"/>
          <w:szCs w:val="18"/>
          <w:color w:val="auto"/>
        </w:rPr>
        <w:t xml:space="preserve">In October 2018, the Company paid $1.0 million associated with a specified increase in the Federal Funds rate in September 2018. </w:t>
      </w:r>
      <w:r>
        <w:rPr>
          <w:rFonts w:ascii="Arial" w:cs="Arial" w:eastAsia="Arial" w:hAnsi="Arial"/>
          <w:sz w:val="18"/>
          <w:szCs w:val="18"/>
          <w:b w:val="1"/>
          <w:bCs w:val="1"/>
          <w:color w:val="auto"/>
        </w:rPr>
        <w:t>SnapCap</w:t>
      </w:r>
    </w:p>
    <w:p>
      <w:pPr>
        <w:spacing w:after="0" w:line="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19, 2017, the Company acquired certain assets of Snap Capital LLC, which does business under the name SnapCap ("SnapCap"). SnapCap, a tech-enabled online platform, connects business owners with lenders offering small business loans, lines of credit and merchant cash advance products through a concierge-based sales approach. The acquisition has been accounted for as a business combination. During 2017, the Company finalized the determination of the purchase price allocation with respect to the assets acquired and liabilities assumed.</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paid $11.9 million of initial cash consideration and could make up to three additional contingent consideration payments, each ranging from zero to $3.0 million, based on certain defined operating results during the periods of October 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September 30, 2018, October 1, 2018 through September 30, 2019 and October 1, 2019 through March 31, 2020. These additional payments, to the extent earned, will be payable in cash. The purchase price for the acquisition is $18.2 million, comprised of the upfront cash payment of $11.9 million and $6.3 million for the estimated fair value of the contingent consideration.</w:t>
      </w:r>
    </w:p>
    <w:p>
      <w:pPr>
        <w:spacing w:after="0" w:line="12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September 30, 2018, the estimated fair value of the contingent consideration totaled $5.2 million, of which $2.9 million is included in current contingent consideration and $2.3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third quarter and first nine months of 2018, the Company recorded contingent consideration expense of $1.1 million and a gain of $1.8 million, respectively, in the consolidated statement of operations and comprehensive income due to the change in estimated fair value of the contingent consideration.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Financial Results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unaudited pro forma financial results for the third quarters and first nine months of 2017 and 2018 combine the consolidated results of the Company and DepositAccounts, SnapCap, Ovation, Student Loan Hero and Camino Del Avion (Delaware), LLC (“MagnifyMoney”) giving effect to the acquisitions as if the DepositAccounts, MagnifyMoney and SnapCap acquisitions had been completed on January 1, 2016 and as if the Ovation and Student Loan Hero acquisitions had been completed on January 1, 2017. This unaudited pro forma financial information is presented for informational purposes only and is not indicative of future operations or results had the acquisitions been completed as of January 1, 2016 or 2017, or any other date.</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financial results include adjustments for additional amortization expense based on the fair value of the intangible assets with definite lives and their estimated useful lives. The provision for income taxes from continuing operations has also been adjusted to reflect taxes on the historical results of operations of DepositAccounts and SnapCap. DepositAccounts and SnapCap did not pay taxes at the entity level as these entities were limited liability companies whose members elected for them to be taxed as a partnership.</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98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96"/>
              </w:rPr>
              <w:t>2018</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198,216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2"/>
              </w:rPr>
              <w:t>177,670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w w:val="92"/>
              </w:rPr>
              <w:t>578,608</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2"/>
              </w:rPr>
              <w:t>479,775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Pro forma net 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41"/>
              <w:spacing w:after="0"/>
              <w:rPr>
                <w:sz w:val="20"/>
                <w:szCs w:val="20"/>
                <w:color w:val="auto"/>
              </w:rPr>
            </w:pPr>
            <w:r>
              <w:rPr>
                <w:rFonts w:ascii="Arial" w:cs="Arial" w:eastAsia="Arial" w:hAnsi="Arial"/>
                <w:sz w:val="18"/>
                <w:szCs w:val="18"/>
                <w:color w:val="auto"/>
              </w:rPr>
              <w:t>28,271</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9,041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61"/>
              <w:spacing w:after="0"/>
              <w:rPr>
                <w:sz w:val="20"/>
                <w:szCs w:val="20"/>
                <w:color w:val="auto"/>
              </w:rPr>
            </w:pPr>
            <w:r>
              <w:rPr>
                <w:rFonts w:ascii="Arial" w:cs="Arial" w:eastAsia="Arial" w:hAnsi="Arial"/>
                <w:sz w:val="18"/>
                <w:szCs w:val="18"/>
                <w:color w:val="auto"/>
                <w:w w:val="92"/>
              </w:rPr>
              <w:t>110,308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22,522</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unaudited pro forma net income from continuing operations in the third quarter and first nine months of 2018 includes the aggregate after tax contingent consideration expense associated with the CompareCards, DepositAccounts, SnapCap and Ovation earnouts of $1.6 million and $0.9 million, respectively. The unaudited pro forma net income from continuing operations in the third quarter and first nine months of 2017 includes the aggregate after tax contingent consideration expense associated with the CompareCards and DepositAccounts earnouts of $1.5 million and $12.4 million, respectively.</w:t>
      </w:r>
    </w:p>
    <w:p>
      <w:pPr>
        <w:spacing w:after="0" w:line="10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unaudited pro forma net income from continuing operations for the first nine months of 2017 has been adjusted to include acquisition-related costs of $1.0 million incurred by the Company and Student Loan Hero that are directly attributable to the Ovation and Student Loan Hero acquisitions, which will not have an ongoing impact. Accordingly, these acquisition-related costs have been eliminated from the unaudited pro forma net income from continuing operations for the third quarter and first nine months of 2018. Acquisition-related costs incurred by the Company, DepositAccounts, MagnifyMoney and SnapCap that are directly attributable to the DepositAccounts, MagnifyMoney and SnapCap acquisitions, and which will not have an on-going impact, have been eliminated from the unaudited pro forma net income from continuing operations for the third quarter and first nine months of 2017.</w:t>
      </w:r>
    </w:p>
    <w:p>
      <w:pPr>
        <w:spacing w:after="0" w:line="11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Company’s consolidated results of operations include the results of the business acquisitions completed in 2018 as of the acquisition dates. Revenue of $6.7 million and $7.2 million in the third quarter and first nine months of 2018, respectively, and net loss from continuing operations of $1.2 million and $1.3 million in the third quarter and first nine months of 2018, respectively, have been included in the Company’s consolidated results of operations.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255"/>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5160" w:type="dxa"/>
            <w:vAlign w:val="bottom"/>
            <w:tcBorders>
              <w:bottom w:val="single" w:sz="8" w:color="CCEEFF"/>
            </w:tcBorders>
          </w:tcPr>
          <w:p>
            <w:pPr>
              <w:spacing w:after="0"/>
              <w:rPr>
                <w:sz w:val="16"/>
                <w:szCs w:val="16"/>
                <w:color w:val="auto"/>
              </w:rPr>
            </w:pPr>
          </w:p>
        </w:tc>
        <w:tc>
          <w:tcPr>
            <w:tcW w:w="22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advertising expense</w:t>
            </w:r>
          </w:p>
        </w:tc>
        <w:tc>
          <w:tcPr>
            <w:tcW w:w="2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33,449</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2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4,847</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7,679</w:t>
            </w:r>
          </w:p>
        </w:tc>
      </w:tr>
      <w:tr>
        <w:trPr>
          <w:trHeight w:val="27"/>
        </w:trPr>
        <w:tc>
          <w:tcPr>
            <w:tcW w:w="5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2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988</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2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5,600</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5,564</w:t>
            </w:r>
          </w:p>
        </w:tc>
      </w:tr>
      <w:tr>
        <w:trPr>
          <w:trHeight w:val="27"/>
        </w:trPr>
        <w:tc>
          <w:tcPr>
            <w:tcW w:w="5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to LendingTree Foundation</w:t>
            </w:r>
          </w:p>
        </w:tc>
        <w:tc>
          <w:tcPr>
            <w:tcW w:w="2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10,000</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2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13,827</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11,141</w:t>
            </w:r>
          </w:p>
        </w:tc>
      </w:tr>
      <w:tr>
        <w:trPr>
          <w:trHeight w:val="27"/>
        </w:trPr>
        <w:tc>
          <w:tcPr>
            <w:tcW w:w="5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68,711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77,183</w:t>
            </w:r>
          </w:p>
        </w:tc>
      </w:tr>
      <w:tr>
        <w:trPr>
          <w:trHeight w:val="486"/>
        </w:trPr>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8—SHAREHOLDERS' EQUITY</w:t>
            </w:r>
          </w:p>
        </w:tc>
        <w:tc>
          <w:tcPr>
            <w:tcW w:w="2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378"/>
        </w:trPr>
        <w:tc>
          <w:tcPr>
            <w:tcW w:w="8340" w:type="dxa"/>
            <w:vAlign w:val="bottom"/>
            <w:gridSpan w:val="4"/>
          </w:tcPr>
          <w:p>
            <w:pPr>
              <w:ind w:left="340"/>
              <w:spacing w:after="0"/>
              <w:rPr>
                <w:sz w:val="20"/>
                <w:szCs w:val="20"/>
                <w:color w:val="auto"/>
              </w:rPr>
            </w:pPr>
            <w:r>
              <w:rPr>
                <w:rFonts w:ascii="Arial" w:cs="Arial" w:eastAsia="Arial" w:hAnsi="Arial"/>
                <w:sz w:val="18"/>
                <w:szCs w:val="18"/>
                <w:color w:val="auto"/>
                <w:w w:val="98"/>
              </w:rPr>
              <w:t xml:space="preserve">Basic and diluted income per share was determined based on the following share data </w:t>
            </w:r>
            <w:r>
              <w:rPr>
                <w:rFonts w:ascii="Arial" w:cs="Arial" w:eastAsia="Arial" w:hAnsi="Arial"/>
                <w:sz w:val="18"/>
                <w:szCs w:val="18"/>
                <w:i w:val="1"/>
                <w:iCs w:val="1"/>
                <w:color w:val="auto"/>
                <w:w w:val="98"/>
              </w:rPr>
              <w:t>(in thousands)</w:t>
            </w:r>
            <w:r>
              <w:rPr>
                <w:rFonts w:ascii="Arial" w:cs="Arial" w:eastAsia="Arial" w:hAnsi="Arial"/>
                <w:sz w:val="18"/>
                <w:szCs w:val="18"/>
                <w:color w:val="auto"/>
                <w:w w:val="98"/>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516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3"/>
          </w:tcPr>
          <w:p>
            <w:pPr>
              <w:jc w:val="right"/>
              <w:ind w:right="83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160" w:type="dxa"/>
            <w:vAlign w:val="bottom"/>
          </w:tcPr>
          <w:p>
            <w:pPr>
              <w:spacing w:after="0"/>
              <w:rPr>
                <w:sz w:val="16"/>
                <w:szCs w:val="16"/>
                <w:color w:val="auto"/>
              </w:rPr>
            </w:pPr>
          </w:p>
        </w:tc>
        <w:tc>
          <w:tcPr>
            <w:tcW w:w="22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200" w:type="dxa"/>
            <w:vAlign w:val="bottom"/>
            <w:tcBorders>
              <w:bottom w:val="single" w:sz="8" w:color="auto"/>
            </w:tcBorders>
          </w:tcPr>
          <w:p>
            <w:pPr>
              <w:jc w:val="right"/>
              <w:ind w:right="1237"/>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220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b w:val="1"/>
                <w:bCs w:val="1"/>
                <w:color w:val="auto"/>
              </w:rPr>
              <w:t>12,799</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11,999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12,437</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11,931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2200" w:type="dxa"/>
            <w:vAlign w:val="bottom"/>
          </w:tcPr>
          <w:p>
            <w:pPr>
              <w:jc w:val="right"/>
              <w:ind w:right="737"/>
              <w:spacing w:after="0"/>
              <w:rPr>
                <w:sz w:val="20"/>
                <w:szCs w:val="20"/>
                <w:color w:val="auto"/>
              </w:rPr>
            </w:pPr>
            <w:r>
              <w:rPr>
                <w:rFonts w:ascii="Arial" w:cs="Arial" w:eastAsia="Arial" w:hAnsi="Arial"/>
                <w:sz w:val="18"/>
                <w:szCs w:val="18"/>
                <w:color w:val="auto"/>
              </w:rPr>
              <w:t>758</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1,160</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1,598</w:t>
            </w:r>
          </w:p>
        </w:tc>
      </w:tr>
      <w:tr>
        <w:trPr>
          <w:trHeight w:val="27"/>
        </w:trPr>
        <w:tc>
          <w:tcPr>
            <w:tcW w:w="5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220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rPr>
              <w:t>110</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Convertible Senior Notes and warrants</w:t>
            </w:r>
          </w:p>
        </w:tc>
        <w:tc>
          <w:tcPr>
            <w:tcW w:w="2200" w:type="dxa"/>
            <w:vAlign w:val="bottom"/>
          </w:tcPr>
          <w:p>
            <w:pPr>
              <w:jc w:val="right"/>
              <w:ind w:right="737"/>
              <w:spacing w:after="0"/>
              <w:rPr>
                <w:sz w:val="20"/>
                <w:szCs w:val="20"/>
                <w:color w:val="auto"/>
              </w:rPr>
            </w:pPr>
            <w:r>
              <w:rPr>
                <w:rFonts w:ascii="Arial" w:cs="Arial" w:eastAsia="Arial" w:hAnsi="Arial"/>
                <w:sz w:val="18"/>
                <w:szCs w:val="18"/>
                <w:color w:val="auto"/>
              </w:rPr>
              <w:t>183</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535</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220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b w:val="1"/>
                <w:bCs w:val="1"/>
                <w:color w:val="auto"/>
              </w:rPr>
              <w:t>13,850</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13,774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14,299</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13,625</w:t>
            </w:r>
          </w:p>
        </w:tc>
      </w:tr>
      <w:tr>
        <w:trPr>
          <w:trHeight w:val="27"/>
        </w:trPr>
        <w:tc>
          <w:tcPr>
            <w:tcW w:w="516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three months ended September 30, 2018, the weighted average shares that were anti-dilutive, and therefore excluded from the calculation of diluted income per share, included options to purchase 0.5 million shares of common stock and 0.1 million restricted stock units. For the nine months ended September 30, 2018, the weighted average shares that were anti-dilutive included options to purchase 0.4 million shares of common stock.</w:t>
      </w:r>
    </w:p>
    <w:p>
      <w:pPr>
        <w:spacing w:after="0" w:line="16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the three months ended September 30, 2017, the weighted average shares that were anti-dilutive, and therefore excluded from the calculation of diluted income per share, included options to purchase 0.3 million shares of common stock and 0.1 million restricted stock awards. For the nine months ended September 30, 2017, the weighted average shares that were anti-dilutive included options to purchase 0.1 million shares of common stock.</w:t>
      </w:r>
    </w:p>
    <w:p>
      <w:pPr>
        <w:spacing w:after="0" w:line="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0.625% Convertible Senior Notes due June 1, 2022 and the warrants issued by the Company in the second quarter of 2017 could be converted into the Company’s common stock in the future, subject to certain contingencies.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for additional information.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Shares of the Company's common stock associated with the warrants were excluded from the calculation of diluted income per share for the three months ended September 30, 2018 and 2017 as they were anti-dilutive since the strike price of the warrants was greater than the average market price of the Company's common stock during the respective periods. Shares of the Company’s common stock associated with the Convertible Senior Notes and the warrants were excluded from the calculation of diluted income per share for the nine months ended September 30, 2017, as they were anti-dilutive since the conversion price of the Convertible Senior Notes and the strike price of the warrants were greater than the average market price of the Company’s common stock during the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each of January 2010, May 2014, January 2016, February 2016 and February 2018, the board of directors authorized and the Company announced the repurchase of up to $10.0 million, $10.0 million, $50.0 million, $40.0 million and $100.0 million, respectively, of LendingTree's common stock. Pursuant to this stock repurchase program, the Company purchased 205,310 shares of its common stock for $57.2 million during the nine months ended September 30, 2018, and purchased 42,153 shares of 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common stock for $10.0 million during the nine months ended September 30, 2017. At September 30, 2018, approximately $70.6 million of the previous authorizations to repurchase common stock remain available for the Company to purchase its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9—STOCK-BASED COMPENSATION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right"/>
              <w:ind w:right="8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49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123</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1,577</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4,511</w:t>
            </w:r>
          </w:p>
        </w:tc>
        <w:tc>
          <w:tcPr>
            <w:tcW w:w="26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8,388</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25,617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8,684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2,009</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3,996</w:t>
            </w:r>
          </w:p>
        </w:tc>
        <w:tc>
          <w:tcPr>
            <w:tcW w:w="26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12,097</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7,938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34,384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13,068</w:t>
            </w:r>
          </w:p>
        </w:tc>
        <w:tc>
          <w:tcPr>
            <w:tcW w:w="0" w:type="dxa"/>
            <w:vAlign w:val="bottom"/>
          </w:tcPr>
          <w:p>
            <w:pPr>
              <w:spacing w:after="0"/>
              <w:rPr>
                <w:sz w:val="1"/>
                <w:szCs w:val="1"/>
                <w:color w:val="auto"/>
              </w:rPr>
            </w:pPr>
          </w:p>
        </w:tc>
      </w:tr>
      <w:tr>
        <w:trPr>
          <w:trHeight w:val="432"/>
        </w:trPr>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stock options is as follows: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24"/>
                <w:szCs w:val="24"/>
                <w:color w:val="auto"/>
              </w:rPr>
            </w:pP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Number of Options</w:t>
            </w:r>
          </w:p>
        </w:tc>
        <w:tc>
          <w:tcPr>
            <w:tcW w:w="1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6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9"/>
              </w:rPr>
              <w:t>(per option)</w:t>
            </w:r>
          </w:p>
        </w:tc>
        <w:tc>
          <w:tcPr>
            <w:tcW w:w="240" w:type="dxa"/>
            <w:vAlign w:val="bottom"/>
          </w:tcPr>
          <w:p>
            <w:pPr>
              <w:spacing w:after="0"/>
              <w:rPr>
                <w:sz w:val="16"/>
                <w:szCs w:val="16"/>
                <w:color w:val="auto"/>
              </w:rPr>
            </w:pPr>
          </w:p>
        </w:tc>
        <w:tc>
          <w:tcPr>
            <w:tcW w:w="1300" w:type="dxa"/>
            <w:vAlign w:val="bottom"/>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1,863,739</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20" w:type="dxa"/>
            <w:vAlign w:val="bottom"/>
          </w:tcPr>
          <w:p>
            <w:pPr>
              <w:spacing w:after="0"/>
              <w:rPr>
                <w:sz w:val="23"/>
                <w:szCs w:val="23"/>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58,901</w:t>
            </w:r>
          </w:p>
        </w:tc>
        <w:tc>
          <w:tcPr>
            <w:tcW w:w="6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317.31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(971,211)</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(6,425)</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299.89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September 30, 2018</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945,004</w:t>
            </w:r>
          </w:p>
        </w:tc>
        <w:tc>
          <w:tcPr>
            <w:tcW w:w="6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61.53</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5.42</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163,927</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2018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772,651</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158,473</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$230.10 on the last trading day of the quarter ended September 30, 2018 and the exercise price, multiplied by the number of shares covered by in-the-money options) that would have been received by the option holder had the option holder exercised these options on September 30, 2018.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nine months ended September 30, 2018, the Company granted stock options to certain employees and members of the board of directors with a weighted average grant date fair value per share of $161.58, calculated using the Black-Scholes option pricing model, which vesting periods include (a) immediate vesting on grant date (b) one year from grant date (c) two years from the grant date, (d) three years from the grant date and (e) four years from the grant date.</w:t>
      </w:r>
    </w:p>
    <w:p>
      <w:pPr>
        <w:spacing w:after="0" w:line="132"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8680" w:type="dxa"/>
            <w:vAlign w:val="bottom"/>
          </w:tcPr>
          <w:p>
            <w:pPr>
              <w:jc w:val="right"/>
              <w:ind w:right="3668"/>
              <w:spacing w:after="0"/>
              <w:rPr>
                <w:sz w:val="20"/>
                <w:szCs w:val="20"/>
                <w:color w:val="auto"/>
              </w:rPr>
            </w:pPr>
            <w:r>
              <w:rPr>
                <w:rFonts w:ascii="Arial" w:cs="Arial" w:eastAsia="Arial" w:hAnsi="Arial"/>
                <w:sz w:val="20"/>
                <w:szCs w:val="20"/>
                <w:b w:val="1"/>
                <w:bCs w:val="1"/>
                <w:color w:val="auto"/>
              </w:rPr>
              <w:t>LENDINGTREE, INC. AND SUBSIDIARIES</w:t>
            </w:r>
          </w:p>
        </w:tc>
      </w:tr>
      <w:tr>
        <w:trPr>
          <w:trHeight w:val="234"/>
        </w:trPr>
        <w:tc>
          <w:tcPr>
            <w:tcW w:w="1920" w:type="dxa"/>
            <w:vAlign w:val="bottom"/>
          </w:tcPr>
          <w:p>
            <w:pPr>
              <w:spacing w:after="0"/>
              <w:rPr>
                <w:sz w:val="20"/>
                <w:szCs w:val="20"/>
                <w:color w:val="auto"/>
              </w:rPr>
            </w:pPr>
          </w:p>
        </w:tc>
        <w:tc>
          <w:tcPr>
            <w:tcW w:w="8680" w:type="dxa"/>
            <w:vAlign w:val="bottom"/>
          </w:tcPr>
          <w:p>
            <w:pPr>
              <w:jc w:val="right"/>
              <w:ind w:right="2768"/>
              <w:spacing w:after="0"/>
              <w:rPr>
                <w:sz w:val="20"/>
                <w:szCs w:val="20"/>
                <w:color w:val="auto"/>
              </w:rPr>
            </w:pPr>
            <w:r>
              <w:rPr>
                <w:rFonts w:ascii="Arial" w:cs="Arial" w:eastAsia="Arial" w:hAnsi="Arial"/>
                <w:sz w:val="18"/>
                <w:szCs w:val="18"/>
                <w:b w:val="1"/>
                <w:bCs w:val="1"/>
                <w:color w:val="auto"/>
              </w:rPr>
              <w:t>NOTES TO CONSOLIDATED FINANCIAL STATEMENTS (Continued)</w:t>
            </w:r>
          </w:p>
        </w:tc>
      </w:tr>
      <w:tr>
        <w:trPr>
          <w:trHeight w:val="594"/>
        </w:trPr>
        <w:tc>
          <w:tcPr>
            <w:tcW w:w="192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270"/>
        </w:trPr>
        <w:tc>
          <w:tcPr>
            <w:tcW w:w="1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868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5.00 - 6.34 years</w:t>
            </w:r>
          </w:p>
        </w:tc>
      </w:tr>
      <w:tr>
        <w:trPr>
          <w:trHeight w:val="270"/>
        </w:trPr>
        <w:tc>
          <w:tcPr>
            <w:tcW w:w="1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8680" w:type="dxa"/>
            <w:vAlign w:val="bottom"/>
          </w:tcPr>
          <w:p>
            <w:pPr>
              <w:jc w:val="right"/>
              <w:ind w:right="8"/>
              <w:spacing w:after="0"/>
              <w:rPr>
                <w:sz w:val="20"/>
                <w:szCs w:val="20"/>
                <w:color w:val="auto"/>
              </w:rPr>
            </w:pPr>
            <w:r>
              <w:rPr>
                <w:rFonts w:ascii="Arial" w:cs="Arial" w:eastAsia="Arial" w:hAnsi="Arial"/>
                <w:sz w:val="18"/>
                <w:szCs w:val="18"/>
                <w:color w:val="auto"/>
              </w:rPr>
              <w:t>—</w:t>
            </w:r>
          </w:p>
        </w:tc>
      </w:tr>
      <w:tr>
        <w:trPr>
          <w:trHeight w:val="270"/>
        </w:trPr>
        <w:tc>
          <w:tcPr>
            <w:tcW w:w="1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868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50% - 53%</w:t>
            </w:r>
          </w:p>
        </w:tc>
      </w:tr>
      <w:tr>
        <w:trPr>
          <w:trHeight w:val="270"/>
        </w:trPr>
        <w:tc>
          <w:tcPr>
            <w:tcW w:w="192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w w:val="95"/>
              </w:rPr>
              <w:t xml:space="preserve">Risk-free interest rate </w:t>
            </w:r>
            <w:r>
              <w:rPr>
                <w:rFonts w:ascii="Arial" w:cs="Arial" w:eastAsia="Arial" w:hAnsi="Arial"/>
                <w:sz w:val="25"/>
                <w:szCs w:val="25"/>
                <w:color w:val="auto"/>
                <w:w w:val="95"/>
                <w:vertAlign w:val="superscript"/>
              </w:rPr>
              <w:t>(4)</w:t>
            </w:r>
          </w:p>
        </w:tc>
        <w:tc>
          <w:tcPr>
            <w:tcW w:w="8680" w:type="dxa"/>
            <w:vAlign w:val="bottom"/>
            <w:tcBorders>
              <w:bottom w:val="single" w:sz="8" w:color="999999"/>
            </w:tcBorders>
          </w:tcPr>
          <w:p>
            <w:pPr>
              <w:jc w:val="right"/>
              <w:ind w:right="8"/>
              <w:spacing w:after="0"/>
              <w:rPr>
                <w:sz w:val="20"/>
                <w:szCs w:val="20"/>
                <w:color w:val="auto"/>
              </w:rPr>
            </w:pPr>
            <w:r>
              <w:rPr>
                <w:rFonts w:ascii="Arial" w:cs="Arial" w:eastAsia="Arial" w:hAnsi="Arial"/>
                <w:sz w:val="18"/>
                <w:szCs w:val="18"/>
                <w:color w:val="auto"/>
              </w:rPr>
              <w:t>2.33% - 2.90%</w:t>
            </w:r>
          </w:p>
        </w:tc>
      </w:tr>
    </w:tbl>
    <w:p>
      <w:pPr>
        <w:spacing w:after="0" w:line="148" w:lineRule="exact"/>
        <w:rPr>
          <w:sz w:val="20"/>
          <w:szCs w:val="20"/>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stock options granted in 2018,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Performance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stock options with performance conditions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20" w:type="dxa"/>
            <w:vAlign w:val="bottom"/>
          </w:tcPr>
          <w:p>
            <w:pPr>
              <w:spacing w:after="0"/>
              <w:rPr>
                <w:sz w:val="14"/>
                <w:szCs w:val="14"/>
                <w:color w:val="auto"/>
              </w:rPr>
            </w:pP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2"/>
                <w:szCs w:val="12"/>
                <w:color w:val="auto"/>
              </w:rPr>
            </w:pP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Number of Options</w:t>
            </w:r>
          </w:p>
        </w:tc>
        <w:tc>
          <w:tcPr>
            <w:tcW w:w="360" w:type="dxa"/>
            <w:vAlign w:val="bottom"/>
          </w:tcPr>
          <w:p>
            <w:pPr>
              <w:spacing w:after="0"/>
              <w:rPr>
                <w:sz w:val="12"/>
                <w:szCs w:val="12"/>
                <w:color w:val="auto"/>
              </w:rPr>
            </w:pPr>
          </w:p>
        </w:tc>
        <w:tc>
          <w:tcPr>
            <w:tcW w:w="880" w:type="dxa"/>
            <w:vAlign w:val="bottom"/>
          </w:tcPr>
          <w:p>
            <w:pPr>
              <w:jc w:val="center"/>
              <w:ind w:left="3"/>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4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(per option)</w:t>
            </w:r>
          </w:p>
        </w:tc>
        <w:tc>
          <w:tcPr>
            <w:tcW w:w="520" w:type="dxa"/>
            <w:vAlign w:val="bottom"/>
          </w:tcPr>
          <w:p>
            <w:pPr>
              <w:spacing w:after="0"/>
              <w:rPr>
                <w:sz w:val="16"/>
                <w:szCs w:val="16"/>
                <w:color w:val="auto"/>
              </w:rPr>
            </w:pPr>
          </w:p>
        </w:tc>
        <w:tc>
          <w:tcPr>
            <w:tcW w:w="14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0" w:type="dxa"/>
            <w:vAlign w:val="bottom"/>
            <w:gridSpan w:val="2"/>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37,877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308.90</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September 30, 2018</w:t>
            </w: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37,877</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308.90</w:t>
            </w:r>
          </w:p>
        </w:tc>
        <w:tc>
          <w:tcPr>
            <w:tcW w:w="144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9.20</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2018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4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$230.10 on the last trading day of the quarter ended September 30, 2018 and the exercise price, multiplied by the number of shares covered by in-the-money options) that would have been received by the option holder had the option holder exercised these options on September 30, 2018. The intrinsic value changes based on the market value of the Company's common stock.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changes in outstanding nonvested restricted stock units ("RSUs"), exclusive of RSUs granted to the Chairman and Chief Executive Officer in 2018 described below,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 of Units</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2018</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152,829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121.68</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90,343</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295.49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(63,980)</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99.58</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(9,288)</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218.95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2018</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169,904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217.10</w:t>
            </w:r>
          </w:p>
        </w:tc>
        <w:tc>
          <w:tcPr>
            <w:tcW w:w="0" w:type="dxa"/>
            <w:vAlign w:val="bottom"/>
          </w:tcPr>
          <w:p>
            <w:pPr>
              <w:spacing w:after="0"/>
              <w:rPr>
                <w:sz w:val="1"/>
                <w:szCs w:val="1"/>
                <w:color w:val="auto"/>
              </w:rPr>
            </w:pPr>
          </w:p>
        </w:tc>
      </w:tr>
      <w:tr>
        <w:trPr>
          <w:trHeight w:val="648"/>
        </w:trPr>
        <w:tc>
          <w:tcPr>
            <w:tcW w:w="7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Restricted Stock Units with Performance Conditions</w:t>
            </w:r>
          </w:p>
        </w:tc>
        <w:tc>
          <w:tcPr>
            <w:tcW w:w="1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80" w:type="dxa"/>
            <w:vAlign w:val="bottom"/>
            <w:gridSpan w:val="2"/>
          </w:tcPr>
          <w:p>
            <w:pPr>
              <w:ind w:left="340"/>
              <w:spacing w:after="0"/>
              <w:rPr>
                <w:sz w:val="20"/>
                <w:szCs w:val="20"/>
                <w:color w:val="auto"/>
              </w:rPr>
            </w:pPr>
            <w:r>
              <w:rPr>
                <w:rFonts w:ascii="Arial" w:cs="Arial" w:eastAsia="Arial" w:hAnsi="Arial"/>
                <w:sz w:val="18"/>
                <w:szCs w:val="18"/>
                <w:color w:val="auto"/>
                <w:w w:val="93"/>
              </w:rPr>
              <w:t>A summary of the changes in outstanding nonvested RSUs with performance conditions is as follows:</w:t>
            </w: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 of Units</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880" w:type="dxa"/>
            <w:vAlign w:val="bottom"/>
            <w:gridSpan w:val="2"/>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2018</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111,205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160.34</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(12,226)</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(2,652)</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113.22</w:t>
            </w:r>
          </w:p>
        </w:tc>
        <w:tc>
          <w:tcPr>
            <w:tcW w:w="0" w:type="dxa"/>
            <w:vAlign w:val="bottom"/>
          </w:tcPr>
          <w:p>
            <w:pPr>
              <w:spacing w:after="0"/>
              <w:rPr>
                <w:sz w:val="1"/>
                <w:szCs w:val="1"/>
                <w:color w:val="auto"/>
              </w:rPr>
            </w:pPr>
          </w:p>
        </w:tc>
      </w:tr>
      <w:tr>
        <w:trPr>
          <w:trHeight w:val="27"/>
        </w:trPr>
        <w:tc>
          <w:tcPr>
            <w:tcW w:w="78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2018</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96,327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168.52</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Chief Executive Officer Grants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Grants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25, 2017, the Company’s Compensation Committee approved new compensation arrangements for its Chairman and Chief Executive Officer. The new compensation arrangements include the issuance of performance based equity compensation grants with a modeled total grant date value of $87.5 million of which 25% (119,015 shares) would be in the form of time-vested restricted stock awards with a performance condition and 75% (a maximum of 769,376 shares) would be in the form of performance-based nonqualified stock options.</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performance-based nonqualified stock options have a target number of shares that vest upon achieving targeted total shareholder return performance of 110% stock price appreciation and a maximum number of shares for achieving superior performance up to 167% of the target number of shares. No shares will vest unless 70% of the targeted performance is achieved. Time-based service vesting conditions would also have to be satisfied in order for performance-vested shares to become fully vested and no longer subject to forfeiture. On July 26, 2017, an initial grant of performance-based nonqualified stock options with a target number of shares of 402,694 and a maximum number of shares of 672,499 were issued with an exercise price of $183.80, the closing stock price on July 26, 2017. The performance measurement period ends on September 30, 2022. The fair value of the performance-based stock options will be recognized on a straight-line basis through the vest date of September 30, 2022, whether or not any of the total shareholder return targets are met.</w:t>
      </w:r>
    </w:p>
    <w:p>
      <w:pPr>
        <w:spacing w:after="0" w:line="1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Fifth Amended and Restated 2008 Stock and Annual Incentive Plan (the "2008 Plan") imposes a per employee upper annual grant limit of 672,500 shares. As a result, the remaining 58,010 target performance-based nonqualified stock options and potential performance-based restricted stock awards were awarded on January 2, 2018. The form of the awards consisted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31,336 performance-based nonqualified stock options with a per share exercise price of $340.25, and 26,674 performance-based restricted stock awards, substituting for an equal number of the performance-based options, to compensate for the increase in the exercise price of the performance-based option granted on July 26, 2017. These performance-based nonqualified stock options and performance-based restricted stock awards were issued with respective total grant date fair values of $9.5 million and $1.9 million.</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2018, performance-based nonqualified stock options of 312,008 and performance-based restricted stock awards of 19,175 had been earned, which have a vest date of September 30, 2022.</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 2018, the 119,015 time-vested restricted stock awards with a performance condition were granted. The terms of these awards were fixed in the approved new compensation agreements in July 2017 with a total grant date fair value of $21.9 million. The performance condition was tied to the Company's operating results during the first six months of 2018, and has been met. During the nine months ended September 30, 2018, 41,653 of these awards vested.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Grants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16, 2018, the Company’s Compensation Committee approved the issuance of performance based equity compensation grants to its Chairman and Chief Executive Officer with a modeled total grant date value of $7.5 million, of which 50% (9,896 shares) would be in the form of time-vested restricted stock units and 50% (a maximum of 21,982 shares) would be in the form of performance-based nonqualified stock options. On February 16, 2018, the 9,896 time-vested restricted stock units were granted with a grant date fair value of $378.95.</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performance-based nonqualified stock options have a target number of shares that vest upon achieving targeted total shareholder return performance of 81% stock price appreciation and a maximum number of shares for achieving superior performance up to 167% of the target number of shares. No shares will vest unless 41% of the targeted performance is achieved. Time-based service vesting conditions would also have to be satisfied in order for performance-vested shares to become fully vested and no longer subject to forfeiture. On February 16, 2018, the performance-based nonqualified stock options with a target number of shares of 13,163 and a maximum number of shares of 21,982 were issued with an exercise price of $378.95, the closing stock price on February 16, 2018. The performance measurement period ends on March 31, 2022. The fair value of the performance-based stock options will be recognized on a straight-line basis through the vest date of March 31, 2022, whether or not any of the total shareholder return targets are met. As of September 30, 2018, the performance targets associated with the performance-based nonqualified stock options had not been met.</w:t>
      </w:r>
    </w:p>
    <w:p>
      <w:pPr>
        <w:spacing w:after="0" w:line="11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three and nine months ended September 30, 2018, the Company recorded $4.9 million and $15.6 million, respectively, in stock-based compensation expense related to the 2017 and 2018 grants to its Chairman and Chief Executive Officer in the consolidated statement of operations and comprehensive income.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vMerge w:val="restart"/>
          </w:tcPr>
          <w:p>
            <w:pPr>
              <w:jc w:val="center"/>
              <w:ind w:right="357"/>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Options</w:t>
            </w:r>
          </w:p>
        </w:tc>
        <w:tc>
          <w:tcPr>
            <w:tcW w:w="3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with Market</w:t>
            </w:r>
          </w:p>
        </w:tc>
        <w:tc>
          <w:tcPr>
            <w:tcW w:w="360" w:type="dxa"/>
            <w:vAlign w:val="bottom"/>
          </w:tcPr>
          <w:p>
            <w:pPr>
              <w:spacing w:after="0"/>
              <w:rPr>
                <w:sz w:val="12"/>
                <w:szCs w:val="12"/>
                <w:color w:val="auto"/>
              </w:rPr>
            </w:pPr>
          </w:p>
        </w:tc>
        <w:tc>
          <w:tcPr>
            <w:tcW w:w="14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Conditions</w:t>
            </w: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center"/>
              <w:ind w:right="357"/>
              <w:spacing w:after="0"/>
              <w:rPr>
                <w:sz w:val="20"/>
                <w:szCs w:val="20"/>
                <w:color w:val="auto"/>
              </w:rPr>
            </w:pPr>
            <w:r>
              <w:rPr>
                <w:rFonts w:ascii="Arial" w:cs="Arial" w:eastAsia="Arial" w:hAnsi="Arial"/>
                <w:sz w:val="14"/>
                <w:szCs w:val="14"/>
                <w:b w:val="1"/>
                <w:bCs w:val="1"/>
                <w:i w:val="1"/>
                <w:iCs w:val="1"/>
                <w:color w:val="auto"/>
                <w:w w:val="89"/>
              </w:rPr>
              <w:t>(per option)</w:t>
            </w:r>
          </w:p>
        </w:tc>
        <w:tc>
          <w:tcPr>
            <w:tcW w:w="1460" w:type="dxa"/>
            <w:vAlign w:val="bottom"/>
          </w:tcPr>
          <w:p>
            <w:pPr>
              <w:jc w:val="center"/>
              <w:ind w:right="64"/>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2018</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402,694</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183.80</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44,499</w:t>
            </w:r>
          </w:p>
        </w:tc>
        <w:tc>
          <w:tcPr>
            <w:tcW w:w="360" w:type="dxa"/>
            <w:vAlign w:val="bottom"/>
          </w:tcPr>
          <w:p>
            <w:pPr>
              <w:spacing w:after="0"/>
              <w:rPr>
                <w:sz w:val="23"/>
                <w:szCs w:val="23"/>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351.70</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September 30, 2018</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447,193</w:t>
            </w: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200.51</w:t>
            </w: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8.87</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18,645</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2018</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$230.10 on the last trading day of the quarter ended September 30, 2018 and the exercise price, multiplied by the number of shares covered by in-the-money options) that would have been received by the option holder had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option holder exercised these options on September 30, 2018. The intrinsic value changes based on the market value of the Company's common stock.</w:t>
      </w:r>
    </w:p>
    <w:p>
      <w:pPr>
        <w:spacing w:after="0" w:line="89" w:lineRule="exact"/>
        <w:rPr>
          <w:sz w:val="20"/>
          <w:szCs w:val="20"/>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nine months ended September 30, 2018, the Company granted stock options with a weighted average grant date fair value per share of $296.80, calculated using the Monte Carlo simulation model, which have vesting dates of March 31, 2022 and September 30, 2022.</w:t>
      </w:r>
    </w:p>
    <w:p>
      <w:pPr>
        <w:spacing w:after="0" w:line="9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Monte Carlo simulation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7.00 - 7.15 years</w:t>
            </w:r>
          </w:p>
        </w:tc>
      </w:tr>
      <w:tr>
        <w:trPr>
          <w:trHeight w:val="270"/>
        </w:trPr>
        <w:tc>
          <w:tcPr>
            <w:tcW w:w="5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5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70"/>
        </w:trPr>
        <w:tc>
          <w:tcPr>
            <w:tcW w:w="554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506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2.38% - 2.81%</w:t>
            </w:r>
          </w:p>
        </w:tc>
      </w:tr>
    </w:tbl>
    <w:p>
      <w:pPr>
        <w:spacing w:after="0" w:line="148"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term of stock options with a market condition granted was calculated using the midpoint between the weighted average time of vesting and the end of the contractual term.</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all stock options with a market condition granted in 2018,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6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4"/>
          </w:tcPr>
          <w:p>
            <w:pPr>
              <w:ind w:left="72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r>
      <w:tr>
        <w:trPr>
          <w:trHeight w:val="264"/>
        </w:trPr>
        <w:tc>
          <w:tcPr>
            <w:tcW w:w="554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r>
      <w:tr>
        <w:trPr>
          <w:trHeight w:val="190"/>
        </w:trPr>
        <w:tc>
          <w:tcPr>
            <w:tcW w:w="5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jc w:val="right"/>
              <w:ind w:right="461"/>
              <w:spacing w:after="0"/>
              <w:rPr>
                <w:sz w:val="20"/>
                <w:szCs w:val="20"/>
                <w:color w:val="auto"/>
              </w:rPr>
            </w:pPr>
            <w:r>
              <w:rPr>
                <w:rFonts w:ascii="Arial" w:cs="Arial" w:eastAsia="Arial" w:hAnsi="Arial"/>
                <w:sz w:val="14"/>
                <w:szCs w:val="14"/>
                <w:b w:val="1"/>
                <w:bCs w:val="1"/>
                <w:i w:val="1"/>
                <w:iCs w:val="1"/>
                <w:color w:val="auto"/>
                <w:w w:val="91"/>
              </w:rPr>
              <w:t>(in thousands, except percentages)</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66"/>
        </w:trPr>
        <w:tc>
          <w:tcPr>
            <w:tcW w:w="5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8"/>
                <w:szCs w:val="18"/>
                <w:color w:val="auto"/>
              </w:rPr>
              <w:t>10,534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(4,292)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8"/>
                <w:szCs w:val="18"/>
                <w:color w:val="auto"/>
              </w:rPr>
              <w:t>63,716</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(3,109)</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60" w:type="dxa"/>
            <w:vAlign w:val="bottom"/>
          </w:tcPr>
          <w:p>
            <w:pPr>
              <w:spacing w:after="0"/>
              <w:rPr>
                <w:sz w:val="21"/>
                <w:szCs w:val="21"/>
                <w:color w:val="auto"/>
              </w:rPr>
            </w:pPr>
          </w:p>
        </w:tc>
        <w:tc>
          <w:tcPr>
            <w:tcW w:w="1160" w:type="dxa"/>
            <w:vAlign w:val="bottom"/>
          </w:tcPr>
          <w:p>
            <w:pPr>
              <w:jc w:val="right"/>
              <w:ind w:right="21"/>
              <w:spacing w:after="0"/>
              <w:rPr>
                <w:sz w:val="20"/>
                <w:szCs w:val="20"/>
                <w:color w:val="auto"/>
              </w:rPr>
            </w:pPr>
            <w:r>
              <w:rPr>
                <w:rFonts w:ascii="Arial" w:cs="Arial" w:eastAsia="Arial" w:hAnsi="Arial"/>
                <w:sz w:val="18"/>
                <w:szCs w:val="18"/>
                <w:i w:val="1"/>
                <w:iCs w:val="1"/>
                <w:color w:val="auto"/>
              </w:rPr>
              <w:t>-59.1 %</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8"/>
                <w:szCs w:val="18"/>
                <w:i w:val="1"/>
                <w:iCs w:val="1"/>
                <w:color w:val="auto"/>
              </w:rPr>
              <w:t>-140.5 %</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10.7%</w:t>
            </w:r>
          </w:p>
        </w:tc>
      </w:tr>
      <w:tr>
        <w:trPr>
          <w:trHeight w:val="27"/>
        </w:trPr>
        <w:tc>
          <w:tcPr>
            <w:tcW w:w="5540" w:type="dxa"/>
            <w:vAlign w:val="bottom"/>
            <w:tcBorders>
              <w:bottom w:val="single" w:sz="8" w:color="999999"/>
            </w:tcBorders>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1160" w:type="dxa"/>
            <w:vAlign w:val="bottom"/>
            <w:tcBorders>
              <w:bottom w:val="single" w:sz="8" w:color="999999"/>
            </w:tcBorders>
          </w:tcPr>
          <w:p>
            <w:pPr>
              <w:spacing w:after="0"/>
              <w:rPr>
                <w:sz w:val="2"/>
                <w:szCs w:val="2"/>
                <w:color w:val="auto"/>
              </w:rPr>
            </w:pPr>
          </w:p>
        </w:tc>
        <w:tc>
          <w:tcPr>
            <w:tcW w:w="300" w:type="dxa"/>
            <w:vAlign w:val="bottom"/>
            <w:tcBorders>
              <w:bottom w:val="single" w:sz="8" w:color="999999"/>
            </w:tcBorders>
          </w:tcPr>
          <w:p>
            <w:pPr>
              <w:spacing w:after="0"/>
              <w:rPr>
                <w:sz w:val="2"/>
                <w:szCs w:val="2"/>
                <w:color w:val="auto"/>
              </w:rPr>
            </w:pPr>
          </w:p>
        </w:tc>
        <w:tc>
          <w:tcPr>
            <w:tcW w:w="116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320" w:type="dxa"/>
            <w:vAlign w:val="bottom"/>
            <w:tcBorders>
              <w:bottom w:val="single" w:sz="8" w:color="999999"/>
            </w:tcBorders>
          </w:tcPr>
          <w:p>
            <w:pPr>
              <w:spacing w:after="0"/>
              <w:rPr>
                <w:sz w:val="2"/>
                <w:szCs w:val="2"/>
                <w:color w:val="auto"/>
              </w:rPr>
            </w:pPr>
          </w:p>
        </w:tc>
        <w:tc>
          <w:tcPr>
            <w:tcW w:w="1100" w:type="dxa"/>
            <w:vAlign w:val="bottom"/>
            <w:tcBorders>
              <w:bottom w:val="single" w:sz="8" w:color="999999"/>
            </w:tcBorders>
          </w:tcPr>
          <w:p>
            <w:pPr>
              <w:spacing w:after="0"/>
              <w:rPr>
                <w:sz w:val="2"/>
                <w:szCs w:val="2"/>
                <w:color w:val="auto"/>
              </w:rPr>
            </w:pPr>
          </w:p>
        </w:tc>
        <w:tc>
          <w:tcPr>
            <w:tcW w:w="500" w:type="dxa"/>
            <w:vAlign w:val="bottom"/>
            <w:tcBorders>
              <w:bottom w:val="single" w:sz="8" w:color="999999"/>
            </w:tcBorders>
          </w:tcPr>
          <w:p>
            <w:pPr>
              <w:spacing w:after="0"/>
              <w:rPr>
                <w:sz w:val="2"/>
                <w:szCs w:val="2"/>
                <w:color w:val="auto"/>
              </w:rPr>
            </w:pPr>
          </w:p>
        </w:tc>
        <w:tc>
          <w:tcPr>
            <w:tcW w:w="860" w:type="dxa"/>
            <w:vAlign w:val="bottom"/>
            <w:tcBorders>
              <w:bottom w:val="single" w:sz="8" w:color="999999"/>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and nine months ended September 30, 2018, the effective tax rate varied from the federal statutory rate of 21% primarily due to a tax benefit of $14.3 million and $75.2 million, respectively, recognized for excess tax benefits due to employee exercises of stock options and vesting of restricted stock in accordance with ASU 2016-09 and the effect of state taxes.</w:t>
      </w:r>
    </w:p>
    <w:p>
      <w:pPr>
        <w:spacing w:after="0" w:line="12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For the three and nine months ended September 30, 2017, the effective tax rate varied from the federal statutory rate of 35% primarily due to a tax benefit of $0.8 million and $8.4 million, respectively, recognized for excess tax benefits due to employee exercises of stock options and vesting of restricted stock in accordance with ASU 2016-09.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24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5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2017</w:t>
            </w:r>
          </w:p>
        </w:tc>
      </w:tr>
      <w:tr>
        <w:trPr>
          <w:trHeight w:val="190"/>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66"/>
        </w:trPr>
        <w:tc>
          <w:tcPr>
            <w:tcW w:w="5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Income tax expense - excluding excess tax benefit on stock compensation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(11,475)</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(11,523)</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Excess tax benefit on stock compensation</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8"/>
                <w:szCs w:val="18"/>
                <w:color w:val="auto"/>
              </w:rPr>
              <w:t>14,321</w:t>
            </w:r>
          </w:p>
        </w:tc>
        <w:tc>
          <w:tcPr>
            <w:tcW w:w="5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8"/>
                <w:szCs w:val="18"/>
                <w:color w:val="auto"/>
              </w:rPr>
              <w:t>75,191</w:t>
            </w:r>
          </w:p>
        </w:tc>
        <w:tc>
          <w:tcPr>
            <w:tcW w:w="5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8,414</w:t>
            </w:r>
          </w:p>
        </w:tc>
      </w:tr>
      <w:tr>
        <w:trPr>
          <w:trHeight w:val="27"/>
        </w:trPr>
        <w:tc>
          <w:tcPr>
            <w:tcW w:w="5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10,534</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63,716</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w:t>
            </w:r>
          </w:p>
        </w:tc>
      </w:tr>
      <w:tr>
        <w:trPr>
          <w:trHeight w:val="459"/>
        </w:trPr>
        <w:tc>
          <w:tcPr>
            <w:tcW w:w="54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31, 2017, the Company issued $300.0 million aggregate principal amount of its 0.625% Convertible Senior Notes due June 1, 2022 (the “Notes”) in a private placement. The Notes bear interest at a rate of 0.625% per year, payable semi-annually on June 1 and December 1 of each year, beginning on December 1, 2017. The Notes will mature on June 1, 2022, unless earlier repurchased or converted.</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initial conversion rate of the Notes is 4.8163 shares of Common Stock per $1,000 principal amount of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fundamental change prior to the maturity of the Notes, the Company will, in certain circumstances, increase the conversion rate by a specified number of additional shares for a holder that elects to convert the Notes in connection with such fundamental change. Upon conversion, the Notes will settle for cash, shares of the Company’s stock, or a combination thereof, at the Company’s option. It is the intent of the Company to settle the principal amount of the Notes in cash and any conversion premium in shares of its common stock.</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Notes) per $1,000 principal amount of Notes for such trading day was less than 98% of the product of the last reported sale price of the Common Stock and the conversion rate on each such trading day; or</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Holders of the Notes became entitled to convert the Notes on January 1, 2018, based on the last reported sales price of the Company's common stock, for at least 20 trading days (whether or not consecutive) during the period of 30 consecutive trading days ending on December 31, 2017, being greater than or equal to 130% of the conversion price of the Notes on each applicable trading day. Holders of the Notes continued to have such right until June 30, 2018, based on the last reported sales price of the Company's common stock, for at least 20 trading days (whether or not consecutive) during the period of 30 consecutive trading days ending on March 31, 2018, being greater than or equal to 130% of the conversion price of the Notes on each applicable trading day. Holders of the Notes have not been entitled to convert the Notes since July 1, 2018. Holders of the Notes are not entitled to convert the Notes during the calendar quarter ended December 31, 2018 as the last reported sales price of the Company's common stock, for at least 20 trading days (whether or not consecutive) during the period of 30 consecutive trading days ending on September 30, 2018, was not greater than or equal to 130% of the conversion price of the Notes on each applicable trading day.</w:t>
      </w:r>
    </w:p>
    <w:p>
      <w:pPr>
        <w:spacing w:after="0" w:line="1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Notes, holders of the Notes may convert all or a portion of their Notes regardless of the foregoing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Notes prior to the maturity date and no sinking fund is provided for the Notes. Upon the occurrence of a fundamental change prior to the maturity date of the Notes, holders of the Notes may require the Company to repurchase all or a portion of the Notes for cash at a price equal to 100% of the principal amount of the Notes to be repurchased, plus any accrued and unpaid interest to, but excluding, the fundamental change repurchase 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market price per share of the Common Stock, as measured under the terms of the Notes, exceeds the conversion price of the Notes, the Notes could have a dilutive effect, unless the Company elects, subject to certain conditions, to settle the principal amount of the Notes and any conversion premium in cash.</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initial measurement of convertible debt instruments that may be settled in cash are separated into a debt and equity component whereby the debt component is based on the fair value of a similar instrument that does not contain an equity conversion option. The separate components of debt and equity of the Company’s Notes were determined using an interest rate of 5.36%, which reflects the nonconvertible debt borrowing rate of the Company at the date of issuance. As a result, the initial components of debt and equity were $238.4 million and $61.6 million,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Financing costs related to the issuance of the Notes were approximately $9.3 million of which $7.4 million were allocated to the liability component and are being amortized to interest expense over the term of the debt and $1.9 million were allocated to the equity component.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nine months of 2018, the Company recorded interest expense on the Notes of $10.9 million which consisted of $1.4 million associated with the 0.625% coupon rate, $8.5 million associated with the accretion of the debt discount, and $1.0 million associated with the amortization of the debt issuance costs. In the first nine months of 2017, the Company recorded interest expense on the Notes of $4.7 million which consisted of $0.6 million associated with the 0.625% coupon rate, $3.6 million associated with the accretion of the debt discount, and $0.4 million associated with the amortization of the debt issuance costs. The debt discount is being amortized over the term of the debt.</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2018, the fair value of the Notes is estimated to be approximately $382.1 million using the Level 1 observable input of the last quoted market price on September 28, 2018.</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 summary of the gross carrying amount, unamortized debt cost, debt issuance costs and net carrying value of the liability component of the 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w w:val="98"/>
              </w:rPr>
              <w:t>September 30,</w:t>
            </w:r>
          </w:p>
        </w:tc>
        <w:tc>
          <w:tcPr>
            <w:tcW w:w="300" w:type="dxa"/>
            <w:vAlign w:val="bottom"/>
          </w:tcPr>
          <w:p>
            <w:pPr>
              <w:spacing w:after="0"/>
              <w:rPr>
                <w:sz w:val="14"/>
                <w:szCs w:val="14"/>
                <w:color w:val="auto"/>
              </w:rPr>
            </w:pPr>
          </w:p>
        </w:tc>
        <w:tc>
          <w:tcPr>
            <w:tcW w:w="128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300,000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300,000</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0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46,705</w:t>
            </w:r>
          </w:p>
        </w:tc>
        <w:tc>
          <w:tcPr>
            <w:tcW w:w="30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55,202</w:t>
            </w: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5,599</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6,599</w:t>
            </w:r>
          </w:p>
        </w:tc>
      </w:tr>
      <w:tr>
        <w:trPr>
          <w:trHeight w:val="237"/>
        </w:trPr>
        <w:tc>
          <w:tcPr>
            <w:tcW w:w="8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247,696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238,199</w:t>
            </w:r>
          </w:p>
        </w:tc>
      </w:tr>
      <w:tr>
        <w:trPr>
          <w:trHeight w:val="34"/>
        </w:trPr>
        <w:tc>
          <w:tcPr>
            <w:tcW w:w="8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in connection with the issuance of the Notes, the Company entered into Convertible Note Hedge (the “Hedge”) and Warrant transactions with respect to the Company’s common stock. The Company used approximately $18.1 million of the net proceeds from the Notes to pay for the cost of the Hedge, after such cost was partially offset by the proceeds from the Warrant transactions.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31, 2017, the Company paid $61.5 million to the counterparties for the Hedge transactions. The Hedge transactions cover approximately 1.4 million shares of the Company’s common stock, the same number of shares initially underlying the Notes, and are exercisable upon any conversion of the Notes. The Hedge Transactions are expected generally to reduce the potential dilution to the Common Stock upon conversion of the Notes and/or offset any cash payments the Company is required to make in excess of the principal amount of the converted Notes, as the case may be, in the event that the market price per share of Common Stock, as measured under the terms of the Hedge transactions, is greater than the strike price of the Hedge transactions, which initially corresponds to the initial conversion price of the Notes, or approximately $207.63 per share of Common Stock. The Hedge transactions will expire upon the maturity of the Notes.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the Company sold to the counterparties, warrants (the "Warrants") to acquire 1.4 million shares of Common Stock at an initial strike price of $266.39 per share, which represents a premium of 70% over the reported sale price of the Common Stock of $156.70 on May 24, 2017. On May 31, 2017, the Company received aggregate proceeds of approximately $43.4 million from the sale of the Warrants.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market price per share of the Common Stock, as measured under the terms of the Warrants, exceeds the strike price of the Warrants, the Warrants could have a dilutive effect, unless the Company elects, subject to certain conditions, to settle the Warrants in cash.</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Hedge and Warrant transactions are indexed to, and potentially settled in, the Company's common stock and the net cost of $18.1 million has been recorded as a reduction to additional paid-in capital in the consolidated statement of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November 21, 2017, the Company's wholly-owned subsidiary, LendingTree, LLC, entered into an amended and restated $250.0 million five-year senior secured revolving credit facility which matures on November 21, 2022 (the “Revolving Credit Facility”). The Revolving Credit Facility replaced the Company's previous $125.0 million revolving credit facility. Borrowings under the Revolving Credit Facility can be used to finance working capital needs, capital expenditures and general corporate purposes, including to finance permitted acquisitions. As of September 30, 2018, the Company does not have any borrowings outstanding under the Revolving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16—Subsequent Events for additional information regarding the Senior Secured Revolving Credit Facility.</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 to $10.0 million of the Revolving Credit Facility will be available for short-term loans, referred to as swingline loans. Additionally, up to $10.0 million of the Revolving Credit Facility will be available for the issuance of letters of credit. Under certain conditions, the Company will be permitted to add one or more term loans and/or increase revolving commitments under the Revolving Credit Facility by an additional $100.0 million, or a greater amount provided that a total consolidated senior secured debt to EBITDA ratio does not exceed 2.50 to 1.00.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September 30, 2018.</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required to pay an unused commitment fee quarterly in arrears on the difference between committed amounts and amounts actually borrowed under the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letters of credit at an applicable percentage of 1.25% to 2.0% based on a total consolidated debt to EBITDA ratio. The letter of credit fronting fee is 0.125% per annum on the face amount of each letter of credit.</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remaining unamortized debt issuance costs associated with the original revolving credit facility, debt issuance costs of $1.4 million related to the Revolving Credit Facility are being amortized to interest expense over the life of the Revolving Credit Facility of five years, and are included in prepaid and other current assets and other non-current assets in the Company's consolidated balance sheet.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12,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2018, the Company had litigation settlement accruals of $0.1 million and $8.0 million in continuing operations and discontinued operations, respectively. As of December 31, 2017, the Company had litigation settlement accruals of $0.3 million and $4.0 million in continuing operations and discontinued operations, respectively. The litigation settlement accruals relate to litigation matters that were either settled or a firm offer for settlement was extended, thereby establishing an accrual amount that is both probable and reasonably estimable.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Residential Funding Company, LLC v Home Loan Center, Inc., No. 13-cv-3451 (U.S. Dist. Ct., Minn.). </w:t>
      </w:r>
      <w:r>
        <w:rPr>
          <w:rFonts w:ascii="Arial" w:cs="Arial" w:eastAsia="Arial" w:hAnsi="Arial"/>
          <w:sz w:val="18"/>
          <w:szCs w:val="18"/>
          <w:color w:val="auto"/>
        </w:rPr>
        <w:t>On or about December 16, 2013, Home Loan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Home Loan Center, in federal and state courts in Minnesota and New York. In each case, Plaintiff claims that the defendant is liable for a portion of the global settlement in RFC’s bankruptcy.</w:t>
      </w:r>
    </w:p>
    <w:p>
      <w:pPr>
        <w:spacing w:after="0" w:line="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Plaintiff asserts two claims against HLC: (1) breach of contract based on HLC’s alleged breach of representations and warranties concerning the quality and characteristics of the mortgage loans it sold to RFC (Count One); and (2) contractual indemnification for alleged liabilities, losses, and damages incurred by RFC arising out of purported defects in loans that RFC purchased from HSBC and sold to third parties (Count Two). Plaintiff alleges that the “types of defects” contained in the loans it purchased from HLC included “income misrepresentation, employment misrepresentation, appraisal misrepresentations or inaccuracies, undisclosed debt, and missing or inaccurate documents.”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HLC filed a Motion to Dismiss under Rule 12(b)(6) of the Federal Rules of Civil Procedure or, in the alternative, a Motion for More Definite Statement under Rule 12(e). On June 25, 2015 the judge denied HLC's motion.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9, 2015, HLC filed its answer to RFC’s complaint, denying the material allegations of the complaint and asserting numerous defenses thereto. The parties filed their respective motions for summary judgment in April 2018; oral arguments with respect to the motions for summary judgment were heard in June 2018. Trial began on October 15, 2018. Plaintiff is seeking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damages of $44.0 million in this action and plaintiff attorney fees; HLC intends to vigorously defend this action. An estimated liability of $7.0 million for this matter is included in the accompanying consolidated balance sheet as of September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Lehman Brothers Holdings Inc. v. 1st Advantage Mortgage, LLC et al., Case No. 08-13555 (SCC), Adversary Proceeding No. 16-01342 (SCC) (Bankr. S.D.N.Y.). </w:t>
      </w:r>
      <w:r>
        <w:rPr>
          <w:rFonts w:ascii="Arial" w:cs="Arial" w:eastAsia="Arial" w:hAnsi="Arial"/>
          <w:sz w:val="16"/>
          <w:szCs w:val="16"/>
          <w:color w:val="auto"/>
        </w:rPr>
        <w:t>In February 2016, Lehman Brothers Holdings, Inc. (“LBHI”) filed an Adversary Complaint against Home Loan Center and approximately 149</w:t>
      </w:r>
      <w:r>
        <w:rPr>
          <w:rFonts w:ascii="Arial" w:cs="Arial" w:eastAsia="Arial" w:hAnsi="Arial"/>
          <w:sz w:val="16"/>
          <w:szCs w:val="16"/>
          <w:i w:val="1"/>
          <w:iCs w:val="1"/>
          <w:color w:val="auto"/>
        </w:rPr>
        <w:t xml:space="preserve"> </w:t>
      </w:r>
      <w:r>
        <w:rPr>
          <w:rFonts w:ascii="Arial" w:cs="Arial" w:eastAsia="Arial" w:hAnsi="Arial"/>
          <w:sz w:val="16"/>
          <w:szCs w:val="16"/>
          <w:color w:val="auto"/>
        </w:rPr>
        <w:t>other defendants (the "Complaint"). The Complaint generally seeks (1) a declaratory judgment that the settlements entered into by LBHI with Fannie Mae and Freddie Mac as part of LBHI's bankruptcy proceedings gave rise to LBHI's contractual indemnification claims against defendants alleged in the Complaint;</w:t>
      </w:r>
    </w:p>
    <w:p>
      <w:pPr>
        <w:spacing w:after="0" w:line="2" w:lineRule="exact"/>
        <w:rPr>
          <w:sz w:val="20"/>
          <w:szCs w:val="20"/>
          <w:color w:val="auto"/>
        </w:rPr>
      </w:pPr>
    </w:p>
    <w:p>
      <w:pPr>
        <w:jc w:val="both"/>
        <w:ind w:firstLine="8"/>
        <w:spacing w:after="0" w:line="269" w:lineRule="auto"/>
        <w:tabs>
          <w:tab w:leader="none" w:pos="267"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indemnification from HLC and the other defendants for losses allegedly incurred by LBHI in respect of defective mortgage loans sold by defendants to LBHI or its affiliates; and (3) interest, attorneys' fees and costs incurred by LBHI in the litigation. On March 31, 2017, HLC filed an omnibus motion to dismiss with other defendants. HLC intends to defend this action vigorously. HLC had previously received a demand letter (the "Letter") from LBHI in December 2014 with respect to 64 loans (the “Loans”) that LBHI alleges were sold by HLC to Lehman Brothers Bank, FSB (“LBB”) between 2004 and 2008 pursuant to a loan purchase agreement (the “LPA”) between HLC and LBB. The Letter generally sought indemnification from HLC in accordance with the LPA for certain claims that LBHI alleged it allowed in its bankruptcy with respect to the Loans. An estimated liability of $1.0 million for this matter is included in the accompanying consolidated balance sheet as of September 30, 2018.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13—FAIR VALUE MEASUREMENTS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Other than the 0.625% Convertible Senior Notes and the Warrants, the carrying amounts of the Company's financial instruments are equal to fair value at September 30, 2018.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for additional information on the 0.625% Convertible Senior Notes and the Warrants.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Contingent consideration payments related to acquisitions are measured at fair value each reporting period using Level 3 unobservable inputs. The changes in the fair value of the Company's Level 3 liabilities during the three and nine months ended September 30, 2018 and 2017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Contingent consideration,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15,241</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46,227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57,349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23,100</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2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(gains) losses included in earnings (realized and unrealized)</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2,105</w:t>
            </w:r>
          </w:p>
        </w:tc>
        <w:tc>
          <w:tcPr>
            <w:tcW w:w="5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1,197</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20,640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Purchases, sales and settlements: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5,800</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11,318</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(48,000)</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6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Contingent consideration,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16,346</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54,058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16,346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54,058</w:t>
            </w:r>
          </w:p>
        </w:tc>
      </w:tr>
      <w:tr>
        <w:trPr>
          <w:trHeight w:val="27"/>
        </w:trPr>
        <w:tc>
          <w:tcPr>
            <w:tcW w:w="6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The contingent consideration liability at September 30, 2018 is the estimated fair value of the earnout payments of the DepositAccounts, SnapCap and Ovation acquisitions. The Company will make payments ranging from $1.0 million to $5.0 million based on the achievement of defined milestone and performance targets for DepositAccounts, payments ranging from zero to $9.0 million based on the achievement of certain defined earnings targets for SnapCap, and payments ranging from zero to $8.75 million based on the achievement of certain defined operating metrics for Ovation.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6—Business Acquisition for additional information on the contingent consideration for each of these respective acquisitions.</w:t>
      </w:r>
    </w:p>
    <w:p>
      <w:pPr>
        <w:spacing w:after="0" w:line="11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significant unobservable inputs used to calculate the fair value of the contingent consideration are estimated future cash flows for the acquisitions, estimated customer growth rates, estimated date and likelihood of an increase in interest rates and the discount rate. Actual results will differ from the projected results and could have a significant impact on the estimated fair value of the contingent considerations.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one reportable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Pr>
          <w:p>
            <w:pPr>
              <w:spacing w:after="0"/>
              <w:rPr>
                <w:sz w:val="14"/>
                <w:szCs w:val="14"/>
                <w:color w:val="auto"/>
              </w:rPr>
            </w:pPr>
          </w:p>
        </w:tc>
      </w:tr>
      <w:tr>
        <w:trPr>
          <w:trHeight w:val="192"/>
        </w:trPr>
        <w:tc>
          <w:tcPr>
            <w:tcW w:w="3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2017</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55,287</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195,697</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208,209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46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141,770</w:t>
            </w:r>
          </w:p>
        </w:tc>
        <w:tc>
          <w:tcPr>
            <w:tcW w:w="8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97,738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366,496</w:t>
            </w:r>
          </w:p>
        </w:tc>
        <w:tc>
          <w:tcPr>
            <w:tcW w:w="7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248,573</w:t>
            </w:r>
          </w:p>
        </w:tc>
      </w:tr>
      <w:tr>
        <w:trPr>
          <w:trHeight w:val="27"/>
        </w:trPr>
        <w:tc>
          <w:tcPr>
            <w:tcW w:w="3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197,057</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171,494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562,193</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456,782</w:t>
            </w:r>
          </w:p>
        </w:tc>
      </w:tr>
      <w:tr>
        <w:trPr>
          <w:trHeight w:val="27"/>
        </w:trPr>
        <w:tc>
          <w:tcPr>
            <w:tcW w:w="3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2017</w:t>
            </w: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r>
      <w:tr>
        <w:trPr>
          <w:trHeight w:val="318"/>
        </w:trPr>
        <w:tc>
          <w:tcPr>
            <w:tcW w:w="6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(3,334)</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(11,733)</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700</w:t>
            </w:r>
          </w:p>
        </w:tc>
        <w:tc>
          <w:tcPr>
            <w:tcW w:w="50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2,464</w:t>
            </w:r>
          </w:p>
        </w:tc>
        <w:tc>
          <w:tcPr>
            <w:tcW w:w="5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1,417</w:t>
            </w:r>
          </w:p>
        </w:tc>
      </w:tr>
      <w:tr>
        <w:trPr>
          <w:trHeight w:val="27"/>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(2,634)</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(9,269)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(2,632)</w:t>
            </w:r>
          </w:p>
        </w:tc>
      </w:tr>
      <w:tr>
        <w:trPr>
          <w:trHeight w:val="27"/>
        </w:trPr>
        <w:tc>
          <w:tcPr>
            <w:tcW w:w="6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and nine months ended September 30, 2018 and 2017, loss from discontinued operations was primarily due to litigation settlements and contingencies and legal fees associated with ongoing legal proceedings.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June 6, 2012, the Company sold substantially all of the operating assets of its LendingTree Loans business for $55.9 million in cash to a wholly-owned subsidiary of Discover Financial Services ("Discover"). Discover generally did not assume liabilities of the LendingTree Loans business that arose before the closing date, except for certain liabilities directly related to assets Discover acquired. Of the purchase price received, a portion was deposited in escrow in accordance with the agreement with Discover for certain loan loss obligations that remain with the Company following the sale. During the second quarter of 2018, the remaining funds in escrow were released to the Company in accordance with the terms of the agreement with Discover.</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Liability for losses on previously sold loans will remain with LendingTree Loans and are discussed below.</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aggregate loans sold, subsequent settlements and remaining unsettled loans.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00" w:type="dxa"/>
            <w:vAlign w:val="bottom"/>
          </w:tcPr>
          <w:p>
            <w:pPr>
              <w:jc w:val="center"/>
              <w:ind w:left="419"/>
              <w:spacing w:after="0"/>
              <w:rPr>
                <w:sz w:val="20"/>
                <w:szCs w:val="20"/>
                <w:color w:val="auto"/>
              </w:rPr>
            </w:pPr>
            <w:r>
              <w:rPr>
                <w:rFonts w:ascii="Arial" w:cs="Arial" w:eastAsia="Arial" w:hAnsi="Arial"/>
                <w:sz w:val="16"/>
                <w:szCs w:val="16"/>
                <w:b w:val="1"/>
                <w:bCs w:val="1"/>
                <w:color w:val="auto"/>
                <w:w w:val="92"/>
              </w:rPr>
              <w:t>Number of Loans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jc w:val="right"/>
              <w:ind w:right="274"/>
              <w:spacing w:after="0"/>
              <w:rPr>
                <w:sz w:val="20"/>
                <w:szCs w:val="20"/>
                <w:color w:val="auto"/>
              </w:rPr>
            </w:pPr>
            <w:r>
              <w:rPr>
                <w:rFonts w:ascii="Arial" w:cs="Arial" w:eastAsia="Arial" w:hAnsi="Arial"/>
                <w:sz w:val="16"/>
                <w:szCs w:val="16"/>
                <w:b w:val="1"/>
                <w:bCs w:val="1"/>
                <w:color w:val="auto"/>
                <w:w w:val="96"/>
              </w:rPr>
              <w:t>Original Issue Balance</w:t>
            </w:r>
          </w:p>
        </w:tc>
      </w:tr>
      <w:tr>
        <w:trPr>
          <w:trHeight w:val="33"/>
        </w:trPr>
        <w:tc>
          <w:tcPr>
            <w:tcW w:w="67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800" w:type="dxa"/>
            <w:vAlign w:val="bottom"/>
          </w:tcPr>
          <w:p>
            <w:pPr>
              <w:jc w:val="center"/>
              <w:ind w:left="419"/>
              <w:spacing w:after="0"/>
              <w:rPr>
                <w:sz w:val="20"/>
                <w:szCs w:val="20"/>
                <w:color w:val="auto"/>
              </w:rPr>
            </w:pPr>
            <w:r>
              <w:rPr>
                <w:rFonts w:ascii="Arial" w:cs="Arial" w:eastAsia="Arial" w:hAnsi="Arial"/>
                <w:sz w:val="16"/>
                <w:szCs w:val="16"/>
                <w:b w:val="1"/>
                <w:bCs w:val="1"/>
                <w:i w:val="1"/>
                <w:iCs w:val="1"/>
                <w:color w:val="auto"/>
                <w:w w:val="88"/>
              </w:rPr>
              <w:t>(in thousands)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jc w:val="right"/>
              <w:ind w:right="674"/>
              <w:spacing w:after="0"/>
              <w:rPr>
                <w:sz w:val="20"/>
                <w:szCs w:val="20"/>
                <w:color w:val="auto"/>
              </w:rPr>
            </w:pPr>
            <w:r>
              <w:rPr>
                <w:rFonts w:ascii="Arial" w:cs="Arial" w:eastAsia="Arial" w:hAnsi="Arial"/>
                <w:sz w:val="16"/>
                <w:szCs w:val="16"/>
                <w:b w:val="1"/>
                <w:bCs w:val="1"/>
                <w:i w:val="1"/>
                <w:iCs w:val="1"/>
                <w:color w:val="auto"/>
              </w:rPr>
              <w:t>(in billions)</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sold by HLC</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Subsequent settlements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9"/>
              </w:rPr>
              <w:t>(172)</w:t>
            </w:r>
          </w:p>
        </w:tc>
        <w:tc>
          <w:tcPr>
            <w:tcW w:w="3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Remaining unsettled balance as of September 30, 2018</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r>
      <w:tr>
        <w:trPr>
          <w:trHeight w:val="27"/>
        </w:trPr>
        <w:tc>
          <w:tcPr>
            <w:tcW w:w="674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the Company's own settlement experience, as well as LendingTree Loans' non-operating status, in order to estimate a range of potential obligation.</w:t>
      </w:r>
    </w:p>
    <w:p>
      <w:pPr>
        <w:spacing w:after="0" w:line="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$4.3 million to $7.8 million at September 30, 2018. The reserve balance recorded as of September 30, 2018 was $7.6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4280" w:type="dxa"/>
            <w:vAlign w:val="bottom"/>
            <w:tcBorders>
              <w:bottom w:val="single" w:sz="8" w:color="CCEEFF"/>
            </w:tcBorders>
          </w:tcPr>
          <w:p>
            <w:pPr>
              <w:spacing w:after="0"/>
              <w:rPr>
                <w:sz w:val="22"/>
                <w:szCs w:val="22"/>
                <w:color w:val="auto"/>
              </w:rPr>
            </w:pPr>
          </w:p>
        </w:tc>
        <w:tc>
          <w:tcPr>
            <w:tcW w:w="1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2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6,804</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750</w:t>
            </w: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1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20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7,554</w:t>
            </w:r>
          </w:p>
        </w:tc>
      </w:tr>
      <w:tr>
        <w:trPr>
          <w:trHeight w:val="34"/>
        </w:trPr>
        <w:tc>
          <w:tcPr>
            <w:tcW w:w="4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59"/>
        </w:trPr>
        <w:tc>
          <w:tcPr>
            <w:tcW w:w="42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sheets as of September 30, 2018 and December 31,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16—SUBSEQUENT EVENTS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October 26, 2018, the Company amended its Revolving Credit Facility maturing on November 21, 2022 to increase its borrowing capacity by $100.0 million to $350.0 million. Pricing and other terms and conditions of the Revolving Credit Facility remain unchanged.</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October 31, 2018, the Company acquired QuoteWizard.com, LLC ("QuoteWizard"), one of the largest insurance comparison marketplaces in the growing online insurance advertising market, for $300.0 million in cash at closing and potential contingent consideration payments of up to $70.2 million, subject to achieving specific targets. QuoteWizard services clients by driving consumers to insurance companies’ websites, providing leads to agents and carriers, as well as phone transfers of consumers into carrier call centers. The acquisition was funded through $175.0 million of cash on hand and by $125.0 million drawn on the Company's amended and restated revolving credit facility.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2017 Annual Report.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operates what we believe to be the leading online loan marketplace for consumers seeking loans and other credit-based offerings. Our online marketplace provides consumers with access to product offerings from our Network Lenders, including mortgage loans, home equity loans and lines of credit, reverse mortgage loans, auto loans, credit cards, deposit accounts, personal loans, student loans, small business loans and other related offerings. In addition, we offer tools and resources, including free credit scores, that facilitate comparison shopping for these loans, deposits and other credit-based offerings. We seek to match consumers with multiple lenders, who can provide them with competing quotes for the product they are seeking. We also serve as a valued partner to lenders seeking an efficient, scalable and flexible source of customer acquisition with directly measurable benefits, by matching the consumer inquiries we generate with these lenders.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loan comparison-shopping experience by providing free credit scores and credit score analysis. This platform enables us to observe consumers' credit profiles and then identify and alert them to loan and other credit-based opportunities on our marketplace that may be more favorable than the loans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operating our core mortgage business, we are focused on growing our non-mortgage lending businesses and developing new product offerings and enhancements to improve the experiences that consumers and lenders have as they interact with us. By expanding our portfolio of loans and other product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believe the consumer and small business financial services industry is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lender network place us in a strong position to continue to benefit from this market shift.</w:t>
      </w:r>
    </w:p>
    <w:p>
      <w:pPr>
        <w:spacing w:after="0" w:line="4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and Hedge and Warrant Transactions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May 31, 2017, we issued $300.0 million aggregate principal amount of our 0.625% Convertible Senior Notes due June 1, 2022 and, in connection therewith, entered into Convertible Note Hedge and Warrant transactions with respect to our common stock. For more information,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in the notes to the consolidated financial statements included elsewhere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October 31, 2018, we acquired QuoteWizard.com, LLC ("QuoteWizard"), one of the largest insurance comparison marketplaces in the growing online insurance advertising market, for $300.0 million in cash at the closing of the transaction and potential contingent consideration payments of up to $70.2 million through October 2021, subject to achieving specific targets. QuoteWizard services clients by driving consumers to insurance companies’ websites, providing leads to agents and carriers, as well as phone transfers of consumers into carrier call centers. This acquisition will establish LendingTree as a leading player in the online insurance advertising industry, while continuing our ongoing diversification within the financial services category.</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23, 2018, we acquired Student Loan Hero, Inc. (“Student Loan Hero”) for $60.7 million in cash at the closing of the transaction, subject to post-closing adjustments to working capital, of which $2.3 million was recognized as severance expense in our consolidated statements of operations and comprehensive income. Student Loan Hero, a personal finance website dedicated to helping student loan borrowers manage their student debt, offers current and former students in-depth financial comparison tools, educational resources, and unbiased, personalized advice. This strategic transaction allows us to scale our student loan business and provide consumers with the tools and resources to better understand their personal finances and make smarter financial decisions.</w:t>
      </w:r>
    </w:p>
    <w:p>
      <w:pPr>
        <w:spacing w:after="0" w:line="13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June 11, 2018, we acquired Ovation Credit Services, Inc. (“Ovation”), a leading provider of credit services with a strong customer service reputation for $12.2 million at the closing of the transaction, subject to post-closing adjustments to working capital, and potential contingent consideration payments of up to $8.75 million through June 2020, subject to achieving specified targets.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 Ovation's experienced management team, strong credit bureau relationships and customized software platform enable us to help more consumers achieve their original financial goals through the LendingTree platform.</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September 19, 2017, we acquired certain assets of Snap Capital LLC, which does business under the name SnapCap for $11.9 million in cash at closing and contingent consideration payments of up to $9.0 million through March 31, 2020, subject to achieving specific targets. SnapCap is a tech-enabled online platform, which connects business owners with lenders offering small business loans, lines of credit and merchant cash advance products through a concierge-based sales approach. We believe that by combining SnapCap's high-touch, high-conversion sales approach with our brand and performance marketing expertise, we can derive substantial revenue synergies and accelerate growth in our small business offering.</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20, 2017, we acquired Camino Del Avion (Delaware), LLC, which does business under the name MagnifyMoney for $29.6 million cash consideration at the closing of the transaction. MagnifyMoney is a leading consumer-facing media property that offers editorial content, expert commentary, tools and resources to help consumers compare financial products and make informed financial decisions. The MagnifyMoney team brings the expertise and infrastructure to expand content creation and distribution across all of our consumer facing brands, improving our presence and efficacy in acquisition channels such as search engine optimization.</w:t>
      </w:r>
    </w:p>
    <w:p>
      <w:pPr>
        <w:spacing w:after="0" w:line="13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June 14, 2017, we acquired substantially all of the assets of Deposits Online, LLC, which does business under the name DepositAccounts.com (“DepositAccounts”) for $24.0 million in cash at closing and contingent consideration payments of up to $9.0 million through June 30, 2020, subject to achieving specific targets.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 This acquisition represents our first offering to address the asset side of the consumer balance sheet.</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acquisitions continue our diversification strategy.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North Carolina Office Properties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2016, we completed the acquisition of two office buildings in Charlotte, North Carolina, for $23.5 million in cash. The buildings were acquired with the intent to use such buildings as our principal executive offices in the future; any unused space in the buildings may continue to be occupied by tenants. We are re-evaluating our plans for these buildings.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our proposed expansion in North Carolina, we received a grant from the state that provides up to $4.9 million in reimbursements over 12 years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anticipate revenue in our newer products to be cyclical as well; however, we have limited historical data to predict the nature and magnitude of this cyclicality. Based on industry data, we anticipate as our personal loan product matures we will experience less consumer demand during the fourth and first quarters of each year. We also anticipate less consumer demand for credit cards in the fourth quarter of each year and we anticipate higher consumer demand for deposit accounts in the first quarter of each year. The majority of consumer demand for in-school student loan products occurs in the third quarter coinciding with collegiate enrollment in late summer. Other factors affecting our business include macro factors such as credit availability in the market, interest rates, the strength of the economy and employment.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1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 These factors combined to cause lower revenue earned per consumer in the third quarter of 2018 compared to the prior year quarter.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dynamically adjust selling and marketing expenditures in all interest rate environments to optimize our results against these variables.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According to Freddie Mac, 30-year mortgage interest rates have increased steadily during 2018 to a monthly average of 4.63% in September 2018. On a quarterly basis, 30-year mortgage interest rates in the third quarter of 2018 averaged 4.57%, as compared to 3.89% in the third quarter of 2017 and 4.54% in the second quarter of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272415</wp:posOffset>
            </wp:positionV>
            <wp:extent cx="4768215" cy="3035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68215"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Typically, as mortgage interest rates rise, there are fewer consumers in the marketplace seeking refinancings and, accordingly, the mix of mortgage origination dollars moves towards purchase mortgages. According to Mortgage Bankers Association ("MBA") data, total purchase origination dollars increased to 76% of total mortgage origination dollars in the third quarter of 2018 from 74% in the second quarter of 2018, while total refinance origination dollars decreased to 24% of total mortgage origination dollars in the third quarter of 2018 from 26% in the second quarter of 2018. In the third quarter of 2018, the volume of total refinance origination dollars decreased 26% from the third quarter of 2017 and 6% from the second quarter of 2018.</w:t>
      </w:r>
    </w:p>
    <w:p>
      <w:pPr>
        <w:spacing w:after="0" w:line="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Looking forward, MBA is projecting 30-year mortgage interest rates to increase through the end of the year. According to MBA projections, the current mix of mortgage origination dollars will remain relatively consistent in the fourth quarter of 2018 resulting in the refinance share representing approximately 28% for 2018 compared to 35% in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According to the National Association of Realtors ("NAR"), low inventory continues to contribute to declining home sales. The NAR expects a decrease of 1.6% in existing home sales in 2018 from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2018 and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5"/>
          </w:tcPr>
          <w:p>
            <w:pPr>
              <w:jc w:val="center"/>
              <w:ind w:left="521"/>
              <w:spacing w:after="0"/>
              <w:rPr>
                <w:sz w:val="20"/>
                <w:szCs w:val="20"/>
                <w:color w:val="auto"/>
              </w:rPr>
            </w:pPr>
            <w:r>
              <w:rPr>
                <w:rFonts w:ascii="Arial" w:cs="Arial" w:eastAsia="Arial" w:hAnsi="Arial"/>
                <w:sz w:val="16"/>
                <w:szCs w:val="16"/>
                <w:b w:val="1"/>
                <w:bCs w:val="1"/>
                <w:color w:val="auto"/>
                <w:w w:val="91"/>
              </w:rPr>
              <w:t>Three Months Ended 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5"/>
          </w:tcPr>
          <w:p>
            <w:pPr>
              <w:jc w:val="center"/>
              <w:ind w:left="561"/>
              <w:spacing w:after="0"/>
              <w:rPr>
                <w:sz w:val="20"/>
                <w:szCs w:val="20"/>
                <w:color w:val="auto"/>
              </w:rPr>
            </w:pPr>
            <w:r>
              <w:rPr>
                <w:rFonts w:ascii="Arial" w:cs="Arial" w:eastAsia="Arial" w:hAnsi="Arial"/>
                <w:sz w:val="16"/>
                <w:szCs w:val="16"/>
                <w:b w:val="1"/>
                <w:bCs w:val="1"/>
                <w:color w:val="auto"/>
                <w:w w:val="91"/>
              </w:rPr>
              <w:t>Nine Months Ended September 30,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140" w:type="dxa"/>
            <w:vAlign w:val="bottom"/>
          </w:tcPr>
          <w:p>
            <w:pPr>
              <w:jc w:val="right"/>
              <w:ind w:right="723"/>
              <w:spacing w:after="0" w:line="147"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06"/>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120" w:type="dxa"/>
            <w:vAlign w:val="bottom"/>
          </w:tcPr>
          <w:p>
            <w:pPr>
              <w:jc w:val="right"/>
              <w:ind w:right="683"/>
              <w:spacing w:after="0" w:line="147"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23"/>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1"/>
        </w:trPr>
        <w:tc>
          <w:tcPr>
            <w:tcW w:w="3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80" w:type="dxa"/>
            <w:vAlign w:val="bottom"/>
            <w:gridSpan w:val="4"/>
          </w:tcPr>
          <w:p>
            <w:pPr>
              <w:ind w:left="300"/>
              <w:spacing w:after="0"/>
              <w:rPr>
                <w:sz w:val="20"/>
                <w:szCs w:val="20"/>
                <w:color w:val="auto"/>
              </w:rPr>
            </w:pPr>
            <w:r>
              <w:rPr>
                <w:rFonts w:ascii="Arial" w:cs="Arial" w:eastAsia="Arial" w:hAnsi="Arial"/>
                <w:sz w:val="13"/>
                <w:szCs w:val="13"/>
                <w:b w:val="1"/>
                <w:bCs w:val="1"/>
                <w:i w:val="1"/>
                <w:iCs w:val="1"/>
                <w:color w:val="auto"/>
              </w:rPr>
              <w:t>(Dollars in thousands)</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Mortgage products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55,287</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03"/>
              <w:spacing w:after="0"/>
              <w:rPr>
                <w:sz w:val="20"/>
                <w:szCs w:val="20"/>
                <w:color w:val="auto"/>
              </w:rPr>
            </w:pPr>
            <w:r>
              <w:rPr>
                <w:rFonts w:ascii="Arial" w:cs="Arial" w:eastAsia="Arial" w:hAnsi="Arial"/>
                <w:sz w:val="16"/>
                <w:szCs w:val="16"/>
                <w:color w:val="auto"/>
              </w:rPr>
              <w:t>(18,469)</w:t>
            </w:r>
          </w:p>
        </w:tc>
        <w:tc>
          <w:tcPr>
            <w:tcW w:w="11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  $</w:t>
            </w:r>
          </w:p>
        </w:tc>
        <w:tc>
          <w:tcPr>
            <w:tcW w:w="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195,697</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208,209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6"/>
                <w:szCs w:val="16"/>
                <w:color w:val="auto"/>
              </w:rPr>
              <w:t>(12,512)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3000" w:type="dxa"/>
            <w:vAlign w:val="bottom"/>
          </w:tcPr>
          <w:p>
            <w:pPr>
              <w:ind w:left="180"/>
              <w:spacing w:after="0"/>
              <w:rPr>
                <w:sz w:val="20"/>
                <w:szCs w:val="20"/>
                <w:color w:val="auto"/>
              </w:rPr>
            </w:pPr>
            <w:r>
              <w:rPr>
                <w:rFonts w:ascii="Arial" w:cs="Arial" w:eastAsia="Arial" w:hAnsi="Arial"/>
                <w:sz w:val="16"/>
                <w:szCs w:val="16"/>
                <w:color w:val="auto"/>
              </w:rPr>
              <w:t>Non-mortgage products</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141,770</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97,738</w:t>
            </w:r>
          </w:p>
        </w:tc>
        <w:tc>
          <w:tcPr>
            <w:tcW w:w="240" w:type="dxa"/>
            <w:vAlign w:val="bottom"/>
          </w:tcPr>
          <w:p>
            <w:pPr>
              <w:spacing w:after="0"/>
              <w:rPr>
                <w:sz w:val="20"/>
                <w:szCs w:val="20"/>
                <w:color w:val="auto"/>
              </w:rPr>
            </w:pPr>
          </w:p>
        </w:tc>
        <w:tc>
          <w:tcPr>
            <w:tcW w:w="1140" w:type="dxa"/>
            <w:vAlign w:val="bottom"/>
          </w:tcPr>
          <w:p>
            <w:pPr>
              <w:jc w:val="right"/>
              <w:ind w:right="363"/>
              <w:spacing w:after="0"/>
              <w:rPr>
                <w:sz w:val="20"/>
                <w:szCs w:val="20"/>
                <w:color w:val="auto"/>
              </w:rPr>
            </w:pPr>
            <w:r>
              <w:rPr>
                <w:rFonts w:ascii="Arial" w:cs="Arial" w:eastAsia="Arial" w:hAnsi="Arial"/>
                <w:sz w:val="16"/>
                <w:szCs w:val="16"/>
                <w:color w:val="auto"/>
              </w:rPr>
              <w:t>44,032</w:t>
            </w:r>
          </w:p>
        </w:tc>
        <w:tc>
          <w:tcPr>
            <w:tcW w:w="80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ind w:left="140"/>
              <w:spacing w:after="0"/>
              <w:rPr>
                <w:sz w:val="20"/>
                <w:szCs w:val="20"/>
                <w:color w:val="auto"/>
              </w:rPr>
            </w:pPr>
            <w:r>
              <w:rPr>
                <w:rFonts w:ascii="Arial" w:cs="Arial" w:eastAsia="Arial" w:hAnsi="Arial"/>
                <w:sz w:val="16"/>
                <w:szCs w:val="16"/>
                <w:color w:val="auto"/>
              </w:rPr>
              <w:t>366,496</w:t>
            </w:r>
          </w:p>
        </w:tc>
        <w:tc>
          <w:tcPr>
            <w:tcW w:w="280" w:type="dxa"/>
            <w:vAlign w:val="bottom"/>
          </w:tcPr>
          <w:p>
            <w:pPr>
              <w:spacing w:after="0"/>
              <w:rPr>
                <w:sz w:val="20"/>
                <w:szCs w:val="20"/>
                <w:color w:val="auto"/>
              </w:rPr>
            </w:pPr>
          </w:p>
        </w:tc>
        <w:tc>
          <w:tcPr>
            <w:tcW w:w="740" w:type="dxa"/>
            <w:vAlign w:val="bottom"/>
          </w:tcPr>
          <w:p>
            <w:pPr>
              <w:ind w:left="140"/>
              <w:spacing w:after="0"/>
              <w:rPr>
                <w:sz w:val="20"/>
                <w:szCs w:val="20"/>
                <w:color w:val="auto"/>
              </w:rPr>
            </w:pPr>
            <w:r>
              <w:rPr>
                <w:rFonts w:ascii="Arial" w:cs="Arial" w:eastAsia="Arial" w:hAnsi="Arial"/>
                <w:sz w:val="16"/>
                <w:szCs w:val="16"/>
                <w:color w:val="auto"/>
              </w:rPr>
              <w:t>248,573</w:t>
            </w:r>
          </w:p>
        </w:tc>
        <w:tc>
          <w:tcPr>
            <w:tcW w:w="220" w:type="dxa"/>
            <w:vAlign w:val="bottom"/>
          </w:tcPr>
          <w:p>
            <w:pPr>
              <w:spacing w:after="0"/>
              <w:rPr>
                <w:sz w:val="20"/>
                <w:szCs w:val="20"/>
                <w:color w:val="auto"/>
              </w:rPr>
            </w:pPr>
          </w:p>
        </w:tc>
        <w:tc>
          <w:tcPr>
            <w:tcW w:w="1120" w:type="dxa"/>
            <w:vAlign w:val="bottom"/>
          </w:tcPr>
          <w:p>
            <w:pPr>
              <w:jc w:val="right"/>
              <w:ind w:right="323"/>
              <w:spacing w:after="0"/>
              <w:rPr>
                <w:sz w:val="20"/>
                <w:szCs w:val="20"/>
                <w:color w:val="auto"/>
              </w:rPr>
            </w:pPr>
            <w:r>
              <w:rPr>
                <w:rFonts w:ascii="Arial" w:cs="Arial" w:eastAsia="Arial" w:hAnsi="Arial"/>
                <w:sz w:val="16"/>
                <w:szCs w:val="16"/>
                <w:color w:val="auto"/>
              </w:rPr>
              <w:t>117,923</w:t>
            </w:r>
          </w:p>
        </w:tc>
        <w:tc>
          <w:tcPr>
            <w:tcW w:w="84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197,057</w:t>
            </w: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171,494</w:t>
            </w: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25,563</w:t>
            </w:r>
          </w:p>
        </w:tc>
        <w:tc>
          <w:tcPr>
            <w:tcW w:w="120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15 %</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562,193</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456,782</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105,411</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23 %</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 xml:space="preserve">Cost of revenue </w:t>
            </w:r>
            <w:r>
              <w:rPr>
                <w:rFonts w:ascii="Arial" w:cs="Arial" w:eastAsia="Arial" w:hAnsi="Arial"/>
                <w:sz w:val="16"/>
                <w:szCs w:val="16"/>
                <w:i w:val="1"/>
                <w:iCs w:val="1"/>
                <w:color w:val="auto"/>
                <w:w w:val="93"/>
              </w:rPr>
              <w:t>(exclusive of depreciation</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w w:val="93"/>
              </w:rPr>
              <w:t>and amortization shown separately below)</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10,838</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4,388</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6,450</w:t>
            </w:r>
          </w:p>
        </w:tc>
        <w:tc>
          <w:tcPr>
            <w:tcW w:w="12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147 %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22,577</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12,143</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10,434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Selling and marketing expense</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124,400</w:t>
            </w: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118,538</w:t>
            </w:r>
          </w:p>
        </w:tc>
        <w:tc>
          <w:tcPr>
            <w:tcW w:w="280" w:type="dxa"/>
            <w:vAlign w:val="bottom"/>
          </w:tcPr>
          <w:p>
            <w:pPr>
              <w:spacing w:after="0"/>
              <w:rPr>
                <w:sz w:val="20"/>
                <w:szCs w:val="20"/>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5,862</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5 %</w:t>
            </w:r>
          </w:p>
        </w:tc>
        <w:tc>
          <w:tcPr>
            <w:tcW w:w="760" w:type="dxa"/>
            <w:vAlign w:val="bottom"/>
          </w:tcPr>
          <w:p>
            <w:pPr>
              <w:jc w:val="right"/>
              <w:spacing w:after="0"/>
              <w:rPr>
                <w:sz w:val="20"/>
                <w:szCs w:val="20"/>
                <w:color w:val="auto"/>
              </w:rPr>
            </w:pPr>
            <w:r>
              <w:rPr>
                <w:rFonts w:ascii="Arial" w:cs="Arial" w:eastAsia="Arial" w:hAnsi="Arial"/>
                <w:sz w:val="16"/>
                <w:szCs w:val="16"/>
                <w:color w:val="auto"/>
              </w:rPr>
              <w:t>374,390</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320,930</w:t>
            </w:r>
          </w:p>
        </w:tc>
        <w:tc>
          <w:tcPr>
            <w:tcW w:w="26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53,460</w:t>
            </w:r>
          </w:p>
        </w:tc>
        <w:tc>
          <w:tcPr>
            <w:tcW w:w="90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22,980</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17,920</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5,060</w:t>
            </w:r>
          </w:p>
        </w:tc>
        <w:tc>
          <w:tcPr>
            <w:tcW w:w="12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28 %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70,553</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41,561</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28,992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6,608</w:t>
            </w: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4,805</w:t>
            </w:r>
          </w:p>
        </w:tc>
        <w:tc>
          <w:tcPr>
            <w:tcW w:w="280" w:type="dxa"/>
            <w:vAlign w:val="bottom"/>
          </w:tcPr>
          <w:p>
            <w:pPr>
              <w:spacing w:after="0"/>
              <w:rPr>
                <w:sz w:val="20"/>
                <w:szCs w:val="20"/>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1,803</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38 %</w:t>
            </w:r>
          </w:p>
        </w:tc>
        <w:tc>
          <w:tcPr>
            <w:tcW w:w="760" w:type="dxa"/>
            <w:vAlign w:val="bottom"/>
          </w:tcPr>
          <w:p>
            <w:pPr>
              <w:jc w:val="right"/>
              <w:spacing w:after="0"/>
              <w:rPr>
                <w:sz w:val="20"/>
                <w:szCs w:val="20"/>
                <w:color w:val="auto"/>
              </w:rPr>
            </w:pPr>
            <w:r>
              <w:rPr>
                <w:rFonts w:ascii="Arial" w:cs="Arial" w:eastAsia="Arial" w:hAnsi="Arial"/>
                <w:sz w:val="16"/>
                <w:szCs w:val="16"/>
                <w:color w:val="auto"/>
              </w:rPr>
              <w:t>18,835</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12,492</w:t>
            </w:r>
          </w:p>
        </w:tc>
        <w:tc>
          <w:tcPr>
            <w:tcW w:w="26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6,343</w:t>
            </w:r>
          </w:p>
        </w:tc>
        <w:tc>
          <w:tcPr>
            <w:tcW w:w="90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1,895</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1,798</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97</w:t>
            </w:r>
          </w:p>
        </w:tc>
        <w:tc>
          <w:tcPr>
            <w:tcW w:w="12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5,199</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5,309</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5,701</w:t>
            </w: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3,817</w:t>
            </w:r>
          </w:p>
        </w:tc>
        <w:tc>
          <w:tcPr>
            <w:tcW w:w="280" w:type="dxa"/>
            <w:vAlign w:val="bottom"/>
          </w:tcPr>
          <w:p>
            <w:pPr>
              <w:spacing w:after="0"/>
              <w:rPr>
                <w:sz w:val="20"/>
                <w:szCs w:val="20"/>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1,884</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49 %</w:t>
            </w:r>
          </w:p>
        </w:tc>
        <w:tc>
          <w:tcPr>
            <w:tcW w:w="760" w:type="dxa"/>
            <w:vAlign w:val="bottom"/>
          </w:tcPr>
          <w:p>
            <w:pPr>
              <w:jc w:val="right"/>
              <w:spacing w:after="0"/>
              <w:rPr>
                <w:sz w:val="20"/>
                <w:szCs w:val="20"/>
                <w:color w:val="auto"/>
              </w:rPr>
            </w:pPr>
            <w:r>
              <w:rPr>
                <w:rFonts w:ascii="Arial" w:cs="Arial" w:eastAsia="Arial" w:hAnsi="Arial"/>
                <w:sz w:val="16"/>
                <w:szCs w:val="16"/>
                <w:color w:val="auto"/>
              </w:rPr>
              <w:t>13,628</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9,034</w:t>
            </w:r>
          </w:p>
        </w:tc>
        <w:tc>
          <w:tcPr>
            <w:tcW w:w="26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4,594</w:t>
            </w:r>
          </w:p>
        </w:tc>
        <w:tc>
          <w:tcPr>
            <w:tcW w:w="90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contingent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consideration</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2,105</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2,501</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(396)</w:t>
            </w:r>
          </w:p>
        </w:tc>
        <w:tc>
          <w:tcPr>
            <w:tcW w:w="12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20,640</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(19,443)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Severance</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2,328</w:t>
            </w: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2,328</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100 %</w:t>
            </w:r>
          </w:p>
        </w:tc>
        <w:tc>
          <w:tcPr>
            <w:tcW w:w="760" w:type="dxa"/>
            <w:vAlign w:val="bottom"/>
          </w:tcPr>
          <w:p>
            <w:pPr>
              <w:jc w:val="right"/>
              <w:spacing w:after="0"/>
              <w:rPr>
                <w:sz w:val="20"/>
                <w:szCs w:val="20"/>
                <w:color w:val="auto"/>
              </w:rPr>
            </w:pPr>
            <w:r>
              <w:rPr>
                <w:rFonts w:ascii="Arial" w:cs="Arial" w:eastAsia="Arial" w:hAnsi="Arial"/>
                <w:sz w:val="16"/>
                <w:szCs w:val="16"/>
                <w:color w:val="auto"/>
              </w:rPr>
              <w:t>2,331</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26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1,927</w:t>
            </w:r>
          </w:p>
        </w:tc>
        <w:tc>
          <w:tcPr>
            <w:tcW w:w="900" w:type="dxa"/>
            <w:vAlign w:val="bottom"/>
          </w:tcPr>
          <w:p>
            <w:pPr>
              <w:jc w:val="right"/>
              <w:spacing w:after="0"/>
              <w:rPr>
                <w:sz w:val="20"/>
                <w:szCs w:val="20"/>
                <w:color w:val="auto"/>
              </w:rPr>
            </w:pPr>
            <w:r>
              <w:rPr>
                <w:rFonts w:ascii="Arial" w:cs="Arial" w:eastAsia="Arial" w:hAnsi="Arial"/>
                <w:sz w:val="16"/>
                <w:szCs w:val="16"/>
                <w:color w:val="auto"/>
              </w:rPr>
              <w:t>477 %</w:t>
            </w: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Litigation settlements and contingencies</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(360)</w:t>
            </w:r>
          </w:p>
        </w:tc>
        <w:tc>
          <w:tcPr>
            <w:tcW w:w="12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(132)%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(1,241)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31"/>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176,767</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154,039</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22,728</w:t>
            </w:r>
          </w:p>
        </w:tc>
        <w:tc>
          <w:tcPr>
            <w:tcW w:w="12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15 %</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508,430</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423,474</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84,956</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20 %</w:t>
            </w:r>
          </w:p>
        </w:tc>
      </w:tr>
      <w:tr>
        <w:trPr>
          <w:trHeight w:val="33"/>
        </w:trPr>
        <w:tc>
          <w:tcPr>
            <w:tcW w:w="2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20,290</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17,455</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2,835</w:t>
            </w:r>
          </w:p>
        </w:tc>
        <w:tc>
          <w:tcPr>
            <w:tcW w:w="12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16 %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53,763</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33,308</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20,455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61 %</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Other expense, net: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(411)</w:t>
            </w:r>
          </w:p>
        </w:tc>
        <w:tc>
          <w:tcPr>
            <w:tcW w:w="12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(8,305)</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(4,048)</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4,257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Other expense</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w:t>
            </w:r>
          </w:p>
        </w:tc>
        <w:tc>
          <w:tcPr>
            <w:tcW w:w="280" w:type="dxa"/>
            <w:vAlign w:val="bottom"/>
          </w:tcPr>
          <w:p>
            <w:pPr>
              <w:spacing w:after="0"/>
              <w:rPr>
                <w:sz w:val="20"/>
                <w:szCs w:val="20"/>
                <w:color w:val="auto"/>
              </w:rPr>
            </w:pP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(159)</w:t>
            </w: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(70)%</w:t>
            </w:r>
          </w:p>
        </w:tc>
        <w:tc>
          <w:tcPr>
            <w:tcW w:w="760" w:type="dxa"/>
            <w:vAlign w:val="bottom"/>
          </w:tcPr>
          <w:p>
            <w:pPr>
              <w:jc w:val="right"/>
              <w:spacing w:after="0"/>
              <w:rPr>
                <w:sz w:val="20"/>
                <w:szCs w:val="20"/>
                <w:color w:val="auto"/>
              </w:rPr>
            </w:pPr>
            <w:r>
              <w:rPr>
                <w:rFonts w:ascii="Arial" w:cs="Arial" w:eastAsia="Arial" w:hAnsi="Arial"/>
                <w:sz w:val="16"/>
                <w:szCs w:val="16"/>
                <w:color w:val="auto"/>
              </w:rPr>
              <w:t>(106)</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(215)</w:t>
            </w:r>
          </w:p>
        </w:tc>
        <w:tc>
          <w:tcPr>
            <w:tcW w:w="260" w:type="dxa"/>
            <w:vAlign w:val="bottom"/>
          </w:tcPr>
          <w:p>
            <w:pPr>
              <w:spacing w:after="0"/>
              <w:rPr>
                <w:sz w:val="20"/>
                <w:szCs w:val="20"/>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(109)</w:t>
            </w: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2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17,828</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14,423</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3,405</w:t>
            </w:r>
          </w:p>
        </w:tc>
        <w:tc>
          <w:tcPr>
            <w:tcW w:w="12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24 %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45,352</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29,045</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16,307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56 %</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Income tax benefit (expense)</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10,534</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(4,292)</w:t>
            </w:r>
          </w:p>
        </w:tc>
        <w:tc>
          <w:tcPr>
            <w:tcW w:w="280" w:type="dxa"/>
            <w:vAlign w:val="bottom"/>
          </w:tcPr>
          <w:p>
            <w:pPr>
              <w:spacing w:after="0"/>
              <w:rPr>
                <w:sz w:val="20"/>
                <w:szCs w:val="20"/>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14,826</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345 %</w:t>
            </w:r>
          </w:p>
        </w:tc>
        <w:tc>
          <w:tcPr>
            <w:tcW w:w="760" w:type="dxa"/>
            <w:vAlign w:val="bottom"/>
          </w:tcPr>
          <w:p>
            <w:pPr>
              <w:jc w:val="right"/>
              <w:spacing w:after="0"/>
              <w:rPr>
                <w:sz w:val="20"/>
                <w:szCs w:val="20"/>
                <w:color w:val="auto"/>
              </w:rPr>
            </w:pPr>
            <w:r>
              <w:rPr>
                <w:rFonts w:ascii="Arial" w:cs="Arial" w:eastAsia="Arial" w:hAnsi="Arial"/>
                <w:sz w:val="16"/>
                <w:szCs w:val="16"/>
                <w:color w:val="auto"/>
              </w:rPr>
              <w:t>63,716</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(3,109)</w:t>
            </w:r>
          </w:p>
        </w:tc>
        <w:tc>
          <w:tcPr>
            <w:tcW w:w="26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66,825</w:t>
            </w:r>
          </w:p>
        </w:tc>
        <w:tc>
          <w:tcPr>
            <w:tcW w:w="900" w:type="dxa"/>
            <w:vAlign w:val="bottom"/>
          </w:tcPr>
          <w:p>
            <w:pPr>
              <w:jc w:val="right"/>
              <w:spacing w:after="0"/>
              <w:rPr>
                <w:sz w:val="20"/>
                <w:szCs w:val="20"/>
                <w:color w:val="auto"/>
              </w:rPr>
            </w:pPr>
            <w:r>
              <w:rPr>
                <w:rFonts w:ascii="Arial" w:cs="Arial" w:eastAsia="Arial" w:hAnsi="Arial"/>
                <w:sz w:val="16"/>
                <w:szCs w:val="16"/>
                <w:color w:val="auto"/>
              </w:rPr>
              <w:t>2,149 %</w:t>
            </w:r>
          </w:p>
        </w:tc>
      </w:tr>
      <w:tr>
        <w:trPr>
          <w:trHeight w:val="33"/>
        </w:trPr>
        <w:tc>
          <w:tcPr>
            <w:tcW w:w="2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7"/>
              </w:rPr>
              <w:t>Net 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28,362</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10,131</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18,231</w:t>
            </w:r>
          </w:p>
        </w:tc>
        <w:tc>
          <w:tcPr>
            <w:tcW w:w="12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180 %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109,068</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25,936</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83,132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321 %</w:t>
            </w:r>
          </w:p>
        </w:tc>
      </w:tr>
      <w:tr>
        <w:trPr>
          <w:trHeight w:val="216"/>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w w:val="91"/>
              </w:rPr>
              <w:t>Loss from discontinued operations, net of</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tax</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(2,634)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(1,011)</w:t>
            </w:r>
          </w:p>
        </w:tc>
        <w:tc>
          <w:tcPr>
            <w:tcW w:w="28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1,623</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161 %</w:t>
            </w:r>
          </w:p>
        </w:tc>
        <w:tc>
          <w:tcPr>
            <w:tcW w:w="760" w:type="dxa"/>
            <w:vAlign w:val="bottom"/>
          </w:tcPr>
          <w:p>
            <w:pPr>
              <w:jc w:val="right"/>
              <w:spacing w:after="0"/>
              <w:rPr>
                <w:sz w:val="20"/>
                <w:szCs w:val="20"/>
                <w:color w:val="auto"/>
              </w:rPr>
            </w:pPr>
            <w:r>
              <w:rPr>
                <w:rFonts w:ascii="Arial" w:cs="Arial" w:eastAsia="Arial" w:hAnsi="Arial"/>
                <w:sz w:val="16"/>
                <w:szCs w:val="16"/>
                <w:color w:val="auto"/>
              </w:rPr>
              <w:t>(9,269)</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(2,632)</w:t>
            </w:r>
          </w:p>
        </w:tc>
        <w:tc>
          <w:tcPr>
            <w:tcW w:w="26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6,637</w:t>
            </w:r>
          </w:p>
        </w:tc>
        <w:tc>
          <w:tcPr>
            <w:tcW w:w="900" w:type="dxa"/>
            <w:vAlign w:val="bottom"/>
          </w:tcPr>
          <w:p>
            <w:pPr>
              <w:jc w:val="right"/>
              <w:spacing w:after="0"/>
              <w:rPr>
                <w:sz w:val="20"/>
                <w:szCs w:val="20"/>
                <w:color w:val="auto"/>
              </w:rPr>
            </w:pPr>
            <w:r>
              <w:rPr>
                <w:rFonts w:ascii="Arial" w:cs="Arial" w:eastAsia="Arial" w:hAnsi="Arial"/>
                <w:sz w:val="16"/>
                <w:szCs w:val="16"/>
                <w:color w:val="auto"/>
              </w:rPr>
              <w:t>252 %</w:t>
            </w:r>
          </w:p>
        </w:tc>
      </w:tr>
      <w:tr>
        <w:trPr>
          <w:trHeight w:val="33"/>
        </w:trPr>
        <w:tc>
          <w:tcPr>
            <w:tcW w:w="2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6"/>
              </w:rPr>
              <w:t>Net income and comprehensive income</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25,728</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9,120</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16,608</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182 %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99,799</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23,304</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76,495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328 %</w:t>
            </w:r>
          </w:p>
        </w:tc>
      </w:tr>
      <w:tr>
        <w:trPr>
          <w:trHeight w:val="27"/>
        </w:trPr>
        <w:tc>
          <w:tcPr>
            <w:tcW w:w="29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Revenue increased in the third quarter of 2018 compared to the third quarter of 2017 due to an increase in our non-mortgage products of $44.0 million, partially offset by a decrease in our mortgage products of $18.5 million. Revenue increased in the first nine months of 2018 compared to the first nine months of 2017 due to an increase in our non-mortgage products of $117.9 million, partially offset by a decrease in our mortgage products of $12.5 million.</w:t>
      </w:r>
    </w:p>
    <w:p>
      <w:pPr>
        <w:spacing w:after="0" w:line="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non-mortgage products include the following non-mortgage lending products: personal loans, credit cards, home equity loans and lines of credit, reverse mortgage loans, auto loans, small business loans and student loans. Our non-mortgage products also include deposit accounts, home improvement referrals, other credit products such as credit repair and debt settlement, and resale of online advertising to third parties. Many of our non-mortgage products are not individually significant to revenue. The increase in revenue from our non-mortgage products in the third quarter and first nine months of 2018 from the third quarter and first nine months of 2017 is primarily due to increases in our personal loans, credit cards, small business loans, student loans and home equity products.</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from our personal loans product increased $13.1 million to $38.5 million in the third quarter of 2018 from $25.4 million in the third quarter of 2017, or 52%, and increased $37.7 million to $100.7 million in the first nine months of 2018 from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$63.0 million in the first nine months of 2017, or 60%, due to increased revenue earned per consumer. Additionally, the number of consumers completing request forms increased as a result of increased lender demand and corresponding increases in selling and marketing efforts.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our credit cards product increased $3.3 million to $42.7 million in the third quarter of 2018 from $39.4 million in the third quarter of 2017, or 9%, and increased $17.5 million to $127.6 million in the first nine months of 2018 from $110.1 million in the first nine months of 2017, or 16%, due to increases in click traffic sent to issuers, and increased revenue earned per approval.</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the periods presented, no other non-mortgage product represented more than 10% of revenue, however certain other non-mortgage products experienced notable increases. Revenue from our small business loans product increased by $5.1 million in the third quarter of 2018 compared to the third quarter of 2017, and increased by $11.6 million in the first nine months of 2018 compared to the first nine months of 2017, due to increases in the number of consumers seeking business loans, increases in selling and marketing efforts, and increased revenue earned per consumer, primarily due to the acquisition of SnapCap. Revenue from our student loans product increased by $9.8 million in the third quarter of 2018 compared to the third quarter of 2017, and increased by $11.5 million in the first nine months of 2018 compared to the first nine months of 2017, due to increased consumers and increased revenue earned per consumer, partially due to the acquisition of Student Loan Hero. Revenue from our home equity product increased by $2.5 million in the third quarter of 2018 compared to the third quarter of 2017, and increased by $15.1 million in the first nine months of 2018 compared to the first nine months of 2017, due to increases in the number of consumers completing request forms as a result of increases in lender coverage and lender demand, and corresponding increases in selling and marketing efforts, partially offset by decreased revenue earned per consumer.</w:t>
      </w:r>
    </w:p>
    <w:p>
      <w:pPr>
        <w:spacing w:after="0" w:line="12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believe the market for our non-mortgage products remains under-penetrated and we believe long-term growth prospects are strong for non-mortgage products. We expect increases in revenue for non-mortgage products in future periods due to insurance product revenue from our acquisition of QuoteWizard.</w:t>
      </w:r>
    </w:p>
    <w:p>
      <w:pPr>
        <w:spacing w:after="0" w:line="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Revenue from our mortgage products decreased in the third quarter of 2018 compared to the third quarter of 2017 primarily due to a decrease in revenue from our refinance product of $18.7 million. The decrease in revenue from our refinance product in the third quarter of 2018 compared to the third quarter of 2017 is due to a decrease in the number of consumers completing request forms as a result of fewer consumers seeking refinancing in a period of rising interest rates, as well as a decrease in revenue earned per consumer. Revenue from our mortgage products decreased in the first nine months of 2018 compared to the first nine months of 2017 due to a decrease in revenue from our refinance product of $18.3 million, partially offset by an increase in revenue from our purchase product of $5.8 million. The decrease in revenue from our refinance product in the first nine months of 2018 compared to the first nine months of 2017 is primarily due to a decrease in the number of consumers completing request forms as a result of fewer consumers seeking refinancing in a period of rising interest rates, partially offset by an increase in revenue earned per consumer. Revenue from our purchase product increased in the first nine months of 2018 compared to the first nine months of 2017 primarily due to an increase in revenue earned per consumer.</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increased in the third quarter of 2018 from the third quarter of 2017, primarily due to an increase of $3.6 million for the cost of resold advertising space, an increase of $2.0 million in compensation and benefits as a result of increases in headcount and an increase of $0.6 million in credit scoring fees.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as a percentage of revenue increased to 6% in the third quarter of 2018 compared to 3% in the third quarter of 2017 due to the items above.</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increased in the first nine months of 2018 from the first nine months of 2017, primarily due to an increase of $3.6 million for the cost of resold advertising space, an increase of $3.9 million in compensation and benefits as a result of increases in headcount, an increase of $1.5 million in credit scoring fees and an increase of $1.0 million in website network hosting and server fees.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as a percentage of revenue increased to 4% in the first nine months of 2018 compared to 3% in the first nine months of 2017 due to the items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increases in cost of revenue in future periods due to our acquisition of QuoteWizard.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3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increase in selling and marketing expense in the third quarter and first nine months of 2018 compared to the third quarter and first nine months of 2017 were primarily due to increases in advertising and promotional expense of $4.2 million and $45.2 million, respectively, as discussed below.</w:t>
      </w:r>
    </w:p>
    <w:p>
      <w:pPr>
        <w:spacing w:after="0" w:line="3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Selling and marketing expense also increased in the third quarter and first nine months of 2018 compared to the third quarter and first nine months of 2017 due to increases in compensation and benefits of $1.7 million and $8.3 million, respectively, as a result of increases in headcount.</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w w:val="93"/>
              </w:rPr>
              <w:t>Three Months Ended September 30,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w w:val="93"/>
              </w:rPr>
              <w:t>Nine Months Ended September 30,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0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1160" w:type="dxa"/>
            <w:vAlign w:val="bottom"/>
          </w:tcPr>
          <w:p>
            <w:pPr>
              <w:jc w:val="right"/>
              <w:ind w:right="696"/>
              <w:spacing w:after="0" w:line="153" w:lineRule="exact"/>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45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9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1140" w:type="dxa"/>
            <w:vAlign w:val="bottom"/>
          </w:tcPr>
          <w:p>
            <w:pPr>
              <w:jc w:val="right"/>
              <w:ind w:right="676"/>
              <w:spacing w:after="0" w:line="153" w:lineRule="exact"/>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7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gridSpan w:val="4"/>
          </w:tcPr>
          <w:p>
            <w:pPr>
              <w:jc w:val="right"/>
              <w:ind w:right="434"/>
              <w:spacing w:after="0"/>
              <w:rPr>
                <w:sz w:val="20"/>
                <w:szCs w:val="20"/>
                <w:color w:val="auto"/>
              </w:rPr>
            </w:pPr>
            <w:r>
              <w:rPr>
                <w:rFonts w:ascii="Arial" w:cs="Arial" w:eastAsia="Arial" w:hAnsi="Arial"/>
                <w:sz w:val="14"/>
                <w:szCs w:val="14"/>
                <w:b w:val="1"/>
                <w:bCs w:val="1"/>
                <w:i w:val="1"/>
                <w:iCs w:val="1"/>
                <w:color w:val="auto"/>
              </w:rPr>
              <w:t>(Dollars in thousands)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112,223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98,080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14,143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336,932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271,531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65,401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142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2,472</w:t>
            </w:r>
          </w:p>
        </w:tc>
        <w:tc>
          <w:tcPr>
            <w:tcW w:w="22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12,372</w:t>
            </w:r>
          </w:p>
        </w:tc>
        <w:tc>
          <w:tcPr>
            <w:tcW w:w="320" w:type="dxa"/>
            <w:vAlign w:val="bottom"/>
          </w:tcPr>
          <w:p>
            <w:pPr>
              <w:spacing w:after="0"/>
              <w:rPr>
                <w:sz w:val="21"/>
                <w:szCs w:val="21"/>
                <w:color w:val="auto"/>
              </w:rPr>
            </w:pPr>
          </w:p>
        </w:tc>
        <w:tc>
          <w:tcPr>
            <w:tcW w:w="1160" w:type="dxa"/>
            <w:vAlign w:val="bottom"/>
          </w:tcPr>
          <w:p>
            <w:pPr>
              <w:jc w:val="right"/>
              <w:ind w:right="216"/>
              <w:spacing w:after="0"/>
              <w:rPr>
                <w:sz w:val="20"/>
                <w:szCs w:val="20"/>
                <w:color w:val="auto"/>
              </w:rPr>
            </w:pPr>
            <w:r>
              <w:rPr>
                <w:rFonts w:ascii="Arial" w:cs="Arial" w:eastAsia="Arial" w:hAnsi="Arial"/>
                <w:sz w:val="18"/>
                <w:szCs w:val="18"/>
                <w:color w:val="auto"/>
              </w:rPr>
              <w:t>(9,900)</w:t>
            </w: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5,907</w:t>
            </w:r>
          </w:p>
        </w:tc>
        <w:tc>
          <w:tcPr>
            <w:tcW w:w="24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29,776</w:t>
            </w:r>
          </w:p>
        </w:tc>
        <w:tc>
          <w:tcPr>
            <w:tcW w:w="320" w:type="dxa"/>
            <w:vAlign w:val="bottom"/>
          </w:tcPr>
          <w:p>
            <w:pPr>
              <w:spacing w:after="0"/>
              <w:rPr>
                <w:sz w:val="21"/>
                <w:szCs w:val="21"/>
                <w:color w:val="auto"/>
              </w:rPr>
            </w:pPr>
          </w:p>
        </w:tc>
        <w:tc>
          <w:tcPr>
            <w:tcW w:w="1140" w:type="dxa"/>
            <w:vAlign w:val="bottom"/>
          </w:tcPr>
          <w:p>
            <w:pPr>
              <w:jc w:val="right"/>
              <w:ind w:right="216"/>
              <w:spacing w:after="0"/>
              <w:rPr>
                <w:sz w:val="20"/>
                <w:szCs w:val="20"/>
                <w:color w:val="auto"/>
              </w:rPr>
            </w:pPr>
            <w:r>
              <w:rPr>
                <w:rFonts w:ascii="Arial" w:cs="Arial" w:eastAsia="Arial" w:hAnsi="Arial"/>
                <w:sz w:val="18"/>
                <w:szCs w:val="18"/>
                <w:color w:val="auto"/>
              </w:rPr>
              <w:t>(23,869)</w:t>
            </w: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1,935</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1,968</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(33)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8,194</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4,575</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3,619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18"/>
        </w:trPr>
        <w:tc>
          <w:tcPr>
            <w:tcW w:w="1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4"/>
              </w:rPr>
              <w:t>Total advertising</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40"/>
              <w:spacing w:after="0"/>
              <w:rPr>
                <w:sz w:val="20"/>
                <w:szCs w:val="20"/>
                <w:color w:val="auto"/>
              </w:rPr>
            </w:pPr>
            <w:r>
              <w:rPr>
                <w:rFonts w:ascii="Arial" w:cs="Arial" w:eastAsia="Arial" w:hAnsi="Arial"/>
                <w:sz w:val="18"/>
                <w:szCs w:val="18"/>
                <w:b w:val="1"/>
                <w:bCs w:val="1"/>
                <w:color w:val="auto"/>
              </w:rPr>
              <w:t>expense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116,630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b w:val="1"/>
                <w:bCs w:val="1"/>
                <w:color w:val="auto"/>
              </w:rPr>
              <w:t>112,420</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76"/>
              <w:spacing w:after="0"/>
              <w:rPr>
                <w:sz w:val="20"/>
                <w:szCs w:val="20"/>
                <w:color w:val="auto"/>
              </w:rPr>
            </w:pPr>
            <w:r>
              <w:rPr>
                <w:rFonts w:ascii="Arial" w:cs="Arial" w:eastAsia="Arial" w:hAnsi="Arial"/>
                <w:sz w:val="18"/>
                <w:szCs w:val="18"/>
                <w:b w:val="1"/>
                <w:bCs w:val="1"/>
                <w:color w:val="auto"/>
              </w:rPr>
              <w:t>4,210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b w:val="1"/>
                <w:bCs w:val="1"/>
                <w:color w:val="auto"/>
              </w:rPr>
              <w:t>351,033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305,882</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76"/>
              <w:spacing w:after="0"/>
              <w:rPr>
                <w:sz w:val="20"/>
                <w:szCs w:val="20"/>
                <w:color w:val="auto"/>
              </w:rPr>
            </w:pPr>
            <w:r>
              <w:rPr>
                <w:rFonts w:ascii="Arial" w:cs="Arial" w:eastAsia="Arial" w:hAnsi="Arial"/>
                <w:sz w:val="18"/>
                <w:szCs w:val="18"/>
                <w:b w:val="1"/>
                <w:bCs w:val="1"/>
                <w:color w:val="auto"/>
              </w:rPr>
              <w:t>45,151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0" w:type="dxa"/>
            <w:vAlign w:val="bottom"/>
          </w:tcPr>
          <w:p>
            <w:pPr>
              <w:spacing w:after="0"/>
              <w:rPr>
                <w:sz w:val="1"/>
                <w:szCs w:val="1"/>
                <w:color w:val="auto"/>
              </w:rPr>
            </w:pPr>
          </w:p>
        </w:tc>
      </w:tr>
      <w:tr>
        <w:trPr>
          <w:trHeight w:val="34"/>
        </w:trPr>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Revenue is driven by lender demand for our products, which is matched to corresponding consumer loan requests. We adjust our selling and marketing expenditures dynamically in relation to anticipated revenue opportunities in order to ensure sufficient consumer inquiries to profitably meet lender demand. An increase in a product’s revenue is generally met by a corresponding increase in marketing spend, and conversely a decrease in a product’s revenue is generally met by a corresponding decrease in marketing spend. This relationship exists for both mortgage and non-mortgage products.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increased our advertising expenditures in the third quarter and first nine months of 2018 compared to the third quarter and first nine months of 2017 in order to generate additional consumer inquiries to meet the increased demand of lenders on our marketplace. We will continue to adjust selling and marketing expenditures dynamically in relation to anticipated revenue opportunities.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increases in selling and marketing expense in future periods due to our acquisition of QuoteWizard.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General and administrative expense increased in the third quarter of 2018 from the third quarter of 2017, and in the first nine months of 2018 from the first nine months of 2017, primarily due to increases in compensation and benefits of $4.1 million and $22.9 million, respectively, as a result of increases in headcount and long-term equity awards granted to our Chairman and Chief Executive Officer in the third quarter of 2017 and in the first quarter of 2018, which awards have both time and significant performance-based vesting conditions. We also granted long-term equity awards to certain members of our leadership team in the fourth quarter of 2017 and in the first quarter of 2018. For additional information regarding the awards granted to our Chairman and Chief Executive Officer,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9—Stock-Based Compensation in the notes to the consolidated financial statements included elsewhere in this report. Non-cash compensation expense is excluded from Adjusted Earnings Before Interest, Taxes, Depreciation and Amortization ("Adjusted EBITDA"), as discussed below. In addition, the results of operations for the first nine months of 2018 includes a charge of $1.6 million incurred during the second quarter of 2018 due to the write-off of certain fixed assets.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 as a percentage of revenue increased to 12% in the third quarter of 2018 compared to 10% in the third quarter of 2017, and increased to 13% in the first nine months of 2018 compared to 9% in the first nine months of 2017, due to the items above.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increases in general and administrative expense in future periods due to our acquisition of QuoteWizard.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Product development expense increased in the third quarter and first nine months of 2018 compared to the third quarter and first nine months of 2017, as we continued to invest in internal development of new and enhanced features, functionality and business opportunities that we believe will enable us to better and more fully serve consumers and lenders.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increases in product development expense in future periods due to our acquisition of QuoteWizard.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intangibles increased in the third quarter and first nine months of 2018 compared to the third quarter and first nine months of 2017 primarily due to intangible assets associated with our business acquisitions in 2017 and 2018.</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increases in amortization of intangibles in future periods due to our acquisition of QuoteWizard.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third quarter of 2018, we recorded $2.1 million of contingent consideration expense due to adjustments in the estimated fair value of the earnout payments related to the DepositAccounts, SnapCap and Ovation acquisitions. During the first nine months of 2018, we recorded $1.2 million of contingent consideration expense due to adjustments in the estimated fair value of the earnout payments related to the CompareCards, DepositAccounts, SnapCap and Ovation acquisitions.</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third quarter and first nine months of 2017, we recorded $2.5 million and $20.6 million, respectively, of contingent consideration expense due to an adjustment in the estimated fair value of the earnout payments related to the CompareCards and DepositAccounts acquisitions. The contingent consideration expense for the CompareCards acquisition was $1.9 million and $20.0 million, respectively, in the third quarter and first nine months of 2017, due to an increased probability of achievement of certain defined earning targets for CompareCards.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third quarter and first nine months of 2018, the effective tax rate varied from the federal statutory rate of 21% primarily due to a tax benefit of $14.3 million and $75.2 million, respectively, recognized for excess tax benefits due to employee exercises of stock options and vesting of restricted stock in accordance with ASU 2016-09 and the effect of state taxes.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third quarter and first nine months of 2017, the effective tax rate varied from the federal statutory rate of 35% primarily due to a tax benefit of $0.8 million and $8.4 million, respectively, recognized for excess tax benefits due to employee exercises of stock options and vesting of restricted stock in accordance with ASU 2016-09.</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third quarter of 2018.</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Losses from discontinued operations are attributable to losses associated with the LendingTree Loans business, the sale of which was completed on June 6, 2012. Losses from discontinued operations were primarily due to litigation settlements and contingencies and legal fees associated with ongoing legal proceedings.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 Adjusted EBITDA as a supplemental measure to GAAP. This measure is the primary metric by which we evaluate the performance of our businesses, on which our marketing expenditures and internal budgets are based and by which management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70" w:lineRule="auto"/>
        <w:tabs>
          <w:tab w:leader="none" w:pos="2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restructuring and severance expenses, (5) litigation settlements and contingencies and legal fees for certain patent litigation,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is a reconciliation of net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4"/>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320" w:type="dxa"/>
            <w:vAlign w:val="bottom"/>
            <w:gridSpan w:val="3"/>
          </w:tcPr>
          <w:p>
            <w:pPr>
              <w:jc w:val="right"/>
              <w:ind w:right="53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ind w:left="5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2320" w:type="dxa"/>
            <w:vAlign w:val="bottom"/>
            <w:gridSpan w:val="3"/>
          </w:tcPr>
          <w:p>
            <w:pPr>
              <w:jc w:val="right"/>
              <w:ind w:right="69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28,362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109,068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25,936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5,701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13,628</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1,895</w:t>
            </w:r>
          </w:p>
        </w:tc>
        <w:tc>
          <w:tcPr>
            <w:tcW w:w="3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5,199</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5,309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2,328</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2,331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Loss on impairments and disposal of assets</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1,986</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673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12,097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34,384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2,105</w:t>
            </w:r>
          </w:p>
        </w:tc>
        <w:tc>
          <w:tcPr>
            <w:tcW w:w="3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1,197</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20,640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2,393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8,305</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Rental depreciation and amortization of intangibles</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554</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1,011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(10,534)</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(63,716)</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3,109</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45,279</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34,723</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114,108</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85,550</w:t>
            </w:r>
          </w:p>
        </w:tc>
      </w:tr>
      <w:tr>
        <w:trPr>
          <w:trHeight w:val="34"/>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September 30, 2018, we had $265.2 million of cash and cash equivalents and an immaterial amount of restricted cash and cash equivalents, compared to $368.6 million of cash and cash equivalents and $4.1 million of restricted cash and cash equivalents as of December 31, 2017.</w:t>
      </w:r>
    </w:p>
    <w:p>
      <w:pPr>
        <w:spacing w:after="0" w:line="3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July 2018, we acquired Student Loan Hero for $60.7 million in cash at the closing of the transaction, subject to post-closing adjustments to working capital, of which $2.3 million was recognized as severance expense in our consolidated statements of operations and comprehensive income.</w:t>
      </w:r>
    </w:p>
    <w:p>
      <w:pPr>
        <w:spacing w:after="0" w:line="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June 2018, we acquired Ovation for $12.2 million in cash at closing, subject to post-closing adjustments to working capital, and potential future contingent consideration payments of up to $8.75 million through June 30, 2020, subject to achieving specified targets.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nine months of 2018, we purchased an aggregate of 205,310 shares of our common stock pursuant to a stock repurchase program for $57.2 million, of which we paid $55.9 million during the period. Additionally, we paid $1.1 million in the first quarter of 2018 related to common stock repurchased in the fourth quarter of 2017.</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May 2017, we issued $300.0 million of our 0.625% Convertible Senior Notes for net proceeds of $290.7 million. We used approximately $18.1 million of the net proceeds to enter into Convertible Note Hedge and Warrant transactions.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September 2017, we acquired certain assets of SnapCap for $11.9 million in cash at closing and potential future contingent consideration payments of up to $9.0 million through March 31, 2020, subject to achieving specified targets.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June 2017, we acquired MagnifyMoney for $29.6 million cash consideration at the closing of the transaction.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2017, we acquired substantially all of the assets of DepositAccounts for $24.0 million in cash at closing and potential future contingent consideration payments of up to $9.0 million through June 30, 2020, subject to achieving specified targets. We made a contingent consideration payment of $1.0 million in the third quarter of 2017. In 2018, we made contingent consideration payments of $1.0 million in each of the first, second and third quarters of 2018, as well as a $1.0 million payment in October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2016, we acquired CompareCards for $80.7 million in cash at closing and potential future contingent consideration payments of up to $22.5 million for each of 2017 and 2018, subject to achieving specified targets. We made the initial $22.5 million earnout payment in the first quarter of 2018 and paid the remaining $22.5 million earnout in the second quarter of 2018, of which $21.9 million is included within cash flows from operating activities on the consolidated statement of cash flows for the first nine months of 2018.</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October 2018, we acquired QuoteWizard for $300.0 million in cash at closing of the transaction. The acquisition was funded through $175.0 million of cash on hand and by $125.0 million drawn on our amended and restated revolving credit facility.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amended and restated revolving credit facility described below is an additional potential source of liquidity.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26, 2018, we amended our five-year senior secured revolving credit facility which matures on November 21, 2022 (the “Revolving Credit Facility”) to increase its borrowing capacity by $100.0 million to $350.0 million. Borrowings under the Revolving Credit Facility can be used to finance working capital needs, capital expenditures and general corporate purposes, including to finance permitted acquisitions. As of November 2, 2018, we have $125.0 million of borrowings under the Revolving Credit Facility.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center"/>
              <w:ind w:right="19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8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8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center"/>
              <w:ind w:left="639"/>
              <w:spacing w:after="0"/>
              <w:rPr>
                <w:sz w:val="20"/>
                <w:szCs w:val="20"/>
                <w:color w:val="auto"/>
              </w:rPr>
            </w:pPr>
            <w:r>
              <w:rPr>
                <w:rFonts w:ascii="Arial" w:cs="Arial" w:eastAsia="Arial" w:hAnsi="Arial"/>
                <w:sz w:val="14"/>
                <w:szCs w:val="14"/>
                <w:b w:val="1"/>
                <w:bCs w:val="1"/>
                <w:i w:val="1"/>
                <w:iCs w:val="1"/>
                <w:color w:val="auto"/>
                <w:w w:val="89"/>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60,227</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65,083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(79,793)</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(72,322)</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(80,482)</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263,710</w:t>
            </w:r>
          </w:p>
        </w:tc>
      </w:tr>
      <w:tr>
        <w:trPr>
          <w:trHeight w:val="20"/>
        </w:trPr>
        <w:tc>
          <w:tcPr>
            <w:tcW w:w="8320" w:type="dxa"/>
            <w:vAlign w:val="bottom"/>
            <w:shd w:val="clear" w:color="auto" w:fill="999999"/>
          </w:tcPr>
          <w:p>
            <w:pPr>
              <w:spacing w:after="0" w:line="20" w:lineRule="exact"/>
              <w:rPr>
                <w:sz w:val="1"/>
                <w:szCs w:val="1"/>
                <w:color w:val="auto"/>
              </w:rPr>
            </w:pPr>
          </w:p>
        </w:tc>
        <w:tc>
          <w:tcPr>
            <w:tcW w:w="300" w:type="dxa"/>
            <w:vAlign w:val="bottom"/>
            <w:shd w:val="clear" w:color="auto" w:fill="999999"/>
          </w:tcPr>
          <w:p>
            <w:pPr>
              <w:spacing w:after="0" w:line="20" w:lineRule="exact"/>
              <w:rPr>
                <w:sz w:val="1"/>
                <w:szCs w:val="1"/>
                <w:color w:val="auto"/>
              </w:rPr>
            </w:pPr>
          </w:p>
        </w:tc>
        <w:tc>
          <w:tcPr>
            <w:tcW w:w="124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largest source of cash provided by our operating activities is revenues generated by our mortgage and non-mortgage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Net cash provided by operating activities attributable to continuing operations decreased in the first nine months of 2018 from the first nine months of 2017 due to the $21.9 million portion of the CompareCards earnout payment made in the second quarter of 2018 in excess of the contingent consideration liability recognized at the acquisition date, the $2.3 million of severance expense recognized upon closing of the Student Loan Hero acquisition, an increase in selling and marketing expense, and a net decrease in cash from changes in working capital primarily driven by changes in accounts payable, accrued expenses and other current liabilities. This was partially offset by the increase in revenue in the first nine months of 2018 from the first nine months of 2017.</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attributable to continuing operations in the first nine months of 2018 of $79.8 million consisted primarily of the acquisition of Student Loan Hero and Ovation for $57.4 million and $11.7 million, respectively, net of cash acquired, and capital expenditures of $10.6 million primarily related to internally developed software.</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attributable to continuing operations in the first nine months of 2017 of $72.3 million consisted primarily of the acquisition of MagnifyMoney for $29.5 million, net of cash acquired, the acquisition of DepositAccounts for $25.0 million, the acquisition of SnapCap for $11.9 million and capital expenditures of $5.9 million related to internally developed software.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cash used in financing activities attributable to continuing operations in the first nine months of 2018 of $80.5 million consisted primarily of $26.6 million of contingent consideration payments for CompareCards, DepositAccounts and SimpleTuition and $57.0 million for the repurchase of our stock.</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attributable to continuing operations in the first nine months of 2017 of $263.7 million consisted primarily of $300.0 million of gross proceeds from the issuance of convertible senior notes and $43.4 million of proceeds from the sale of warrants in connection with the convertible senior notes, partially offset by $61.5 million for the payment of convertible note hedge transactions, $9.3 million for the payment of convertible senior note issuance costs and $10.0 million for the repurchase of our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 off-balance sheet arrangements other than our operating lease obligations and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Other than our Revolving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Revolving Credit Facility, if any. As of November 2, 2018, there was $125.0 million borrowed under the Revolving Credit Facility. Increases in the Federal Funds interest rates may also affect contingent consideration payable to DepositAccounts.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6 —Business Acquisition—Changes in Contingent Consideration—DepositAccounts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1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 See also the risk factor "Adverse conditions in the primary and secondary mortgage markets, as well as the general economy, could materially and adversely affect our business, financial condition and results of operations," in Part I, Item 1A (Risk Factors) in our 2017 Annual Report.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September 30, 2018,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September 30, 2018 that has materially affected, or is reasonably likely to materially affect, our internal controls over financial reporting.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2017 Annual Report and updated that information in Note 12—Contingencies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2017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each of January 2010, May 2014, January 2016, February 2016 and February 2018, the board of directors authorized and we announced a stock repurchase program which allowed for the repurchase of up to $10.0 million, $10.0 million, $50.0 million, $40.0 million and $100.0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September 30, 2018, 48,579 shares of common stock were repurchased under the stock repurchase program. As of </w:t>
      </w:r>
      <w:r>
        <w:rPr>
          <w:rFonts w:ascii="Arial" w:cs="Arial" w:eastAsia="Arial" w:hAnsi="Arial"/>
          <w:sz w:val="16"/>
          <w:szCs w:val="16"/>
          <w:color w:val="auto"/>
        </w:rPr>
        <w:t>October 26, 2018</w:t>
      </w:r>
      <w:r>
        <w:rPr>
          <w:rFonts w:ascii="Arial" w:cs="Arial" w:eastAsia="Arial" w:hAnsi="Arial"/>
          <w:sz w:val="17"/>
          <w:szCs w:val="17"/>
          <w:color w:val="auto"/>
        </w:rPr>
        <w:t>, approximately $45.2 million remains authorized for share repurchase.</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LendingTree Fifth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September 30, 2018, 2,156 shares were purchased related to these obligations under the LendingTree Fifth Amended and Restated 2008 Stock and Award Incentive Plan and no shares have yet been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September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7/1/18 - 7/31/18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238.82</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81,745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8/1/18 - 8/31/18</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14,968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232.87</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13,600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78,592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9/1/18 - 9/30/18</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35,132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229.51</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34,979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70,565</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50,735</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230.62</w:t>
            </w: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48,579</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70,565</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During July 2018, August 2018 and September 2018, 635 shares, 1,368 shares and 153 shares, respectively (totaling 2,156 shares), were purchased to satisfy federal and state withholding obligations of our employees upon the settlement of restricted stock units and restricted stock awards, all in accordance with our Fifth Amended and Restated 2008 Stock and Award Incentive Plan, as described above.</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125" w:right="1440"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Exhibit</w:t>
            </w:r>
          </w:p>
        </w:tc>
        <w:tc>
          <w:tcPr>
            <w:tcW w:w="210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7"/>
          </w:tcPr>
          <w:p>
            <w:pPr>
              <w:ind w:left="70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2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03"/>
        </w:trPr>
        <w:tc>
          <w:tcPr>
            <w:tcW w:w="12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3.1</w:t>
            </w:r>
          </w:p>
        </w:tc>
        <w:tc>
          <w:tcPr>
            <w:tcW w:w="6420" w:type="dxa"/>
            <w:vAlign w:val="bottom"/>
            <w:gridSpan w:val="8"/>
            <w:shd w:val="clear" w:color="auto" w:fill="CCEEFF"/>
          </w:tcPr>
          <w:p>
            <w:pPr>
              <w:spacing w:after="0" w:line="202" w:lineRule="exact"/>
              <w:rPr>
                <w:rFonts w:ascii="Arial" w:cs="Arial" w:eastAsia="Arial" w:hAnsi="Arial"/>
                <w:sz w:val="18"/>
                <w:szCs w:val="18"/>
                <w:color w:val="0000FF"/>
              </w:rPr>
            </w:pPr>
            <w:hyperlink r:id="rId18">
              <w:r>
                <w:rPr>
                  <w:rFonts w:ascii="Arial" w:cs="Arial" w:eastAsia="Arial" w:hAnsi="Arial"/>
                  <w:sz w:val="18"/>
                  <w:szCs w:val="18"/>
                  <w:color w:val="0000FF"/>
                </w:rPr>
                <w:t>Amended and Restated Certificate of Incorporation of LendingTree, Inc.</w:t>
              </w:r>
            </w:hyperlink>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6"/>
              </w:rPr>
              <w:t>Exhibit 3.1 to the Registrant's Current Report on</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0000FF"/>
              <w:bottom w:val="single" w:sz="8" w:color="CCEEFF"/>
            </w:tcBorders>
            <w:shd w:val="clear" w:color="auto" w:fill="CCEEFF"/>
          </w:tcPr>
          <w:p>
            <w:pPr>
              <w:spacing w:after="0"/>
              <w:rPr>
                <w:sz w:val="21"/>
                <w:szCs w:val="21"/>
                <w:color w:val="auto"/>
              </w:rPr>
            </w:pPr>
          </w:p>
        </w:tc>
        <w:tc>
          <w:tcPr>
            <w:tcW w:w="2260" w:type="dxa"/>
            <w:vAlign w:val="bottom"/>
            <w:tcBorders>
              <w:top w:val="single" w:sz="8" w:color="0000FF"/>
              <w:bottom w:val="single" w:sz="8" w:color="CCEEFF"/>
            </w:tcBorders>
            <w:shd w:val="clear" w:color="auto" w:fill="CCEEFF"/>
          </w:tcPr>
          <w:p>
            <w:pPr>
              <w:spacing w:after="0"/>
              <w:rPr>
                <w:sz w:val="21"/>
                <w:szCs w:val="21"/>
                <w:color w:val="auto"/>
              </w:rPr>
            </w:pPr>
          </w:p>
        </w:tc>
        <w:tc>
          <w:tcPr>
            <w:tcW w:w="56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8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8-K filed August 25, 2008</w:t>
            </w: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3.2</w:t>
            </w:r>
          </w:p>
        </w:tc>
        <w:tc>
          <w:tcPr>
            <w:tcW w:w="6420" w:type="dxa"/>
            <w:vAlign w:val="bottom"/>
            <w:gridSpan w:val="8"/>
          </w:tcPr>
          <w:p>
            <w:pPr>
              <w:spacing w:after="0" w:line="202" w:lineRule="exact"/>
              <w:rPr>
                <w:rFonts w:ascii="Arial" w:cs="Arial" w:eastAsia="Arial" w:hAnsi="Arial"/>
                <w:sz w:val="18"/>
                <w:szCs w:val="18"/>
                <w:color w:val="0000FF"/>
              </w:rPr>
            </w:pPr>
            <w:hyperlink r:id="rId19">
              <w:r>
                <w:rPr>
                  <w:rFonts w:ascii="Arial" w:cs="Arial" w:eastAsia="Arial" w:hAnsi="Arial"/>
                  <w:sz w:val="18"/>
                  <w:szCs w:val="18"/>
                  <w:color w:val="0000FF"/>
                </w:rPr>
                <w:t>Fourth Amended and Restated By-laws of LendingTree, Inc.</w:t>
              </w:r>
            </w:hyperlink>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w w:val="96"/>
              </w:rPr>
              <w:t>Exhibit 3.1 to the Registrant's Current Report on</w:t>
            </w:r>
          </w:p>
        </w:tc>
      </w:tr>
      <w:tr>
        <w:trPr>
          <w:trHeight w:val="237"/>
        </w:trPr>
        <w:tc>
          <w:tcPr>
            <w:tcW w:w="1200" w:type="dxa"/>
            <w:vAlign w:val="bottom"/>
          </w:tcPr>
          <w:p>
            <w:pPr>
              <w:spacing w:after="0"/>
              <w:rPr>
                <w:sz w:val="20"/>
                <w:szCs w:val="20"/>
                <w:color w:val="auto"/>
              </w:rPr>
            </w:pPr>
          </w:p>
        </w:tc>
        <w:tc>
          <w:tcPr>
            <w:tcW w:w="2100" w:type="dxa"/>
            <w:vAlign w:val="bottom"/>
            <w:tcBorders>
              <w:top w:val="single" w:sz="8" w:color="0000FF"/>
            </w:tcBorders>
          </w:tcPr>
          <w:p>
            <w:pPr>
              <w:spacing w:after="0"/>
              <w:rPr>
                <w:sz w:val="20"/>
                <w:szCs w:val="20"/>
                <w:color w:val="auto"/>
              </w:rPr>
            </w:pPr>
          </w:p>
        </w:tc>
        <w:tc>
          <w:tcPr>
            <w:tcW w:w="226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Form 8-K filed November 15, 2017</w:t>
            </w: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03"/>
        </w:trPr>
        <w:tc>
          <w:tcPr>
            <w:tcW w:w="1200" w:type="dxa"/>
            <w:vAlign w:val="bottom"/>
            <w:tcBorders>
              <w:bottom w:val="single" w:sz="8" w:color="CCEEFF"/>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31.1</w:t>
            </w:r>
          </w:p>
        </w:tc>
        <w:tc>
          <w:tcPr>
            <w:tcW w:w="636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6"/>
              </w:rPr>
            </w:pPr>
            <w:hyperlink w:anchor="page51">
              <w:r>
                <w:rPr>
                  <w:rFonts w:ascii="Arial" w:cs="Arial" w:eastAsia="Arial" w:hAnsi="Arial"/>
                  <w:sz w:val="18"/>
                  <w:szCs w:val="18"/>
                  <w:color w:val="0000FF"/>
                  <w:w w:val="96"/>
                </w:rPr>
                <w:t>Certification of the Chief Executive Officer pursuant to Rule 13a-14(a) or Rule 15d-</w:t>
              </w:r>
            </w:hyperlink>
          </w:p>
        </w:tc>
        <w:tc>
          <w:tcPr>
            <w:tcW w:w="6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634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14(a) of the Securities Exchange Act of 1934 as adopted pursuant to Section 302 of the</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spacing w:after="0"/>
              <w:rPr>
                <w:sz w:val="17"/>
                <w:szCs w:val="17"/>
                <w:color w:val="auto"/>
              </w:rPr>
            </w:pP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Sarbanes-Oxley Act of 2002.</w:t>
              </w:r>
            </w:hyperlink>
          </w:p>
        </w:tc>
        <w:tc>
          <w:tcPr>
            <w:tcW w:w="4320" w:type="dxa"/>
            <w:vAlign w:val="bottom"/>
            <w:tcBorders>
              <w:bottom w:val="single" w:sz="8" w:color="CCEEFF"/>
            </w:tcBorders>
            <w:gridSpan w:val="7"/>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31.2</w:t>
            </w:r>
          </w:p>
        </w:tc>
        <w:tc>
          <w:tcPr>
            <w:tcW w:w="6320" w:type="dxa"/>
            <w:vAlign w:val="bottom"/>
            <w:tcBorders>
              <w:bottom w:val="single" w:sz="8" w:color="0000FF"/>
            </w:tcBorders>
            <w:gridSpan w:val="5"/>
          </w:tcPr>
          <w:p>
            <w:pPr>
              <w:spacing w:after="0" w:line="202" w:lineRule="exact"/>
              <w:rPr>
                <w:rFonts w:ascii="Arial" w:cs="Arial" w:eastAsia="Arial" w:hAnsi="Arial"/>
                <w:sz w:val="18"/>
                <w:szCs w:val="18"/>
                <w:color w:val="0000FF"/>
                <w:w w:val="96"/>
              </w:rPr>
            </w:pPr>
            <w:hyperlink w:anchor="page52">
              <w:r>
                <w:rPr>
                  <w:rFonts w:ascii="Arial" w:cs="Arial" w:eastAsia="Arial" w:hAnsi="Arial"/>
                  <w:sz w:val="18"/>
                  <w:szCs w:val="18"/>
                  <w:color w:val="0000FF"/>
                  <w:w w:val="96"/>
                </w:rPr>
                <w:t>Certification of the Chief Financial Officer pursuant to Rule 13a-14(a) or Rule 15d-</w:t>
              </w:r>
            </w:hyperlink>
          </w:p>
        </w:tc>
        <w:tc>
          <w:tcPr>
            <w:tcW w:w="100" w:type="dxa"/>
            <w:vAlign w:val="bottom"/>
            <w:gridSpan w:val="3"/>
          </w:tcPr>
          <w:p>
            <w:pPr>
              <w:spacing w:after="0"/>
              <w:rPr>
                <w:sz w:val="17"/>
                <w:szCs w:val="17"/>
                <w:color w:val="auto"/>
              </w:rPr>
            </w:pPr>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63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14(a) of the Securities Exchange Act of 1934 as adopted pursuant to Section 302 of the</w:t>
              </w:r>
            </w:hyperlink>
          </w:p>
        </w:tc>
        <w:tc>
          <w:tcPr>
            <w:tcW w:w="80" w:type="dxa"/>
            <w:vAlign w:val="bottom"/>
            <w:gridSpan w:val="2"/>
          </w:tcPr>
          <w:p>
            <w:pPr>
              <w:spacing w:after="0"/>
              <w:rPr>
                <w:sz w:val="17"/>
                <w:szCs w:val="17"/>
                <w:color w:val="auto"/>
              </w:rPr>
            </w:pPr>
          </w:p>
        </w:tc>
        <w:tc>
          <w:tcPr>
            <w:tcW w:w="38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6420" w:type="dxa"/>
            <w:vAlign w:val="bottom"/>
            <w:gridSpan w:val="8"/>
          </w:tcPr>
          <w:p>
            <w:pPr>
              <w:spacing w:after="0" w:line="196" w:lineRule="exact"/>
              <w:rPr>
                <w:rFonts w:ascii="Arial" w:cs="Arial" w:eastAsia="Arial" w:hAnsi="Arial"/>
                <w:sz w:val="18"/>
                <w:szCs w:val="18"/>
                <w:color w:val="0000FF"/>
              </w:rPr>
            </w:pPr>
            <w:hyperlink w:anchor="page52">
              <w:r>
                <w:rPr>
                  <w:rFonts w:ascii="Arial" w:cs="Arial" w:eastAsia="Arial" w:hAnsi="Arial"/>
                  <w:sz w:val="18"/>
                  <w:szCs w:val="18"/>
                  <w:color w:val="0000FF"/>
                </w:rPr>
                <w:t>Sarbanes-Oxley Act of 2002.</w:t>
              </w:r>
            </w:hyperlink>
          </w:p>
        </w:tc>
        <w:tc>
          <w:tcPr>
            <w:tcW w:w="38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32.1</w:t>
            </w:r>
          </w:p>
        </w:tc>
        <w:tc>
          <w:tcPr>
            <w:tcW w:w="632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7"/>
              </w:rPr>
            </w:pPr>
            <w:hyperlink w:anchor="page53">
              <w:r>
                <w:rPr>
                  <w:rFonts w:ascii="Arial" w:cs="Arial" w:eastAsia="Arial" w:hAnsi="Arial"/>
                  <w:sz w:val="18"/>
                  <w:szCs w:val="18"/>
                  <w:color w:val="0000FF"/>
                  <w:w w:val="97"/>
                </w:rPr>
                <w:t>Certification of the Chief Executive Officer pursuant to 18 U.S.C. Section 1350 as</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shd w:val="clear" w:color="auto" w:fill="CCEEFF"/>
          </w:tcPr>
          <w:p>
            <w:pPr>
              <w:spacing w:after="0"/>
              <w:rPr>
                <w:sz w:val="17"/>
                <w:szCs w:val="17"/>
                <w:color w:val="auto"/>
              </w:rPr>
            </w:pPr>
          </w:p>
        </w:tc>
        <w:tc>
          <w:tcPr>
            <w:tcW w:w="6420" w:type="dxa"/>
            <w:vAlign w:val="bottom"/>
            <w:gridSpan w:val="8"/>
            <w:shd w:val="clear" w:color="auto" w:fill="CCEEFF"/>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adopted pursuant to Section 906 of the Sarbanes-Oxley Act of 2002.</w:t>
              </w:r>
            </w:hyperlink>
          </w:p>
        </w:tc>
        <w:tc>
          <w:tcPr>
            <w:tcW w:w="3800" w:type="dxa"/>
            <w:vAlign w:val="bottom"/>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22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32.2</w:t>
            </w:r>
          </w:p>
        </w:tc>
        <w:tc>
          <w:tcPr>
            <w:tcW w:w="6420" w:type="dxa"/>
            <w:vAlign w:val="bottom"/>
            <w:gridSpan w:val="8"/>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Certification of the Chief Financial Officer pursuant to 18 U.S.C. Section 1350 as</w:t>
              </w:r>
            </w:hyperlink>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63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54">
              <w:r>
                <w:rPr>
                  <w:rFonts w:ascii="Arial" w:cs="Arial" w:eastAsia="Arial" w:hAnsi="Arial"/>
                  <w:sz w:val="18"/>
                  <w:szCs w:val="18"/>
                  <w:color w:val="0000FF"/>
                </w:rPr>
                <w:t>adopted pursuant to Section 906 of the Sarbanes-Oxley Act of 2002.</w:t>
              </w:r>
            </w:hyperlink>
          </w:p>
        </w:tc>
        <w:tc>
          <w:tcPr>
            <w:tcW w:w="100" w:type="dxa"/>
            <w:vAlign w:val="bottom"/>
            <w:gridSpan w:val="3"/>
          </w:tcPr>
          <w:p>
            <w:pPr>
              <w:spacing w:after="0"/>
              <w:rPr>
                <w:sz w:val="17"/>
                <w:szCs w:val="17"/>
                <w:color w:val="auto"/>
              </w:rPr>
            </w:pPr>
          </w:p>
        </w:tc>
        <w:tc>
          <w:tcPr>
            <w:tcW w:w="38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2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0" w:type="dxa"/>
            <w:vAlign w:val="bottom"/>
          </w:tcPr>
          <w:p>
            <w:pPr>
              <w:spacing w:after="0"/>
              <w:rPr>
                <w:sz w:val="4"/>
                <w:szCs w:val="4"/>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101.INS</w:t>
            </w:r>
          </w:p>
        </w:tc>
        <w:tc>
          <w:tcPr>
            <w:tcW w:w="64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101.SCH</w:t>
            </w:r>
          </w:p>
        </w:tc>
        <w:tc>
          <w:tcPr>
            <w:tcW w:w="64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101.CAL</w:t>
            </w:r>
          </w:p>
        </w:tc>
        <w:tc>
          <w:tcPr>
            <w:tcW w:w="64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101.DEF</w:t>
            </w:r>
          </w:p>
        </w:tc>
        <w:tc>
          <w:tcPr>
            <w:tcW w:w="64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101.LAB</w:t>
            </w:r>
          </w:p>
        </w:tc>
        <w:tc>
          <w:tcPr>
            <w:tcW w:w="64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101.PRE</w:t>
            </w:r>
          </w:p>
        </w:tc>
        <w:tc>
          <w:tcPr>
            <w:tcW w:w="64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2018</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2018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2018</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J.D. Moriarty,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2018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2018</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44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2018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November 2, 2018</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J.D. Moriarty, certify, pursuant to 18 U.S.C. Section 1350, as adopted pursuant to Section 906 of the Sarbanes-Oxley Act of 2002, that to my knowledge:</w:t>
      </w:r>
    </w:p>
    <w:p>
      <w:pPr>
        <w:spacing w:after="0" w:line="194" w:lineRule="exact"/>
        <w:rPr>
          <w:sz w:val="20"/>
          <w:szCs w:val="20"/>
          <w:color w:val="auto"/>
        </w:rPr>
      </w:pPr>
    </w:p>
    <w:p>
      <w:pPr>
        <w:ind w:left="340" w:right="44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2018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November 2, 2018</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2"/>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2"/>
    </w:lvl>
  </w:abstractNum>
  <w:abstractNum w:abstractNumId="12">
    <w:nsid w:val="4E6AFB66"/>
    <w:multiLevelType w:val="hybridMultilevel"/>
    <w:lvl w:ilvl="0">
      <w:lvlJc w:val="left"/>
      <w:lvlText w:val="(%1)"/>
      <w:numFmt w:val="decimal"/>
      <w:start w:val="4"/>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8" Type="http://schemas.openxmlformats.org/officeDocument/2006/relationships/hyperlink" Target="http://www.sec.gov/Archives/edgar/data/1434621/000110465908054882/a08-22125_1ex3d1.htm" TargetMode="External"/><Relationship Id="rId19"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2019-12-28T18:24:06Z</dcterms:created>
  <dcterms:modified xsi:type="dcterms:W3CDTF">2019-12-28T18:24:06Z</dcterms:modified>
</cp:coreProperties>
</file>