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006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006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-207645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186055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20" w:hanging="554"/>
        <w:spacing w:after="0"/>
        <w:tabs>
          <w:tab w:leader="none" w:pos="9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73" w:lineRule="exact"/>
        <w:rPr>
          <w:rFonts w:ascii="MS PGothic" w:cs="MS PGothic" w:eastAsia="MS PGothic" w:hAnsi="MS PGothic"/>
          <w:sz w:val="19"/>
          <w:szCs w:val="19"/>
          <w:color w:val="auto"/>
        </w:rPr>
      </w:pPr>
    </w:p>
    <w:p>
      <w:pPr>
        <w:ind w:left="392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Quarterly Period Ended June 30, 2016</w:t>
      </w:r>
    </w:p>
    <w:p>
      <w:pPr>
        <w:spacing w:after="0" w:line="15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920" w:right="1180" w:hanging="520"/>
        <w:spacing w:after="0" w:line="243" w:lineRule="auto"/>
        <w:tabs>
          <w:tab w:leader="none" w:pos="92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 w:lineRule="exact"/>
        <w:rPr>
          <w:sz w:val="24"/>
          <w:szCs w:val="24"/>
          <w:color w:val="auto"/>
        </w:rPr>
      </w:pPr>
    </w:p>
    <w:p>
      <w:pPr>
        <w:ind w:left="360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102870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334645</wp:posOffset>
            </wp:positionV>
            <wp:extent cx="126936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936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380"/>
        <w:spacing w:after="0"/>
        <w:rPr>
          <w:sz w:val="20"/>
          <w:szCs w:val="20"/>
          <w:color w:val="auto"/>
        </w:rPr>
      </w:pPr>
      <w:r>
        <w:rPr>
          <w:rFonts w:ascii="Arial" w:cs="Arial" w:eastAsia="Arial" w:hAnsi="Arial"/>
          <w:sz w:val="17"/>
          <w:szCs w:val="17"/>
          <w:color w:val="auto"/>
        </w:rPr>
        <w:t>Identification No.)</w:t>
      </w:r>
    </w:p>
    <w:p>
      <w:pPr>
        <w:spacing w:after="0" w:line="137"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91440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8" w:lineRule="exact"/>
        <w:rPr>
          <w:sz w:val="24"/>
          <w:szCs w:val="24"/>
          <w:color w:val="auto"/>
        </w:rPr>
      </w:pPr>
    </w:p>
    <w:p>
      <w:pPr>
        <w:jc w:val="both"/>
        <w:ind w:firstLine="21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1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16"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spacing w:after="0" w:line="50"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2" w:lineRule="exact"/>
        <w:rPr>
          <w:sz w:val="24"/>
          <w:szCs w:val="24"/>
          <w:color w:val="auto"/>
        </w:rPr>
      </w:pPr>
    </w:p>
    <w:p>
      <w:pPr>
        <w:sectPr>
          <w:pgSz w:w="11900" w:h="16838" w:orient="portrait"/>
          <w:cols w:equalWidth="0" w:num="2">
            <w:col w:w="6600" w:space="720"/>
            <w:col w:w="410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256"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25, 2016, there were 11,783,917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006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65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006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21">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29">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29">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30">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0">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0">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EE"/>
              </w:rPr>
            </w:pPr>
            <w:hyperlink w:anchor="page31">
              <w:r>
                <w:rPr>
                  <w:rFonts w:ascii="Arial" w:cs="Arial" w:eastAsia="Arial" w:hAnsi="Arial"/>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Arial" w:cs="Arial" w:eastAsia="Arial" w:hAnsi="Arial"/>
                <w:sz w:val="18"/>
                <w:szCs w:val="18"/>
                <w:b w:val="1"/>
                <w:bCs w:val="1"/>
                <w:i w:val="1"/>
                <w:iCs w:val="1"/>
                <w:color w:val="0000FF"/>
              </w:rPr>
            </w:pPr>
            <w:hyperlink w:anchor="page31">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08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147"/>
        </w:trPr>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20" w:type="dxa"/>
            <w:vAlign w:val="bottom"/>
            <w:gridSpan w:val="4"/>
          </w:tcPr>
          <w:p>
            <w:pPr>
              <w:jc w:val="right"/>
              <w:ind w:right="332"/>
              <w:spacing w:after="0" w:line="148" w:lineRule="exact"/>
              <w:rPr>
                <w:sz w:val="20"/>
                <w:szCs w:val="20"/>
                <w:color w:val="auto"/>
              </w:rPr>
            </w:pPr>
            <w:r>
              <w:rPr>
                <w:rFonts w:ascii="Arial" w:cs="Arial" w:eastAsia="Arial" w:hAnsi="Arial"/>
                <w:sz w:val="13"/>
                <w:szCs w:val="13"/>
                <w:b w:val="1"/>
                <w:bCs w:val="1"/>
                <w:i w:val="1"/>
                <w:iCs w:val="1"/>
                <w:color w:val="auto"/>
                <w:w w:val="85"/>
              </w:rPr>
              <w:t>(in thousands, except per share</w:t>
            </w: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3"/>
                <w:szCs w:val="13"/>
                <w:b w:val="1"/>
                <w:bCs w:val="1"/>
                <w:i w:val="1"/>
                <w:iCs w:val="1"/>
                <w:color w:val="auto"/>
              </w:rPr>
              <w:t>amounts)</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8"/>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94,290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55,136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189,003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106,071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3,464</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6,937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64,538</w:t>
            </w:r>
          </w:p>
        </w:tc>
        <w:tc>
          <w:tcPr>
            <w:tcW w:w="3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36,877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129,597</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69,714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8,553</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17,812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3,781</w:t>
            </w:r>
          </w:p>
        </w:tc>
        <w:tc>
          <w:tcPr>
            <w:tcW w:w="3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7,666</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4,563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1,174</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2,172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81,575</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48,361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164,443</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93,578</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12,715</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6,775</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24,560</w:t>
            </w: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12,493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12,574</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24,277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12,431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(3,572)</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(8,370)</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9,002</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15,907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11,852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(2,353)</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(1,943)</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7,852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4,722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13,554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9,909</w:t>
            </w:r>
          </w:p>
        </w:tc>
      </w:tr>
      <w:tr>
        <w:trPr>
          <w:trHeight w:val="270"/>
        </w:trPr>
        <w:tc>
          <w:tcPr>
            <w:tcW w:w="65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11,795</w:t>
            </w:r>
          </w:p>
        </w:tc>
        <w:tc>
          <w:tcPr>
            <w:tcW w:w="3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11,382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11,863</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11,343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12,730</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12,800</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0.71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1.24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0.97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(0.20)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0.67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0.62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1.06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0.81</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353"/>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147"/>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3"/>
          </w:tcPr>
          <w:p>
            <w:pPr>
              <w:jc w:val="right"/>
              <w:ind w:right="131"/>
              <w:spacing w:after="0" w:line="148" w:lineRule="exact"/>
              <w:rPr>
                <w:sz w:val="20"/>
                <w:szCs w:val="20"/>
                <w:color w:val="auto"/>
              </w:rPr>
            </w:pPr>
            <w:r>
              <w:rPr>
                <w:rFonts w:ascii="Arial" w:cs="Arial" w:eastAsia="Arial" w:hAnsi="Arial"/>
                <w:sz w:val="13"/>
                <w:szCs w:val="13"/>
                <w:b w:val="1"/>
                <w:bCs w:val="1"/>
                <w:i w:val="1"/>
                <w:iCs w:val="1"/>
                <w:color w:val="auto"/>
                <w:w w:val="84"/>
              </w:rPr>
              <w:t>(in thousands, except par value and share</w:t>
            </w:r>
          </w:p>
        </w:tc>
      </w:tr>
      <w:tr>
        <w:trPr>
          <w:trHeight w:val="168"/>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3"/>
          </w:tcPr>
          <w:p>
            <w:pPr>
              <w:jc w:val="right"/>
              <w:ind w:right="971"/>
              <w:spacing w:after="0"/>
              <w:rPr>
                <w:sz w:val="20"/>
                <w:szCs w:val="20"/>
                <w:color w:val="auto"/>
              </w:rPr>
            </w:pPr>
            <w:r>
              <w:rPr>
                <w:rFonts w:ascii="Arial" w:cs="Arial" w:eastAsia="Arial" w:hAnsi="Arial"/>
                <w:sz w:val="13"/>
                <w:szCs w:val="13"/>
                <w:b w:val="1"/>
                <w:bCs w:val="1"/>
                <w:i w:val="1"/>
                <w:iCs w:val="1"/>
                <w:color w:val="auto"/>
              </w:rPr>
              <w:t>amounts)</w:t>
            </w:r>
          </w:p>
        </w:tc>
      </w:tr>
      <w:tr>
        <w:trPr>
          <w:trHeight w:val="25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159,611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206,975</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4,087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$1,026 and $606, respectively)</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41,733</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29,873</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5,195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210,626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245,584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12,939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9,415</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4,007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15,395</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10,992</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19,090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917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1,039</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4,142</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4,142</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267,116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295,781</w:t>
            </w:r>
          </w:p>
        </w:tc>
      </w:tr>
      <w:tr>
        <w:trPr>
          <w:trHeight w:val="34"/>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1,345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37,228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34,885</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14)</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14,057</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13,401</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52,630</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54,027</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1,618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54,275</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54,639</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$.01 par value; 50,000,000 shares authorized; 13,945,565 and 13,865,620 shares issued, respectively,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11,785,411 and 12,392,093 shares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1,013,021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1,006,688</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(736,570)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(750,124)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Treasury stock 2,160,154 and 1,473,527 shares, respectively</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(63,749)</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(15,561)</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212,841</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241,142</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267,116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295,781</w:t>
            </w:r>
          </w:p>
        </w:tc>
      </w:tr>
      <w:tr>
        <w:trPr>
          <w:trHeight w:val="34"/>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197"/>
              <w:spacing w:after="0" w:line="13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1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02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Deficit</w:t>
            </w: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i w:val="1"/>
                <w:iCs w:val="1"/>
                <w:color w:val="auto"/>
                <w:w w:val="89"/>
              </w:rPr>
              <w:t>(in thousands)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241,142</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13,866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1,006,688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(750,124)</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(15,561)</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9"/>
              </w:rPr>
              <w:t>Net income and comprehensive income</w:t>
            </w:r>
          </w:p>
        </w:tc>
        <w:tc>
          <w:tcPr>
            <w:tcW w:w="22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13,554</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13,554</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5,062</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5,062</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(48,188)</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686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(48,188)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for stock</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restricted stock awards and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restricted stock units, net of withholding</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(2,808)</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Tax benefit from stock-based award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activity</w:t>
            </w:r>
          </w:p>
        </w:tc>
        <w:tc>
          <w:tcPr>
            <w:tcW w:w="22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4,079</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4,079</w:t>
            </w:r>
          </w:p>
        </w:tc>
        <w:tc>
          <w:tcPr>
            <w:tcW w:w="20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June 30, 2016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212,841</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13,946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1,013,021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(736,570)</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(63,749)</w:t>
            </w:r>
          </w:p>
        </w:tc>
        <w:tc>
          <w:tcPr>
            <w:tcW w:w="0" w:type="dxa"/>
            <w:vAlign w:val="bottom"/>
          </w:tcPr>
          <w:p>
            <w:pPr>
              <w:spacing w:after="0"/>
              <w:rPr>
                <w:sz w:val="1"/>
                <w:szCs w:val="1"/>
                <w:color w:val="auto"/>
              </w:rPr>
            </w:pPr>
          </w:p>
        </w:tc>
      </w:tr>
      <w:tr>
        <w:trPr>
          <w:trHeight w:val="27"/>
        </w:trPr>
        <w:tc>
          <w:tcPr>
            <w:tcW w:w="3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40" w:type="dxa"/>
            <w:vAlign w:val="bottom"/>
            <w:gridSpan w:val="3"/>
          </w:tcPr>
          <w:p>
            <w:pPr>
              <w:jc w:val="right"/>
              <w:ind w:right="435"/>
              <w:spacing w:after="0"/>
              <w:rPr>
                <w:sz w:val="20"/>
                <w:szCs w:val="20"/>
                <w:color w:val="auto"/>
              </w:rPr>
            </w:pPr>
            <w:r>
              <w:rPr>
                <w:rFonts w:ascii="Arial" w:cs="Arial" w:eastAsia="Arial" w:hAnsi="Arial"/>
                <w:sz w:val="17"/>
                <w:szCs w:val="17"/>
                <w:b w:val="1"/>
                <w:bCs w:val="1"/>
                <w:color w:val="auto"/>
                <w:w w:val="99"/>
              </w:rPr>
              <w:t>Six Months Ended June 30,</w:t>
            </w:r>
          </w:p>
        </w:tc>
      </w:tr>
      <w:tr>
        <w:trPr>
          <w:trHeight w:val="31"/>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35"/>
              <w:spacing w:after="0"/>
              <w:rPr>
                <w:sz w:val="20"/>
                <w:szCs w:val="20"/>
                <w:color w:val="auto"/>
              </w:rPr>
            </w:pPr>
            <w:r>
              <w:rPr>
                <w:rFonts w:ascii="Arial" w:cs="Arial" w:eastAsia="Arial" w:hAnsi="Arial"/>
                <w:sz w:val="17"/>
                <w:szCs w:val="17"/>
                <w:b w:val="1"/>
                <w:bCs w:val="1"/>
                <w:color w:val="auto"/>
              </w:rPr>
              <w:t>2016</w:t>
            </w:r>
          </w:p>
        </w:tc>
        <w:tc>
          <w:tcPr>
            <w:tcW w:w="580" w:type="dxa"/>
            <w:vAlign w:val="bottom"/>
          </w:tcPr>
          <w:p>
            <w:pPr>
              <w:spacing w:after="0"/>
              <w:rPr>
                <w:sz w:val="20"/>
                <w:szCs w:val="20"/>
                <w:color w:val="auto"/>
              </w:rPr>
            </w:pPr>
          </w:p>
        </w:tc>
        <w:tc>
          <w:tcPr>
            <w:tcW w:w="960" w:type="dxa"/>
            <w:vAlign w:val="bottom"/>
          </w:tcPr>
          <w:p>
            <w:pPr>
              <w:jc w:val="right"/>
              <w:ind w:right="495"/>
              <w:spacing w:after="0"/>
              <w:rPr>
                <w:sz w:val="20"/>
                <w:szCs w:val="20"/>
                <w:color w:val="auto"/>
              </w:rPr>
            </w:pPr>
            <w:r>
              <w:rPr>
                <w:rFonts w:ascii="Arial" w:cs="Arial" w:eastAsia="Arial" w:hAnsi="Arial"/>
                <w:sz w:val="17"/>
                <w:szCs w:val="17"/>
                <w:b w:val="1"/>
                <w:bCs w:val="1"/>
                <w:color w:val="auto"/>
                <w:w w:val="95"/>
              </w:rPr>
              <w:t>2015</w:t>
            </w:r>
          </w:p>
        </w:tc>
      </w:tr>
      <w:tr>
        <w:trPr>
          <w:trHeight w:val="31"/>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8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b w:val="1"/>
                <w:bCs w:val="1"/>
                <w:i w:val="1"/>
                <w:iCs w:val="1"/>
                <w:color w:val="auto"/>
              </w:rPr>
              <w:t>(in thousands)</w:t>
            </w:r>
          </w:p>
        </w:tc>
        <w:tc>
          <w:tcPr>
            <w:tcW w:w="960" w:type="dxa"/>
            <w:vAlign w:val="bottom"/>
          </w:tcPr>
          <w:p>
            <w:pPr>
              <w:spacing w:after="0"/>
              <w:rPr>
                <w:sz w:val="19"/>
                <w:szCs w:val="19"/>
                <w:color w:val="auto"/>
              </w:rPr>
            </w:pP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 attributable to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b w:val="1"/>
                <w:bCs w:val="1"/>
                <w:color w:val="auto"/>
              </w:rPr>
              <w:t>Net income and comprehensive income</w:t>
            </w:r>
          </w:p>
        </w:tc>
        <w:tc>
          <w:tcPr>
            <w:tcW w:w="34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75"/>
              <w:spacing w:after="0"/>
              <w:rPr>
                <w:sz w:val="20"/>
                <w:szCs w:val="20"/>
                <w:color w:val="auto"/>
              </w:rPr>
            </w:pPr>
            <w:r>
              <w:rPr>
                <w:rFonts w:ascii="Arial" w:cs="Arial" w:eastAsia="Arial" w:hAnsi="Arial"/>
                <w:sz w:val="17"/>
                <w:szCs w:val="17"/>
                <w:b w:val="1"/>
                <w:bCs w:val="1"/>
                <w:color w:val="auto"/>
              </w:rPr>
              <w:t>13,554</w:t>
            </w:r>
          </w:p>
        </w:tc>
        <w:tc>
          <w:tcPr>
            <w:tcW w:w="580" w:type="dxa"/>
            <w:vAlign w:val="bottom"/>
          </w:tcPr>
          <w:p>
            <w:pPr>
              <w:jc w:val="right"/>
              <w:ind w:right="31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9,909</w:t>
            </w: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Less: 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2,353</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1,943</w:t>
            </w:r>
          </w:p>
        </w:tc>
      </w:tr>
      <w:tr>
        <w:trPr>
          <w:trHeight w:val="233"/>
        </w:trPr>
        <w:tc>
          <w:tcPr>
            <w:tcW w:w="832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Income from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15,907</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11,852</w:t>
            </w: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2"/>
        </w:trPr>
        <w:tc>
          <w:tcPr>
            <w:tcW w:w="83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Adjustments to reconcile income from continuing operations to net cash provided by operating activities attributable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7"/>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 continuing operations:</w:t>
            </w:r>
          </w:p>
        </w:tc>
        <w:tc>
          <w:tcPr>
            <w:tcW w:w="3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Loss on disposal of fixed assets</w:t>
            </w:r>
          </w:p>
        </w:tc>
        <w:tc>
          <w:tcPr>
            <w:tcW w:w="340" w:type="dxa"/>
            <w:vAlign w:val="bottom"/>
          </w:tcPr>
          <w:p>
            <w:pPr>
              <w:spacing w:after="0"/>
              <w:rPr>
                <w:sz w:val="20"/>
                <w:szCs w:val="20"/>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267</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38</w:t>
            </w: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97</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99</w:t>
            </w: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Depreciation</w:t>
            </w:r>
          </w:p>
        </w:tc>
        <w:tc>
          <w:tcPr>
            <w:tcW w:w="340" w:type="dxa"/>
            <w:vAlign w:val="bottom"/>
          </w:tcPr>
          <w:p>
            <w:pPr>
              <w:spacing w:after="0"/>
              <w:rPr>
                <w:sz w:val="20"/>
                <w:szCs w:val="20"/>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2,172</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1,371</w:t>
            </w: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5,062</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4,393</w:t>
            </w: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Deferred income taxes</w:t>
            </w:r>
          </w:p>
        </w:tc>
        <w:tc>
          <w:tcPr>
            <w:tcW w:w="3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(781)</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Excess tax benefit from stock-based award activity</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(4,079)</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Bad debt expense</w:t>
            </w:r>
          </w:p>
        </w:tc>
        <w:tc>
          <w:tcPr>
            <w:tcW w:w="340" w:type="dxa"/>
            <w:vAlign w:val="bottom"/>
          </w:tcPr>
          <w:p>
            <w:pPr>
              <w:spacing w:after="0"/>
              <w:rPr>
                <w:sz w:val="20"/>
                <w:szCs w:val="20"/>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387</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176</w:t>
            </w: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122</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r>
      <w:tr>
        <w:trPr>
          <w:trHeight w:val="226"/>
        </w:trPr>
        <w:tc>
          <w:tcPr>
            <w:tcW w:w="8320" w:type="dxa"/>
            <w:vAlign w:val="bottom"/>
          </w:tcPr>
          <w:p>
            <w:pPr>
              <w:ind w:left="180"/>
              <w:spacing w:after="0"/>
              <w:rPr>
                <w:sz w:val="20"/>
                <w:szCs w:val="20"/>
                <w:color w:val="auto"/>
              </w:rPr>
            </w:pPr>
            <w:r>
              <w:rPr>
                <w:rFonts w:ascii="Arial" w:cs="Arial" w:eastAsia="Arial" w:hAnsi="Arial"/>
                <w:sz w:val="17"/>
                <w:szCs w:val="17"/>
                <w:color w:val="auto"/>
              </w:rPr>
              <w:t>Changes in current assets and liabilities: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5"/>
        </w:trPr>
        <w:tc>
          <w:tcPr>
            <w:tcW w:w="8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(12,122)</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(7,081)</w:t>
            </w: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Prepaid and other current assets</w:t>
            </w:r>
          </w:p>
        </w:tc>
        <w:tc>
          <w:tcPr>
            <w:tcW w:w="3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(1,681)</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(165)</w:t>
            </w: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 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(1,713)</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4,450</w:t>
            </w:r>
          </w:p>
        </w:tc>
      </w:tr>
      <w:tr>
        <w:trPr>
          <w:trHeight w:val="239"/>
        </w:trPr>
        <w:tc>
          <w:tcPr>
            <w:tcW w:w="8320" w:type="dxa"/>
            <w:vAlign w:val="bottom"/>
          </w:tcPr>
          <w:p>
            <w:pPr>
              <w:ind w:left="280"/>
              <w:spacing w:after="0"/>
              <w:rPr>
                <w:sz w:val="20"/>
                <w:szCs w:val="20"/>
                <w:color w:val="auto"/>
              </w:rPr>
            </w:pPr>
            <w:r>
              <w:rPr>
                <w:rFonts w:ascii="Arial" w:cs="Arial" w:eastAsia="Arial" w:hAnsi="Arial"/>
                <w:sz w:val="17"/>
                <w:szCs w:val="17"/>
                <w:color w:val="auto"/>
              </w:rPr>
              <w:t>Income taxes payable</w:t>
            </w:r>
          </w:p>
        </w:tc>
        <w:tc>
          <w:tcPr>
            <w:tcW w:w="340" w:type="dxa"/>
            <w:vAlign w:val="bottom"/>
          </w:tcPr>
          <w:p>
            <w:pPr>
              <w:spacing w:after="0"/>
              <w:rPr>
                <w:sz w:val="20"/>
                <w:szCs w:val="20"/>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6,825</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202</w:t>
            </w: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373</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75</w:t>
            </w:r>
          </w:p>
        </w:tc>
      </w:tr>
      <w:tr>
        <w:trPr>
          <w:trHeight w:val="233"/>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Net cash provided by operating activities attributable to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10,836</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15,202</w:t>
            </w:r>
          </w:p>
        </w:tc>
      </w:tr>
      <w:tr>
        <w:trPr>
          <w:trHeight w:val="31"/>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 attributable to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color w:val="auto"/>
              </w:rPr>
              <w:t>Capital expenditures</w:t>
            </w:r>
          </w:p>
        </w:tc>
        <w:tc>
          <w:tcPr>
            <w:tcW w:w="3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(6,452)</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(2,707)</w:t>
            </w: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 of a business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(4,500)</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color w:val="auto"/>
              </w:rPr>
              <w:t>Decrease in restricted cash</w:t>
            </w:r>
          </w:p>
        </w:tc>
        <w:tc>
          <w:tcPr>
            <w:tcW w:w="340" w:type="dxa"/>
            <w:vAlign w:val="bottom"/>
          </w:tcPr>
          <w:p>
            <w:pPr>
              <w:spacing w:after="0"/>
              <w:rPr>
                <w:sz w:val="20"/>
                <w:szCs w:val="20"/>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2,454</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94</w:t>
            </w:r>
          </w:p>
        </w:tc>
      </w:tr>
      <w:tr>
        <w:trPr>
          <w:trHeight w:val="31"/>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investing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(8,498)</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(2,650)</w:t>
            </w:r>
          </w:p>
        </w:tc>
      </w:tr>
      <w:tr>
        <w:trPr>
          <w:trHeight w:val="219"/>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flows from financing activities attributable to continuing operations:</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5"/>
        </w:trPr>
        <w:tc>
          <w:tcPr>
            <w:tcW w:w="8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0"/>
              </w:rPr>
              <w:t>Payments related to net-share settlement of stock-based compensation, net of 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(2,808)</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(5,294)</w:t>
            </w: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color w:val="auto"/>
              </w:rPr>
              <w:t>Payment of equity offering costs</w:t>
            </w:r>
          </w:p>
        </w:tc>
        <w:tc>
          <w:tcPr>
            <w:tcW w:w="3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(23)</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color w:val="auto"/>
              </w:rPr>
              <w:t>Excess tax benefit from stock-based award activity</w:t>
            </w:r>
          </w:p>
        </w:tc>
        <w:tc>
          <w:tcPr>
            <w:tcW w:w="340" w:type="dxa"/>
            <w:vAlign w:val="bottom"/>
          </w:tcPr>
          <w:p>
            <w:pPr>
              <w:spacing w:after="0"/>
              <w:rPr>
                <w:sz w:val="20"/>
                <w:szCs w:val="20"/>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4,079</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208</w:t>
            </w:r>
          </w:p>
        </w:tc>
      </w:tr>
      <w:tr>
        <w:trPr>
          <w:trHeight w:val="31"/>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treasury stock</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(48,090)</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(218)</w:t>
            </w:r>
          </w:p>
        </w:tc>
      </w:tr>
      <w:tr>
        <w:trPr>
          <w:trHeight w:val="239"/>
        </w:trPr>
        <w:tc>
          <w:tcPr>
            <w:tcW w:w="8320" w:type="dxa"/>
            <w:vAlign w:val="bottom"/>
          </w:tcPr>
          <w:p>
            <w:pPr>
              <w:ind w:left="180"/>
              <w:spacing w:after="0"/>
              <w:rPr>
                <w:sz w:val="20"/>
                <w:szCs w:val="20"/>
                <w:color w:val="auto"/>
              </w:rPr>
            </w:pPr>
            <w:r>
              <w:rPr>
                <w:rFonts w:ascii="Arial" w:cs="Arial" w:eastAsia="Arial" w:hAnsi="Arial"/>
                <w:sz w:val="17"/>
                <w:szCs w:val="17"/>
                <w:color w:val="auto"/>
              </w:rPr>
              <w:t>Dividends</w:t>
            </w:r>
          </w:p>
        </w:tc>
        <w:tc>
          <w:tcPr>
            <w:tcW w:w="340" w:type="dxa"/>
            <w:vAlign w:val="bottom"/>
          </w:tcPr>
          <w:p>
            <w:pPr>
              <w:spacing w:after="0"/>
              <w:rPr>
                <w:sz w:val="20"/>
                <w:szCs w:val="20"/>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31"/>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financing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(46,850)</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(5,380)</w:t>
            </w:r>
          </w:p>
        </w:tc>
      </w:tr>
      <w:tr>
        <w:trPr>
          <w:trHeight w:val="233"/>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Total cash (used in) provided by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(44,512)</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7,172</w:t>
            </w:r>
          </w:p>
        </w:tc>
      </w:tr>
      <w:tr>
        <w:trPr>
          <w:trHeight w:val="31"/>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operating activities attributable to discontinued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(2,852)</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w:t>
            </w:r>
          </w:p>
        </w:tc>
      </w:tr>
      <w:tr>
        <w:trPr>
          <w:trHeight w:val="233"/>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Total cash used in discontinued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(2,852)</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(417)</w:t>
            </w:r>
          </w:p>
        </w:tc>
      </w:tr>
      <w:tr>
        <w:trPr>
          <w:trHeight w:val="31"/>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(decrease)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(47,364)</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6,755</w:t>
            </w:r>
          </w:p>
        </w:tc>
      </w:tr>
      <w:tr>
        <w:trPr>
          <w:trHeight w:val="239"/>
        </w:trPr>
        <w:tc>
          <w:tcPr>
            <w:tcW w:w="832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Pr>
          <w:p>
            <w:pPr>
              <w:spacing w:after="0"/>
              <w:rPr>
                <w:sz w:val="20"/>
                <w:szCs w:val="20"/>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206,975</w:t>
            </w:r>
          </w:p>
        </w:tc>
        <w:tc>
          <w:tcPr>
            <w:tcW w:w="5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86,212</w:t>
            </w:r>
          </w:p>
        </w:tc>
      </w:tr>
      <w:tr>
        <w:trPr>
          <w:trHeight w:val="31"/>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159,611</w:t>
            </w:r>
          </w:p>
        </w:tc>
        <w:tc>
          <w:tcPr>
            <w:tcW w:w="5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92,967</w:t>
            </w:r>
          </w:p>
        </w:tc>
      </w:tr>
      <w:tr>
        <w:trPr>
          <w:trHeight w:val="27"/>
        </w:trPr>
        <w:tc>
          <w:tcPr>
            <w:tcW w:w="8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("LendingTree" or the "Company"), is the parent of LendingTree, LLC and several companies owned by LendingTree, LLC.</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LendingTree operates what it believes to be the leading online marketplace for consumers seeking a broad array of loan types and other credit-based offerings. The Company offers consumers tools and resources, including free credit scores, that help them to comparison-shop for mortgage loans, home equity, reverse mortgage, auto loans, credit cards, personal loans, student loans and small business loans and other related offerings. The Company primarily seeks to match in-market consumers with multiple lenders on its marketplace who can provide them with competing quotes for the loans or credit-based offerings they are seeking. The Company also serves as a valued partner to lenders seeking an efficient, scalable and flexible source of customer acquisition with directly measurable benefits, by matching the consumer loan inquiries it generates with these lenders.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unaudited interim consolidated financial statements as of June 30, 2016 and for the three and six months ended June 30, 2016 and 2015,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six months ended June 30, 2016 are not necessarily indicative of the results to be expected for the year ending December 31, 2016, or any other period. The accompanying consolidated balance sheet as of December 31, 2015 was derived from audited financial statements included in the Company's annual report on Form 10-K for the year ended December 31, 2015 (the "2015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2015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various other allowances, reserves and accruals; and assumptions related to the determination of stock-based compensation.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June 30, 2016,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nature of the mortgage lending industry, interest rate fluctuations may negatively impact future revenue from the Company's lender marketplace.</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2016-09 which simplifies various aspects related to how share-based payments are accounted for and presented in the financial statements, including the income tax consequences, classification of awards as either equity or liabilities, forfeitures and classification of excess tax benefits on the statement of cash flows. This ASU is effective for annual and interim reporting periods beginning after December 15, 2016, with early adoption permitted. Upon adoption, any adjustments are to be reflected as of the beginning of the fiscal year of adoption. The Company is evaluating the impact this ASU will have on its consolidated financial statements and whether to early adopt.</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2016, the FASB issued ASU 2016-02 related to leases. This ASU requires the recognition of a right-of-use lease asset and a lease liability by lessees for all leases greater than one year in duration. This ASU is effective for annual and interim reporting periods beginning after December 15, 2018, with early adoption permitted. The guidance must be adopted using a modified retrospective transition. The Company is evaluating the impact this ASU will have on its consolidated financial statements and whether to early adopt.</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May 2014, the FASB issued ASU 2014-09 related to revenue recognition. This ASU was initiated as a joint project between the FASB and the International Accounting Standards Board ("IASB") to clarify the principles for recognizing revenue and to develop a common revenue standard for GAAP and international financial reporting standards ("IFRS"). This guidance will supersede the existing revenue recognition requirements in Accounting Standards Codification ("ASC") Topic 605, Revenue Recognition and was set to be effective for annual reporting periods beginning after December 15, 2016. However, in July 2015, the FASB deferred the effective date by one year, such that the standard will be effective for annual reporting periods beginning after December 15, 2017. Early adoption is permitted as of the original effective date of December 15, 2016. The ASU can be applied (i) retrospectively to each prior period presented or (ii) retrospectively with the cumulative effect of initially adopting the ASU recognized at the date of initial application. In March 2016, the FASB issued ASU 2016-08, which clarifies the principal versus agent guidance under ASU 2014-09. ASU 2016-08 must be adopted concurrently with the adoption of ASU 2014-09. The Company is evaluating the impact these ASU's will have on its consolidated financial statements and whether to early adopt.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for surety bonds </w:t>
            </w:r>
            <w:r>
              <w:rPr>
                <w:rFonts w:ascii="Arial" w:cs="Arial" w:eastAsia="Arial" w:hAnsi="Arial"/>
                <w:sz w:val="25"/>
                <w:szCs w:val="25"/>
                <w:color w:val="auto"/>
                <w:vertAlign w:val="superscript"/>
              </w:rPr>
              <w:t>(a)</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2,453</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(b)</w:t>
            </w:r>
          </w:p>
        </w:tc>
        <w:tc>
          <w:tcPr>
            <w:tcW w:w="98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4,032</w:t>
            </w:r>
          </w:p>
        </w:tc>
        <w:tc>
          <w:tcPr>
            <w:tcW w:w="30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4,028</w:t>
            </w: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4,087</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6,541</w:t>
            </w:r>
          </w:p>
        </w:tc>
      </w:tr>
      <w:tr>
        <w:trPr>
          <w:trHeight w:val="34"/>
        </w:trPr>
        <w:tc>
          <w:tcPr>
            <w:tcW w:w="8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left="66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 In February 2016, $2.5 million in escrow for the surety bonds was released due to a reduction in collateral requirements.</w:t>
      </w:r>
    </w:p>
    <w:p>
      <w:pPr>
        <w:spacing w:after="0" w:line="11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4—BUSINESS ACQUISITION</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2016, the Company acquired certain assets of SimpleTuition, Inc. ("SimpleTuition"), a leading online marketing platform for student loans, for $5.0 million of cash consideration. Of the purchase price, $4.5 million was funded with available cash on hand and $0.5 million was held-back in satisfaction of any potential claims.</w:t>
      </w:r>
    </w:p>
    <w:p>
      <w:pPr>
        <w:spacing w:after="0" w:line="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The acquisition has been accounted for as a business combination. As of July 29, 2016, the Company has not completed its determination of the final allocation of the purchase price with respect to the acquired assets. The Company has preliminarily recorded the $5.0 million paid to the tangible and identifiable intangible assets based on their fair value, with the residual recorded to goodwill in the Lending reporting unit. No liabilities were assumed. Acquisition-related costs were $0.1 million for the three and six months ended June 30, 2016 and are included in general and administrative expense on the consolidated statements of operations and comprehensive income. The allocation of the purchase price to the assets acquired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Fair Value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0" w:type="dxa"/>
            <w:vAlign w:val="bottom"/>
          </w:tcPr>
          <w:p>
            <w:pPr>
              <w:spacing w:after="0"/>
              <w:rPr>
                <w:sz w:val="1"/>
                <w:szCs w:val="1"/>
                <w:color w:val="auto"/>
              </w:rPr>
            </w:pPr>
          </w:p>
        </w:tc>
      </w:tr>
      <w:tr>
        <w:trPr>
          <w:trHeight w:val="190"/>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125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Total intangible assets with definite lives,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4,500</w:t>
            </w:r>
          </w:p>
        </w:tc>
        <w:tc>
          <w:tcPr>
            <w:tcW w:w="1580" w:type="dxa"/>
            <w:vAlign w:val="bottom"/>
          </w:tcPr>
          <w:p>
            <w:pPr>
              <w:jc w:val="right"/>
              <w:spacing w:after="0"/>
              <w:rPr>
                <w:sz w:val="20"/>
                <w:szCs w:val="20"/>
                <w:color w:val="auto"/>
              </w:rPr>
            </w:pPr>
            <w:r>
              <w:rPr>
                <w:rFonts w:ascii="Arial" w:cs="Arial" w:eastAsia="Arial" w:hAnsi="Arial"/>
                <w:sz w:val="18"/>
                <w:szCs w:val="18"/>
                <w:color w:val="auto"/>
              </w:rPr>
              <w:t>9.2 years</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375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8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treated the purchase as an asset acquisition for income tax purposes and is deducting the recognized goodwill for income tax purposes.</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of SimpleTuition was not considered significant to the accompanying consolidated financial statements. Accordingly, the revenue and earnings of SimpleTuition for the current reporting period is not presented on a stand-alone basis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property and equipment,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center"/>
              <w:ind w:right="294"/>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13,440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2,404</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2,096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820</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Aircraft and automobile</w:t>
            </w:r>
          </w:p>
        </w:tc>
        <w:tc>
          <w:tcPr>
            <w:tcW w:w="30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2,576</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Projects in progress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1,461</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3,612</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gross property and equipment</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20,701</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16,355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property and equipment,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12,939</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9,415</w:t>
            </w:r>
          </w:p>
        </w:tc>
      </w:tr>
      <w:tr>
        <w:trPr>
          <w:trHeight w:val="34"/>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18"/>
                <w:szCs w:val="18"/>
                <w:b w:val="1"/>
                <w:bCs w:val="1"/>
                <w:color w:val="auto"/>
              </w:rPr>
              <w:t>NOTE 6—GOODWILL AND INTANGIBLE ASSETS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8340" w:type="dxa"/>
            <w:vAlign w:val="bottom"/>
          </w:tcPr>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center"/>
              <w:ind w:right="294"/>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487,095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(483,088)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4,007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r>
      <w:tr>
        <w:trPr>
          <w:trHeight w:val="324"/>
        </w:trPr>
        <w:tc>
          <w:tcPr>
            <w:tcW w:w="8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30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5,253</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850</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15,395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10,992</w:t>
            </w:r>
          </w:p>
        </w:tc>
      </w:tr>
      <w:tr>
        <w:trPr>
          <w:trHeight w:val="27"/>
        </w:trPr>
        <w:tc>
          <w:tcPr>
            <w:tcW w:w="8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is associated with its one reportable segment, Lending. Intangible assets with indefinite lives relate to the Company's trademarks.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4,900</w:t>
            </w:r>
          </w:p>
        </w:tc>
        <w:tc>
          <w:tcPr>
            <w:tcW w:w="3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1,287</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(1,090)</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June 30, 2016</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6,587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(1,334)</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5,253</w:t>
            </w:r>
          </w:p>
        </w:tc>
        <w:tc>
          <w:tcPr>
            <w:tcW w:w="0" w:type="dxa"/>
            <w:vAlign w:val="bottom"/>
          </w:tcPr>
          <w:p>
            <w:pPr>
              <w:spacing w:after="0"/>
              <w:rPr>
                <w:sz w:val="1"/>
                <w:szCs w:val="1"/>
                <w:color w:val="auto"/>
              </w:rPr>
            </w:pPr>
          </w:p>
        </w:tc>
      </w:tr>
      <w:tr>
        <w:trPr>
          <w:trHeight w:val="34"/>
        </w:trPr>
        <w:tc>
          <w:tcPr>
            <w:tcW w:w="7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24"/>
                <w:szCs w:val="2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1,087</w:t>
            </w:r>
          </w:p>
        </w:tc>
        <w:tc>
          <w:tcPr>
            <w:tcW w:w="3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(1,087)</w:t>
            </w:r>
          </w:p>
        </w:tc>
        <w:tc>
          <w:tcPr>
            <w:tcW w:w="4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2,087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(1,237)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850</w:t>
            </w:r>
          </w:p>
        </w:tc>
        <w:tc>
          <w:tcPr>
            <w:tcW w:w="0" w:type="dxa"/>
            <w:vAlign w:val="bottom"/>
          </w:tcPr>
          <w:p>
            <w:pPr>
              <w:spacing w:after="0"/>
              <w:rPr>
                <w:sz w:val="1"/>
                <w:szCs w:val="1"/>
                <w:color w:val="auto"/>
              </w:rPr>
            </w:pPr>
          </w:p>
        </w:tc>
      </w:tr>
      <w:tr>
        <w:trPr>
          <w:trHeight w:val="27"/>
        </w:trPr>
        <w:tc>
          <w:tcPr>
            <w:tcW w:w="70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June 30, 2016,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Amortization Expense</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Year ending December 31, 2017</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664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2018</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Year ending December 31, 2019</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586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2,477</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5,253</w:t>
            </w:r>
          </w:p>
        </w:tc>
      </w:tr>
      <w:tr>
        <w:trPr>
          <w:trHeight w:val="702"/>
        </w:trPr>
        <w:tc>
          <w:tcPr>
            <w:tcW w:w="8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7—ACCRUED EXPENSES AND OTHER CURRENT LIABILITIES</w:t>
            </w: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378"/>
        </w:trPr>
        <w:tc>
          <w:tcPr>
            <w:tcW w:w="8340" w:type="dxa"/>
            <w:vAlign w:val="bottom"/>
          </w:tcPr>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53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736</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30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23,075</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20,841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3,339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0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711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and escrows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4,871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4,159</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3,762</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37,228</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34,885</w:t>
            </w:r>
          </w:p>
        </w:tc>
      </w:tr>
      <w:tr>
        <w:trPr>
          <w:trHeight w:val="27"/>
        </w:trPr>
        <w:tc>
          <w:tcPr>
            <w:tcW w:w="8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48"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9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11,795</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11,863</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869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855</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27"/>
        </w:trPr>
        <w:tc>
          <w:tcPr>
            <w:tcW w:w="5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66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82</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9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12,730</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12,334</w:t>
            </w:r>
          </w:p>
        </w:tc>
        <w:tc>
          <w:tcPr>
            <w:tcW w:w="1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12,800</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12,257</w:t>
            </w:r>
          </w:p>
        </w:tc>
      </w:tr>
      <w:tr>
        <w:trPr>
          <w:trHeight w:val="34"/>
        </w:trPr>
        <w:tc>
          <w:tcPr>
            <w:tcW w:w="5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 shares related to potentially dilutive securities were excluded from the calculation of diluted income per share for the three and six months ended June 30,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each of January 2010, May 2014, January 2016 and February 2016, the board of directors authorized and the Company announced the repurchase of up to $10.0 million, $10.0 million, $50.0 million and $40.0 million, respectively, of LendingTree's common stock. During the six months ended June 30, 2016 and 2015, the Company purchased 686,627 and 5,250 shares, respectively, of its common stock pursuant to this stock repurchase program. At June 30, 2016, approximately $49.1 million of the previous authorizations to repurchase common stock remain available for the Company to purchase its common stock.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9—STOCK-BASED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right"/>
              <w:ind w:right="8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jc w:val="center"/>
              <w:ind w:left="541"/>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655</w:t>
            </w: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1,381</w:t>
            </w:r>
          </w:p>
        </w:tc>
        <w:tc>
          <w:tcPr>
            <w:tcW w:w="32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1,129</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2,439</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616</w:t>
            </w: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1,172</w:t>
            </w:r>
          </w:p>
        </w:tc>
        <w:tc>
          <w:tcPr>
            <w:tcW w:w="32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severance</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2,429</w:t>
            </w:r>
          </w:p>
        </w:tc>
        <w:tc>
          <w:tcPr>
            <w:tcW w:w="1020" w:type="dxa"/>
            <w:vAlign w:val="bottom"/>
            <w:tcBorders>
              <w:top w:val="single" w:sz="8" w:color="auto"/>
            </w:tcBorders>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2,057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5,062</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4,393</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stock options is as follows: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20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Number of Options</w:t>
            </w:r>
          </w:p>
        </w:tc>
        <w:tc>
          <w:tcPr>
            <w:tcW w:w="1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20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ind w:left="541"/>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9"/>
              </w:rPr>
              <w:t>(per option)</w:t>
            </w:r>
          </w:p>
        </w:tc>
        <w:tc>
          <w:tcPr>
            <w:tcW w:w="240" w:type="dxa"/>
            <w:vAlign w:val="bottom"/>
          </w:tcPr>
          <w:p>
            <w:pPr>
              <w:spacing w:after="0"/>
              <w:rPr>
                <w:sz w:val="16"/>
                <w:szCs w:val="16"/>
                <w:color w:val="auto"/>
              </w:rPr>
            </w:pP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years)</w:t>
            </w:r>
          </w:p>
        </w:tc>
        <w:tc>
          <w:tcPr>
            <w:tcW w:w="320" w:type="dxa"/>
            <w:vAlign w:val="bottom"/>
          </w:tcPr>
          <w:p>
            <w:pPr>
              <w:spacing w:after="0"/>
              <w:rPr>
                <w:sz w:val="16"/>
                <w:szCs w:val="16"/>
                <w:color w:val="auto"/>
              </w:rPr>
            </w:pPr>
          </w:p>
        </w:tc>
        <w:tc>
          <w:tcPr>
            <w:tcW w:w="1200" w:type="dxa"/>
            <w:vAlign w:val="bottom"/>
          </w:tcPr>
          <w:p>
            <w:pPr>
              <w:jc w:val="center"/>
              <w:ind w:right="17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1,918,182</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2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73,159</w:t>
            </w:r>
          </w:p>
        </w:tc>
        <w:tc>
          <w:tcPr>
            <w:tcW w:w="10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75.07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(1,244)</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(4,922)</w:t>
            </w: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73.66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June 30, 2016</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1,985,175</w:t>
            </w: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20.77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134,344</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2016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970,625</w:t>
            </w:r>
          </w:p>
        </w:tc>
        <w:tc>
          <w:tcPr>
            <w:tcW w:w="10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76,572</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$88.33 on the last trading day of the quarter ended June 30, 2016 and the exercise price, multiplied by the number of shares covered by in-the-money options) that would have been received by the option holders had all option holders exercised their options on June 30, 2016.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six months ended June 30, 2016, the Company granted stock options to certain employees and the board of directors with a weighted average grant date fair value per share of $37.69, which vesting periods include (a) three years from the grant date, (b) two years from the grant date and (c) 25% and 75% over a period of two years and three years, respectively.</w:t>
      </w:r>
    </w:p>
    <w:p>
      <w:pPr>
        <w:spacing w:after="0" w:line="127"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7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5.75 - 6.38 years</w:t>
            </w:r>
          </w:p>
        </w:tc>
      </w:tr>
      <w:tr>
        <w:trPr>
          <w:trHeight w:val="270"/>
        </w:trPr>
        <w:tc>
          <w:tcPr>
            <w:tcW w:w="33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7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7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 - 53%</w:t>
            </w:r>
          </w:p>
        </w:tc>
      </w:tr>
      <w:tr>
        <w:trPr>
          <w:trHeight w:val="270"/>
        </w:trPr>
        <w:tc>
          <w:tcPr>
            <w:tcW w:w="330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730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1.24% - 1.90%</w:t>
            </w:r>
          </w:p>
        </w:tc>
      </w:tr>
      <w:tr>
        <w:trPr>
          <w:trHeight w:val="453"/>
        </w:trPr>
        <w:tc>
          <w:tcPr>
            <w:tcW w:w="3300" w:type="dxa"/>
            <w:vAlign w:val="bottom"/>
          </w:tcPr>
          <w:p>
            <w:pPr>
              <w:spacing w:after="0"/>
              <w:rPr>
                <w:sz w:val="24"/>
                <w:szCs w:val="24"/>
                <w:color w:val="auto"/>
              </w:rPr>
            </w:pPr>
          </w:p>
        </w:tc>
        <w:tc>
          <w:tcPr>
            <w:tcW w:w="7300" w:type="dxa"/>
            <w:vAlign w:val="bottom"/>
          </w:tcPr>
          <w:p>
            <w:pPr>
              <w:jc w:val="right"/>
              <w:ind w:right="553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2016,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units ("RSUs") and restricted stock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2016</w:t>
            </w:r>
          </w:p>
        </w:tc>
        <w:tc>
          <w:tcPr>
            <w:tcW w:w="1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237,377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43.13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6"/>
              <w:spacing w:after="0"/>
              <w:rPr>
                <w:sz w:val="20"/>
                <w:szCs w:val="20"/>
                <w:color w:val="auto"/>
              </w:rPr>
            </w:pPr>
            <w:r>
              <w:rPr>
                <w:rFonts w:ascii="Arial" w:cs="Arial" w:eastAsia="Arial" w:hAnsi="Arial"/>
                <w:sz w:val="18"/>
                <w:szCs w:val="18"/>
                <w:color w:val="auto"/>
              </w:rPr>
              <w:t>64,666</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(123,182)</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(12,695)</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2016</w:t>
            </w:r>
          </w:p>
        </w:tc>
        <w:tc>
          <w:tcPr>
            <w:tcW w:w="1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166,166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63.98</w:t>
            </w:r>
          </w:p>
        </w:tc>
        <w:tc>
          <w:tcPr>
            <w:tcW w:w="0" w:type="dxa"/>
            <w:vAlign w:val="bottom"/>
          </w:tcPr>
          <w:p>
            <w:pPr>
              <w:spacing w:after="0"/>
              <w:rPr>
                <w:sz w:val="1"/>
                <w:szCs w:val="1"/>
                <w:color w:val="auto"/>
              </w:rPr>
            </w:pPr>
          </w:p>
        </w:tc>
      </w:tr>
      <w:tr>
        <w:trPr>
          <w:trHeight w:val="548"/>
        </w:trPr>
        <w:tc>
          <w:tcPr>
            <w:tcW w:w="7660" w:type="dxa"/>
            <w:vAlign w:val="bottom"/>
            <w:tcBorders>
              <w:top w:val="single" w:sz="8" w:color="auto"/>
            </w:tcBorders>
          </w:tcPr>
          <w:p>
            <w:pPr>
              <w:spacing w:after="0"/>
              <w:rPr>
                <w:sz w:val="24"/>
                <w:szCs w:val="24"/>
                <w:color w:val="auto"/>
              </w:rPr>
            </w:pPr>
          </w:p>
        </w:tc>
        <w:tc>
          <w:tcPr>
            <w:tcW w:w="3760" w:type="dxa"/>
            <w:vAlign w:val="bottom"/>
            <w:tcBorders>
              <w:top w:val="single" w:sz="8" w:color="auto"/>
              <w:bottom w:val="single" w:sz="8" w:color="auto"/>
            </w:tcBorders>
            <w:gridSpan w:val="3"/>
          </w:tcPr>
          <w:p>
            <w:pPr>
              <w:jc w:val="right"/>
              <w:ind w:right="1277"/>
              <w:spacing w:after="0"/>
              <w:rPr>
                <w:sz w:val="20"/>
                <w:szCs w:val="20"/>
                <w:color w:val="auto"/>
              </w:rPr>
            </w:pPr>
            <w:r>
              <w:rPr>
                <w:rFonts w:ascii="Arial" w:cs="Arial" w:eastAsia="Arial" w:hAnsi="Arial"/>
                <w:sz w:val="14"/>
                <w:szCs w:val="14"/>
                <w:b w:val="1"/>
                <w:bCs w:val="1"/>
                <w:color w:val="auto"/>
              </w:rPr>
              <w:t>Restricted Stock</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1"/>
              </w:rPr>
              <w:t>(per share)</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2016</w:t>
            </w:r>
          </w:p>
        </w:tc>
        <w:tc>
          <w:tcPr>
            <w:tcW w:w="1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68,762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23.60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(35,297)</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2016</w:t>
            </w:r>
          </w:p>
        </w:tc>
        <w:tc>
          <w:tcPr>
            <w:tcW w:w="1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33,465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26.73</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with Performance Conditions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three months ended June 30, 2016, the Company granted RSUs with performance conditions to certain employees, of which vesting periods include: (a) 33.3% over a period of 0.33 years, 33.3% over a period of 1.33 years and 33.4% over a period of 2.33 years, each pending the attainment of certain performance targets set at the time of grant (b) 100% after 2.33 years from the grant date, pending the attainment of certain performance targets set at the time of grant and (c) 33.3% upon the completion of certain performance criteria, 33.3% on the first anniversary of the initial vesting and 33.4% on the second anniversary of the initial vesting.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RSUs with performance conditions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right"/>
              <w:ind w:right="164"/>
              <w:spacing w:after="0"/>
              <w:rPr>
                <w:sz w:val="20"/>
                <w:szCs w:val="20"/>
                <w:color w:val="auto"/>
              </w:rPr>
            </w:pPr>
            <w:r>
              <w:rPr>
                <w:rFonts w:ascii="Arial" w:cs="Arial" w:eastAsia="Arial" w:hAnsi="Arial"/>
                <w:sz w:val="14"/>
                <w:szCs w:val="14"/>
                <w:b w:val="1"/>
                <w:bCs w:val="1"/>
                <w:color w:val="auto"/>
              </w:rPr>
              <w:t>RSUs with Performance Conditions</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4"/>
            <w:vMerge w:val="restart"/>
          </w:tcPr>
          <w:p>
            <w:pPr>
              <w:jc w:val="right"/>
              <w:ind w:right="293"/>
              <w:spacing w:after="0"/>
              <w:rPr>
                <w:sz w:val="20"/>
                <w:szCs w:val="20"/>
                <w:color w:val="auto"/>
              </w:rPr>
            </w:pPr>
            <w:r>
              <w:rPr>
                <w:rFonts w:ascii="Arial" w:cs="Arial" w:eastAsia="Arial" w:hAnsi="Arial"/>
                <w:sz w:val="14"/>
                <w:szCs w:val="14"/>
                <w:b w:val="1"/>
                <w:bCs w:val="1"/>
                <w:color w:val="auto"/>
                <w:w w:val="97"/>
              </w:rPr>
              <w:t>Number of Units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jc w:val="center"/>
              <w:ind w:right="27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center"/>
              <w:ind w:left="104"/>
              <w:spacing w:after="0"/>
              <w:rPr>
                <w:sz w:val="20"/>
                <w:szCs w:val="20"/>
                <w:color w:val="auto"/>
              </w:rPr>
            </w:pPr>
            <w:r>
              <w:rPr>
                <w:rFonts w:ascii="Arial" w:cs="Arial" w:eastAsia="Arial" w:hAnsi="Arial"/>
                <w:sz w:val="14"/>
                <w:szCs w:val="14"/>
                <w:b w:val="1"/>
                <w:bCs w:val="1"/>
                <w:i w:val="1"/>
                <w:iCs w:val="1"/>
                <w:color w:val="auto"/>
                <w:w w:val="95"/>
              </w:rPr>
              <w:t>(per unit)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60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Granted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w w:val="94"/>
              </w:rPr>
              <w:t>44,052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83.92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2016</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4"/>
              </w:rPr>
              <w:t>44,052</w:t>
            </w:r>
          </w:p>
        </w:tc>
        <w:tc>
          <w:tcPr>
            <w:tcW w:w="4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83.92</w:t>
            </w:r>
          </w:p>
        </w:tc>
        <w:tc>
          <w:tcPr>
            <w:tcW w:w="0" w:type="dxa"/>
            <w:vAlign w:val="bottom"/>
          </w:tcPr>
          <w:p>
            <w:pPr>
              <w:spacing w:after="0"/>
              <w:rPr>
                <w:sz w:val="1"/>
                <w:szCs w:val="1"/>
                <w:color w:val="auto"/>
              </w:rPr>
            </w:pPr>
          </w:p>
        </w:tc>
      </w:tr>
      <w:tr>
        <w:trPr>
          <w:trHeight w:val="486"/>
        </w:trPr>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10—INCOME TAXES</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gridSpan w:val="3"/>
          </w:tcPr>
          <w:p>
            <w:pPr>
              <w:jc w:val="right"/>
              <w:ind w:right="224"/>
              <w:spacing w:after="0"/>
              <w:rPr>
                <w:sz w:val="20"/>
                <w:szCs w:val="20"/>
                <w:color w:val="auto"/>
              </w:rPr>
            </w:pPr>
            <w:r>
              <w:rPr>
                <w:rFonts w:ascii="Arial" w:cs="Arial" w:eastAsia="Arial" w:hAnsi="Arial"/>
                <w:sz w:val="14"/>
                <w:szCs w:val="14"/>
                <w:b w:val="1"/>
                <w:bCs w:val="1"/>
                <w:color w:val="auto"/>
                <w:w w:val="90"/>
              </w:rPr>
              <w:t>Six Months Ended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504"/>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60" w:type="dxa"/>
            <w:vAlign w:val="bottom"/>
            <w:gridSpan w:val="8"/>
          </w:tcPr>
          <w:p>
            <w:pPr>
              <w:jc w:val="right"/>
              <w:ind w:right="328"/>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3"/>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(3,572)</w:t>
            </w:r>
          </w:p>
        </w:tc>
        <w:tc>
          <w:tcPr>
            <w:tcW w:w="58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0"/>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(8,370)</w:t>
            </w:r>
          </w:p>
        </w:tc>
        <w:tc>
          <w:tcPr>
            <w:tcW w:w="960" w:type="dxa"/>
            <w:vAlign w:val="bottom"/>
            <w:tcBorders>
              <w:bottom w:val="single" w:sz="8" w:color="CCEEFF"/>
            </w:tcBorders>
            <w:shd w:val="clear" w:color="auto" w:fill="CCEEFF"/>
          </w:tcPr>
          <w:p>
            <w:pPr>
              <w:jc w:val="right"/>
              <w:ind w:right="60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(579)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i w:val="1"/>
                <w:iCs w:val="1"/>
                <w:color w:val="auto"/>
              </w:rPr>
              <w:t>28.4%</w:t>
            </w: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i w:val="1"/>
                <w:iCs w:val="1"/>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i w:val="1"/>
                <w:iCs w:val="1"/>
                <w:color w:val="auto"/>
                <w:w w:val="86"/>
              </w:rPr>
              <w:t>34.5%</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58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six months ended June 30, 2016, the effective tax rate varied from the federal statutory rate of 35% primarily due to the benefit derived from the federal research tax credit, partially offset by state taxes. The federal research tax credit benefit is the result of a study completed during the quarter for the open tax years of 2011 through 2015, plus an estimate of the benefit from current research activities.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six months ended June 30, 2015, the effective tax rate varied from the federal statutory rate of 35% primarily due to the existence of a valuation allowance that was previously provided to offset the Company's net deferred tax asset and state taxes. During the fourth quarter of 2015, the Company released the majority of the valuation allowance.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the Company's wholly-owned subsidiary, LendingTree, LLC, entered into a $125.0 million five-year senior secured revolving credit facility which matures on October 22, 2020 (the “Revolving Credit Facility”). The proceeds of the Revolving Credit Facility can be used to finance the working capital needs, capital expenditures and general corporate purposes, including to finance permitted acquisitions. As of June 30, 2016, the Company does not have any borrowings outstanding under the Revolving Credit Facility.</w:t>
      </w:r>
    </w:p>
    <w:p>
      <w:pPr>
        <w:spacing w:after="0" w:line="13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 the Revolving Credit Facility up to an aggregate amount of $50.0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1.0% to 2.0% based on the funded debt to consolidated EBITDA ratio;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2.0% to 3.0% based on the funded debt to consolidated EBITDA ratio.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Revolving Credit Facility contains certain restrictive financial covenants, which include a funded debt to consolidated EBITDA ratio and a consolidated EBITDA to interest expense ratio.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June 30, 2016.</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Revolving Credit Facility requires LendingTree, LLC to pledge as collateral, subject to certain customary exclusions, 100% of its assets, including 100% of its equity in all of its subsidiaries. The obligations under this facility are unconditionally guaranteed on a senior basis by LendingTree, Inc. and specific subsidiaries of LendingTree, LLC, which guaranties are secured by a pledge as collateral, subject to certain customary exclusions, of 100% of each of such guarantor's assets, including 100% of its equity in all of its subsidiaries.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0.5% per annum based on a funded debt to consolidated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2.0% to 3.0% based on the funded debt to consolidated EBITDA ratio. The letter of credit fronting fee is .125% per annum on the face amount of each letter of credit.</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incurred debt issuance costs of $1.2 million for the Revolving Credit Facility, which is included in prepaid and other current assets and other non-current assets in the Company's consolidated balance sheet and is being amortized to interest expense over the life of the Revolving Credit Facility of five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12,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June 30, 2016 and December 31, 2015, the Company had a litigation settlement accrual of $0.7 million and $0.6 million, respectively, in continuing operations and $4.2 million and $3.6 million, respectively, in discontinued operations. The litigation settlement accrual relates to litigation matters that were either settled or a firm offer for settlement was extended, thereby establishing an accrual amount that is both probable and reasonably estimable.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LendingTree v. Zillow, Inc., et al. Civil Action No. 3:10-cv-439</w:t>
      </w:r>
      <w:r>
        <w:rPr>
          <w:rFonts w:ascii="Arial" w:cs="Arial" w:eastAsia="Arial" w:hAnsi="Arial"/>
          <w:sz w:val="18"/>
          <w:szCs w:val="18"/>
          <w:color w:val="auto"/>
        </w:rPr>
        <w:t>. On September 8, 2010, the Company filed an action for patent infringement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Court for the Western District of North Carolina against Zillow, Inc., NexTag, Inc., Quinstreet, Inc., Quinstreet Media, Inc. and Adchemy, Inc. The complaint was amended to include Leadpoint, Inc. d/b/a Securerights on September 24, 2010. The complaint alleged that each of the defendants infringed one or both of the Company's patents-U.S. Patent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defense of laches and 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 a portion of its attorney's fees and costs totaling $2.3 million, plus interest. The trial and post-trial motion process is now complete.</w:t>
      </w:r>
    </w:p>
    <w:p>
      <w:pPr>
        <w:spacing w:after="0" w:line="13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review by such court of the laches defense in an unrelated patent infringement matter and ruled in favor of Zillow, Inc. on an immaterial amount of costs related to the trial process. In June 2015, the Company reached a settlement agreement for $1.1 million with defendant NexTag pursuant to which the Company dismissed its appeal of the jury verdict and the award of attorney's fees concerning NexTag, and NexTag dismissed its cross-appeal and claims relating to the jury verdict and the award of attorneys' fees. In July 2015, the stay was lifted on the Company's appeal with respect to the jury verdict concerning Zillow, Inc. The appeal was heard by the U.S. Court of Appeals for the Federal Circuit in June 2016, and in July 2016 the Court determined that certain of the claims of the two patents referenced above were directed to ineligible subject matter and thus such claims were invalid under 35 U.S.C. Section 101. With respect to the remaining claims that the Court did not hold were ineligible, the Court granted a remand to the federal district court to allow LendingTree to file a motion to vacate the judgment of invalidity for incorrect inventorship.</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Next Advisor, Inc.</w:t>
      </w:r>
    </w:p>
    <w:p>
      <w:pPr>
        <w:spacing w:after="0" w:line="171"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i w:val="1"/>
          <w:iCs w:val="1"/>
          <w:color w:val="auto"/>
        </w:rPr>
        <w:t>Next Advisor, Inc. v. LendingTree, Inc. and LendingTree, LLC, No. 15-cvs-20775 (N.C. Super. Ct.)</w:t>
      </w:r>
      <w:r>
        <w:rPr>
          <w:rFonts w:ascii="Arial" w:cs="Arial" w:eastAsia="Arial" w:hAnsi="Arial"/>
          <w:sz w:val="18"/>
          <w:szCs w:val="18"/>
          <w:color w:val="auto"/>
        </w:rPr>
        <w:t>. On November 6, 2015, the plaintiff filed this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LendingTree, Inc. and LendingTree, LLC (together "LendingTree"). The plaintiff generally alleges that LendingTree breached a non-disclosure agreement and misappropriated trade secrets in the context of a potential business acquisition of the plaintiff by LendingTree. Based upon these allegations, the plaintiff asserts claims for breach of contract, misappropriation of trade secrets and violation of North Carolina Unfair and Deceptive Trade Practices Act. The plaintiff seeks damages, attorneys' fees and injunctive relief.</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16, 2015, LendingTree filed its answer to the plaintiff's complaint, denying the material allegations and asserting numerous defenses thereto. In June 2016, the Court granted plaintiff's motion for preliminary injunction and ordered that LendingTree cease any utilization of confidential and trade secret information of plaintiff and cease marketing its credit card product via certain third party content marketing platforms until the judge finally determines the facts in this matter and the appropriate relief, if any, to be granted with respect thereto. Discovery is ongoing in this matter. LendingTree believes that the plaintiff's allegations lack merit and intends to vigorously defend this action. LendingTree intends to appeal the order granting plaintiff's motion for preliminary injunction to the North Carolina Supreme Court. An estimated liability of $0.1 million for this matter is included in the accompanying consolidated balance sheet as of June 30,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None of the Joining Regulators have asserted any such allegations.</w:t>
      </w:r>
    </w:p>
    <w:p>
      <w:pPr>
        <w:spacing w:after="0" w:line="85"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LLC to adopt various new procedures and practices. The Company has commenced negotiations toward an acceptable Consent Agreement and Order. It does not believe its mortgage marketplace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an estimated liability of $0.5 million has been established for this matter in the accompanying consolidated balance sheet as of June 30, 2016.</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Lijkel Dijkstra v. Harry Carenbauer, Home Loan Center, Inc. et al., No. 5:11-cv-152-JPB (U.S. Dist. Ct., N.D.WV). </w:t>
      </w:r>
      <w:r>
        <w:rPr>
          <w:rFonts w:ascii="Arial" w:cs="Arial" w:eastAsia="Arial" w:hAnsi="Arial"/>
          <w:sz w:val="16"/>
          <w:szCs w:val="16"/>
          <w:color w:val="auto"/>
        </w:rPr>
        <w:t>In November 2008, the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filed a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included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In February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HLC and the plaintiff settled the remaining Individual Claims in June 2014.</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July 2014, the court awarded damages to plaintiffs in the amount of $2.8 million (the "Class Damages Award"). HLC filed a notice of appeal in August 2014 and in September 2014, plaintiffs filed a motion to dismiss the appeal. In December 2014, the U.S. Court of Appeals for the Fourth Circuit determined that the district court's order was not yet final, and, accordingly, HLC's appeal was dismissed. In July 2015, the district court ordered that the Class Damages Award be allocated such that two-thirds of the Class Damages Award would be paid to the class members and one-third of the Class Damages would be paid to the plaintiffs' attorneys. In addition, the court ordered that HLC reimburse the class for attorneys' fees by making an incremental payment of $389,500 attorneys' fee award be paid by HLC to the plaintiffs' attorneys. The judge also awarded prejudgment interest to Plaintiffs. On July 30, 2015, the district court judge entered a final judgment order in this matter. On August 27, 2015, HLC filed its notice of appeal to the U.S. Court of Appeals for the Fourth Circuit with respect to the final judgment, the order granting attorneys' fees, and the orders on class damages, the pretrial conference, motions and class certification. In June 2016, the parties executed a settlement agreement with respect to such matters, subject to a final approval of such settlement by the district court judge and fulfillment of certain class notice and administration requirements. An estimated liability of $3.2 million has been established for this matter in the accompanying consolidated balance sheet as of June 30, 2016, of which some or all may be covered by insurance.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9, 2015, HLC filed its answer to RFC’s complaint, denying the material allegations of the complaint and asserting numerous defenses thereto.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Discovery is ongoing in this matter. HLC intends to vigorously defend this action.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Lehman Brothers Holdings Inc. v. 1st Advantage Mortgage, LLC et al., Case No. 08-13555 (SCC) (Bankr. S.D.N.Y.). </w:t>
      </w:r>
      <w:r>
        <w:rPr>
          <w:rFonts w:ascii="Arial" w:cs="Arial" w:eastAsia="Arial" w:hAnsi="Arial"/>
          <w:sz w:val="17"/>
          <w:szCs w:val="17"/>
          <w:color w:val="auto"/>
        </w:rPr>
        <w:t>In February 2016, Lehman Brothers</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Inc. (“LBHI”) filed an Adversary Complaint against Home Loan Center and approximately 149 other defendants (the "Complaint"). The Complaint generally seeks (1) a declaratory judgment that the settlements entered into by LBHI with Fannie Mae and Freddie Mac as part of LBHI's bankruptcy proceedings gave rise to LBHI's contractual indemnification claims against defendants alleged in the Complaint; (2) indemnification from HLC and the other defendants for losses allegedly incurred by LBHI in respect of defective mortgage loans sold by defendants to LBHI or its affiliates; and (3) interest, attorneys' fees and costs incurred by LBHI in the litigation. HLC intends to defend this action vigorously. HLC had previously received a demand letter (the "Letter") from LBHI in December 2014 with respect to 64 loans (the “Loans”) that LBHI alleges were sold by HLC to Lehman Brothers Bank, FSB (“LBB”) between 2004 and 2008 pursuant to a loan purchase agreement (the “LPA”) between HLC and LBB. The Letter generally sought indemnification from HLC in accordance with the LPA for certain claims that LBHI alleged it allowed in its bankruptcy with respect to the Loans. An estimated liability of $1.0 million for this matter is included in the accompanying consolidated balance sheet as of June 30,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 representing the Company's Lending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50"/>
        </w:trPr>
        <w:tc>
          <w:tcPr>
            <w:tcW w:w="368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2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56,032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37,198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74,196</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2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38,258</w:t>
            </w:r>
          </w:p>
        </w:tc>
        <w:tc>
          <w:tcPr>
            <w:tcW w:w="4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17,938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77,955</w:t>
            </w:r>
          </w:p>
        </w:tc>
        <w:tc>
          <w:tcPr>
            <w:tcW w:w="4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31,875</w:t>
            </w:r>
          </w:p>
        </w:tc>
      </w:tr>
      <w:tr>
        <w:trPr>
          <w:trHeight w:val="27"/>
        </w:trPr>
        <w:tc>
          <w:tcPr>
            <w:tcW w:w="3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6"/>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2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94,290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55,136</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189,003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106,071</w:t>
            </w:r>
          </w:p>
        </w:tc>
      </w:tr>
      <w:tr>
        <w:trPr>
          <w:trHeight w:val="459"/>
        </w:trPr>
        <w:tc>
          <w:tcPr>
            <w:tcW w:w="36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3"/>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w:t>
            </w:r>
          </w:p>
        </w:tc>
      </w:tr>
      <w:tr>
        <w:trPr>
          <w:trHeight w:val="318"/>
        </w:trPr>
        <w:tc>
          <w:tcPr>
            <w:tcW w:w="6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(1,769)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(3,619)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619</w:t>
            </w:r>
          </w:p>
        </w:tc>
        <w:tc>
          <w:tcPr>
            <w:tcW w:w="4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1,266</w:t>
            </w:r>
          </w:p>
        </w:tc>
        <w:tc>
          <w:tcPr>
            <w:tcW w:w="4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83</w:t>
            </w:r>
          </w:p>
        </w:tc>
      </w:tr>
      <w:tr>
        <w:trPr>
          <w:trHeight w:val="27"/>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(1,150)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(2,353)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(1,943)</w:t>
            </w:r>
          </w:p>
        </w:tc>
      </w:tr>
      <w:tr>
        <w:trPr>
          <w:trHeight w:val="27"/>
        </w:trPr>
        <w:tc>
          <w:tcPr>
            <w:tcW w:w="6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6, 2012, the Company sold substantially all of the operating assets of its LendingTree Loans business for $55.9 million in cash to a wholly-owned subsidiary of Discover Financial Services ("Discover"). Discover generally did not assume liabilities of the LendingTree Loans business that arose before the closing date, except for certain liabilities directly related to assets Discover acquired. Of the purchase price paid, as of June 30, 2016, $4.0 million is being held in escrow in accordance with the agreement with Discover for certain loan loss obligations that remain with the Company following the sale. The escrowed amount is recorded as restricted cash as of June 30, 2016.</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Discover participated as a marketplace lender from closing of the transaction through July 2015.</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paying off and then terminating the warehouse lines of credit and settling derivative obligations, all of which have been completed. Liability for losses on previously sold loans will remain with LendingTree Loans and are discussed below.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 As of June 30, 2016, approximately $4.0 million is being held in escrow pending resolution of certain of these contingent liabilities.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sale of substantially all of the operating assets of LendingTree Loans in June 2012, it originated approximately 234,000 loans with an original issue balance of $38.9 billion.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as well as LendingTree Loans' non-operating status, in order to estimate a range of potential obligation.</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$5.8 million to $10.4 million at June 30, 2016. The reserve balance recorded as of June 30, 2016 was $8.1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8,127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8,750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30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8,127</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8,750</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8,127</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8,750</w:t>
            </w:r>
          </w:p>
        </w:tc>
      </w:tr>
      <w:tr>
        <w:trPr>
          <w:trHeight w:val="34"/>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June 30, 2016 and December 31,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2015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we believe to be the leading online loan marketplace for consumers seeking loans and other credit-based offerings. Our online marketplace provides consumers with access to product offerings from our Network Lenders, including mortgage loans, home equity, reverse mortgage, auto loans, credit cards, personal loans, student loans and small business loans and other related offerings. In addition, we offer tools and resources, including free credit scores, that facilitate comparison shopping for these loan and other credit-based offerings. We seek to match consumers with multiple lenders, who can provide them with competing quotes for the product they are seeking. We also serve as a valued partner to lenders seeking an efficient, scalable and flexible source of customer acquisition with directly measurable benefits, by matching the consumer inquiries we generate with these lenders.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 and other credit-based opportunities on our marketplace that may be more favorable than the loans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operating our core mortgage business, we are focused on growing our non-mortgage lending businesses and developing new product offerings and enhancements to improve the experiences that consumers and lenders have as they interact with us. By expanding our portfolio of loan and credit-based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activity is principally driven by mortgage interest rates as well as real estate values. However, these trends in our business are not absolute and there have been exceptions to them. For example, in recent periods additional factors affecting the mortgage and real estate markets have impacted customary seasonal trends.</w:t>
      </w:r>
    </w:p>
    <w:p>
      <w:pPr>
        <w:spacing w:after="0" w:line="12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anticipate revenue in our newer products to be cyclical as well; however, we have limited historical data to predict the nature and magnitude of this cyclicality. Other factors affecting our business include macro factors such as credit availability in the market, the strength of the economy and employment.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Freddie Mac, mortgage interest rates have continued to stay low, decreasing to a monthly average of 3.57% in June 2016, its lowest since May 2013. On a quarterly basis, mortgage interest rates in the second quarter of 2016 averaged 3.59%, as compared to 3.74% in the first quarter of 2016 and 3.83% in the second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55880</wp:posOffset>
            </wp:positionV>
            <wp:extent cx="4433570" cy="2298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3357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Typically, as mortgage interest rates drop, there are more consumers in the marketplace seeking refinancings and, accordingly, the mix of mortgage origination dollars moves towards refinance mortgages. However, according to Mortgage Bankers Association ("MBA"), due to the consistent low interest rates, there are fewer refinance opportunities remaining. Therefore, total refinance origination dollars dipped slightly to 46% of total mortgage origination dollars in the second quarter of 2016 over the first quarter of 2016 and the second quarter of 2015.</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Looking forward, MBA is projecting mortgage interest rates to remain low until the end of the year, at which MBA projects interest rates to climb to an average 4.0% on 30-year fixed rate mortgages. According to MBA projections, as interest rates climb, the mix of mortgage origination dollars will move towards purchase mortgages with the refinance share representing just 41% for 2016, as compared to 46% for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According to the National Association of Realtors ("NAR"), in the second quarter of 2016, existing home sales increased approximately 4% from the first quarter of 2016 and the second quarter of 2015. Median home prices were up almost 11% from the first quarter of 2016, due to limited supply, with existing housing inventory down approximately 6% from a year ago. In the second half of 2016, the NAR expects moderate growth in existing home sales, barring deceleration in job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2016 and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jc w:val="center"/>
              <w:ind w:left="499"/>
              <w:spacing w:after="0"/>
              <w:rPr>
                <w:sz w:val="20"/>
                <w:szCs w:val="20"/>
                <w:color w:val="auto"/>
              </w:rPr>
            </w:pPr>
            <w:r>
              <w:rPr>
                <w:rFonts w:ascii="Arial" w:cs="Arial" w:eastAsia="Arial" w:hAnsi="Arial"/>
                <w:sz w:val="16"/>
                <w:szCs w:val="16"/>
                <w:b w:val="1"/>
                <w:bCs w:val="1"/>
                <w:color w:val="auto"/>
                <w:w w:val="91"/>
              </w:rPr>
              <w:t>Three Months Ended June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000" w:type="dxa"/>
            <w:vAlign w:val="bottom"/>
          </w:tcPr>
          <w:p>
            <w:pPr>
              <w:jc w:val="right"/>
              <w:ind w:right="600"/>
              <w:spacing w:after="0" w:line="147"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61"/>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20" w:type="dxa"/>
            <w:vAlign w:val="bottom"/>
          </w:tcPr>
          <w:p>
            <w:pPr>
              <w:jc w:val="right"/>
              <w:ind w:right="440"/>
              <w:spacing w:after="0" w:line="147"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300"/>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7"/>
              </w:rPr>
              <w:t>Change</w:t>
            </w: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81"/>
        </w:trPr>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40" w:type="dxa"/>
            <w:vAlign w:val="bottom"/>
            <w:gridSpan w:val="4"/>
          </w:tcPr>
          <w:p>
            <w:pPr>
              <w:jc w:val="right"/>
              <w:ind w:right="359"/>
              <w:spacing w:after="0"/>
              <w:rPr>
                <w:sz w:val="20"/>
                <w:szCs w:val="20"/>
                <w:color w:val="auto"/>
              </w:rPr>
            </w:pPr>
            <w:r>
              <w:rPr>
                <w:rFonts w:ascii="Arial" w:cs="Arial" w:eastAsia="Arial" w:hAnsi="Arial"/>
                <w:sz w:val="13"/>
                <w:szCs w:val="13"/>
                <w:b w:val="1"/>
                <w:bCs w:val="1"/>
                <w:i w:val="1"/>
                <w:iCs w:val="1"/>
                <w:color w:val="auto"/>
                <w:w w:val="93"/>
              </w:rPr>
              <w:t>(Dollars 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56,032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37,198</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rPr>
              <w:t>18,834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74,196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36,852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37"/>
        </w:trPr>
        <w:tc>
          <w:tcPr>
            <w:tcW w:w="414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38,258</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17,938</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20,320</w:t>
            </w:r>
          </w:p>
        </w:tc>
        <w:tc>
          <w:tcPr>
            <w:tcW w:w="760" w:type="dxa"/>
            <w:vAlign w:val="bottom"/>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77,955</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31,875</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46,080</w:t>
            </w:r>
          </w:p>
        </w:tc>
        <w:tc>
          <w:tcPr>
            <w:tcW w:w="740" w:type="dxa"/>
            <w:vAlign w:val="bottom"/>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94,290</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55,136</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39,154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189,003</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106,071</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82,932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78 %</w:t>
            </w:r>
          </w:p>
        </w:tc>
        <w:tc>
          <w:tcPr>
            <w:tcW w:w="0" w:type="dxa"/>
            <w:vAlign w:val="bottom"/>
          </w:tcPr>
          <w:p>
            <w:pPr>
              <w:spacing w:after="0"/>
              <w:rPr>
                <w:sz w:val="1"/>
                <w:szCs w:val="1"/>
                <w:color w:val="auto"/>
              </w:rPr>
            </w:pPr>
          </w:p>
        </w:tc>
      </w:tr>
      <w:tr>
        <w:trPr>
          <w:trHeight w:val="224"/>
        </w:trPr>
        <w:tc>
          <w:tcPr>
            <w:tcW w:w="41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Cost of revenue (exclusive of depreciation shown separately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below)</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3,464</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1,991</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rPr>
              <w:t>1,473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3,966</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2,971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37"/>
        </w:trPr>
        <w:tc>
          <w:tcPr>
            <w:tcW w:w="414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64,538</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36,877</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27,661</w:t>
            </w:r>
          </w:p>
        </w:tc>
        <w:tc>
          <w:tcPr>
            <w:tcW w:w="76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129,597</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69,714</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59,883</w:t>
            </w:r>
          </w:p>
        </w:tc>
        <w:tc>
          <w:tcPr>
            <w:tcW w:w="740" w:type="dxa"/>
            <w:vAlign w:val="bottom"/>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8,553</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7,039</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rPr>
              <w:t>1,514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17,812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14,267</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3,545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37"/>
        </w:trPr>
        <w:tc>
          <w:tcPr>
            <w:tcW w:w="414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3,781</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2,390</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1,391</w:t>
            </w:r>
          </w:p>
        </w:tc>
        <w:tc>
          <w:tcPr>
            <w:tcW w:w="760" w:type="dxa"/>
            <w:vAlign w:val="bottom"/>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7,666</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4,563</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3,103</w:t>
            </w:r>
          </w:p>
        </w:tc>
        <w:tc>
          <w:tcPr>
            <w:tcW w:w="74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1,174</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rPr>
              <w:t>457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1,371</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801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37"/>
        </w:trPr>
        <w:tc>
          <w:tcPr>
            <w:tcW w:w="414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35</w:t>
            </w:r>
          </w:p>
        </w:tc>
        <w:tc>
          <w:tcPr>
            <w:tcW w:w="760" w:type="dxa"/>
            <w:vAlign w:val="bottom"/>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and severance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(316)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(322)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414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(1,078)</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999</w:t>
            </w:r>
          </w:p>
        </w:tc>
        <w:tc>
          <w:tcPr>
            <w:tcW w:w="760" w:type="dxa"/>
            <w:vAlign w:val="bottom"/>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(796)</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886</w:t>
            </w:r>
          </w:p>
        </w:tc>
        <w:tc>
          <w:tcPr>
            <w:tcW w:w="740" w:type="dxa"/>
            <w:vAlign w:val="bottom"/>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81,575</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48,361</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33,214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164,443</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93,578</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70,865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76 %</w:t>
            </w:r>
          </w:p>
        </w:tc>
        <w:tc>
          <w:tcPr>
            <w:tcW w:w="0" w:type="dxa"/>
            <w:vAlign w:val="bottom"/>
          </w:tcPr>
          <w:p>
            <w:pPr>
              <w:spacing w:after="0"/>
              <w:rPr>
                <w:sz w:val="1"/>
                <w:szCs w:val="1"/>
                <w:color w:val="auto"/>
              </w:rPr>
            </w:pPr>
          </w:p>
        </w:tc>
      </w:tr>
      <w:tr>
        <w:trPr>
          <w:trHeight w:val="231"/>
        </w:trPr>
        <w:tc>
          <w:tcPr>
            <w:tcW w:w="41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12,715</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6,775</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5,940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88 %</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24,560</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12,493</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12,067</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97 %</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77</w:t>
            </w:r>
          </w:p>
        </w:tc>
        <w:tc>
          <w:tcPr>
            <w:tcW w:w="760" w:type="dxa"/>
            <w:vAlign w:val="bottom"/>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(283)</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221</w:t>
            </w:r>
          </w:p>
        </w:tc>
        <w:tc>
          <w:tcPr>
            <w:tcW w:w="740" w:type="dxa"/>
            <w:vAlign w:val="bottom"/>
          </w:tcPr>
          <w:p>
            <w:pPr>
              <w:jc w:val="right"/>
              <w:spacing w:after="0"/>
              <w:rPr>
                <w:sz w:val="20"/>
                <w:szCs w:val="20"/>
                <w:color w:val="auto"/>
              </w:rPr>
            </w:pPr>
            <w:r>
              <w:rPr>
                <w:rFonts w:ascii="Arial" w:cs="Arial" w:eastAsia="Arial" w:hAnsi="Arial"/>
                <w:sz w:val="16"/>
                <w:szCs w:val="16"/>
                <w:color w:val="auto"/>
              </w:rPr>
              <w:t>356 %</w:t>
            </w: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12,574</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6,711</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5,863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24,277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12,431</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11,846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95 %</w:t>
            </w:r>
          </w:p>
        </w:tc>
        <w:tc>
          <w:tcPr>
            <w:tcW w:w="0" w:type="dxa"/>
            <w:vAlign w:val="bottom"/>
          </w:tcPr>
          <w:p>
            <w:pPr>
              <w:spacing w:after="0"/>
              <w:rPr>
                <w:sz w:val="1"/>
                <w:szCs w:val="1"/>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(3,572)</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(272)</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3,300</w:t>
            </w:r>
          </w:p>
        </w:tc>
        <w:tc>
          <w:tcPr>
            <w:tcW w:w="760" w:type="dxa"/>
            <w:vAlign w:val="bottom"/>
          </w:tcPr>
          <w:p>
            <w:pPr>
              <w:jc w:val="right"/>
              <w:spacing w:after="0"/>
              <w:rPr>
                <w:sz w:val="20"/>
                <w:szCs w:val="20"/>
                <w:color w:val="auto"/>
              </w:rPr>
            </w:pPr>
            <w:r>
              <w:rPr>
                <w:rFonts w:ascii="Arial" w:cs="Arial" w:eastAsia="Arial" w:hAnsi="Arial"/>
                <w:sz w:val="16"/>
                <w:szCs w:val="16"/>
                <w:color w:val="auto"/>
              </w:rPr>
              <w:t>1,213 %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(8,370)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(579)</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7,791</w:t>
            </w:r>
          </w:p>
        </w:tc>
        <w:tc>
          <w:tcPr>
            <w:tcW w:w="740" w:type="dxa"/>
            <w:vAlign w:val="bottom"/>
          </w:tcPr>
          <w:p>
            <w:pPr>
              <w:jc w:val="right"/>
              <w:spacing w:after="0"/>
              <w:rPr>
                <w:sz w:val="20"/>
                <w:szCs w:val="20"/>
                <w:color w:val="auto"/>
              </w:rPr>
            </w:pPr>
            <w:r>
              <w:rPr>
                <w:rFonts w:ascii="Arial" w:cs="Arial" w:eastAsia="Arial" w:hAnsi="Arial"/>
                <w:sz w:val="16"/>
                <w:szCs w:val="16"/>
                <w:color w:val="auto"/>
              </w:rPr>
              <w:t>1,346 %</w:t>
            </w: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9,002</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6,439</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2,563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15,907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11,852</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4,055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34 %</w:t>
            </w:r>
          </w:p>
        </w:tc>
        <w:tc>
          <w:tcPr>
            <w:tcW w:w="0" w:type="dxa"/>
            <w:vAlign w:val="bottom"/>
          </w:tcPr>
          <w:p>
            <w:pPr>
              <w:spacing w:after="0"/>
              <w:rPr>
                <w:sz w:val="1"/>
                <w:szCs w:val="1"/>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6"/>
                <w:szCs w:val="16"/>
                <w:b w:val="1"/>
                <w:bCs w:val="1"/>
                <w:color w:val="auto"/>
              </w:rPr>
              <w:t>Loss from discontinued operations, net of tax</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(1,150)</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(1,717)</w:t>
            </w:r>
          </w:p>
        </w:tc>
        <w:tc>
          <w:tcPr>
            <w:tcW w:w="180" w:type="dxa"/>
            <w:vAlign w:val="bottom"/>
          </w:tcPr>
          <w:p>
            <w:pPr>
              <w:spacing w:after="0"/>
              <w:rPr>
                <w:sz w:val="20"/>
                <w:szCs w:val="20"/>
                <w:color w:val="auto"/>
              </w:rPr>
            </w:pPr>
          </w:p>
        </w:tc>
        <w:tc>
          <w:tcPr>
            <w:tcW w:w="1000" w:type="dxa"/>
            <w:vAlign w:val="bottom"/>
          </w:tcPr>
          <w:p>
            <w:pPr>
              <w:jc w:val="right"/>
              <w:ind w:right="240"/>
              <w:spacing w:after="0"/>
              <w:rPr>
                <w:sz w:val="20"/>
                <w:szCs w:val="20"/>
                <w:color w:val="auto"/>
              </w:rPr>
            </w:pPr>
            <w:r>
              <w:rPr>
                <w:rFonts w:ascii="Arial" w:cs="Arial" w:eastAsia="Arial" w:hAnsi="Arial"/>
                <w:sz w:val="16"/>
                <w:szCs w:val="16"/>
                <w:color w:val="auto"/>
              </w:rPr>
              <w:t>(567)</w:t>
            </w: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(2,353)</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(1,943)</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410</w:t>
            </w:r>
          </w:p>
        </w:tc>
        <w:tc>
          <w:tcPr>
            <w:tcW w:w="74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and comprehensive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7,852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4,722</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3,130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9,909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3,645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37 %</w:t>
            </w:r>
          </w:p>
        </w:tc>
        <w:tc>
          <w:tcPr>
            <w:tcW w:w="0" w:type="dxa"/>
            <w:vAlign w:val="bottom"/>
          </w:tcPr>
          <w:p>
            <w:pPr>
              <w:spacing w:after="0"/>
              <w:rPr>
                <w:sz w:val="1"/>
                <w:szCs w:val="1"/>
                <w:color w:val="auto"/>
              </w:rPr>
            </w:pPr>
          </w:p>
        </w:tc>
      </w:tr>
      <w:tr>
        <w:trPr>
          <w:trHeight w:val="27"/>
        </w:trPr>
        <w:tc>
          <w:tcPr>
            <w:tcW w:w="4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Revenue increased in the second quarter and first six months of 2016 compared to the second quarter and first six months of 2015 due to increases in our non-mortgage products of $20.3 million and $46.1 million, respectively, and in our mortgage products of $18.8 million and $36.9 million, respectively.</w:t>
      </w:r>
    </w:p>
    <w:p>
      <w:pPr>
        <w:spacing w:after="0" w:line="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non-mortgage products include the following non-mortgage lending products: personal loans, home equity, reverse mortgage, credit cards, auto loans, student loans and small business loans. Our non-mortgage products also include home improvement referrals and other credit products such as credit repair and debt settlement. The increase in revenue from our non-mortgage products in the second quarter and first six months of 2016 is primarily due to increases in revenue from our personal loans product, our credit cards product and our home equity product. Revenue from our personal loans product increased in the second quarter and first six months of 2016 compared to the second quarter and first six months of 2015 due to growing awareness in the market of the product, an increase in lenders on our exchange, and increased marketing efforts, partially offset by decreases in revenue earned per matched consumer. Revenue from our credit cards product increased in the second quarter and first six months of 2016 compared to the second quarter and first six months of 2015 due to increases in payouts from issuers in addition to increased marketing efforts. Revenue from each of our non-mortgage lending products increased in the second quarter and first six months of 2016 compared to the second quarter and first six months of 2015.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Certain of our online personal loan lenders experienced well-publicized challenges in the first six months of 2016, in particular increased pricing demanded by investors of personal loans, which in some cases led to reductions in marketing spend. We generally expect our product lines to move in tandem with the collective demand of all of our lenders in the product rather than any individual ones, and we expect to see more lenders with different capital models enter the personal loan marketplace and join our network. We believe the market for our non-mortgage products, including personal loans, remains under-penetrated and we believe long-term growth prospects are strong for non-mortgage products. A significant industry-wide contraction in the availability of capital for non-mortgage lending products would likely adversely affect our non-mortgage product revenues. We expect more moderate year-over-year growth in non-mortgage revenue for the remainder of 2016 compared to the year-over-year growth for the comparable quarters of 2015, reflecting anticipated normalized growth in personal loans and increased growth in other products including student loans and home equity.</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revenue from our mortgage products in the second quarter and first six months of 2016 compared to the second quarter and first six months of 2015 is due to an increase in revenue from both our refinance and purchase products. Revenue from our refinance product increased in the second quarter and first six months of 2016 compared to the second quarter and first six months of 2015 due to increased demand of both new and existing lenders on our marketplace.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Cost of revenue consists primarily of costs associated with compensation and other employee-related costs (including stock-based compensation) relating to internally-operated call centers, third-party customer call center fees, credit scoring fees, credit card fees, website network hosting and server fees.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the second quarter of 2016 from the second quarter of 2015, primarily due to increases of $0.3 million in compensation and benefits as a result of increases in headcount, $0.4 million in credit card fees, $0.3 million in credit scoring fees, $0.2 million in lead technology fees, $0.1 million in lead verification fees and $0.1 million in third-party call center fees.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remained flat at 4% for the second quarter of 2015 and the second quarter of 2016.</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the first six months of 2016 from the first six months of 2015, primarily due to increases of $0.8 million in compensation and benefits as a result of increases in headcount, $0.7 million in credit card fees, $0.4 million in lead technology fees, $0.4 million in credit scoring fees, $0.3 million in third-party call center fees and $0.2 million in lead verification fees.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remained flat at 4% for the first six months of 2015 and the first six months of 2016.</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for consumer inquiries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increases in selling and marketing expense in the second quarter and first six months of 2016 compared to the second quarter and first six months of 2015 were primarily due to increases in advertising and promotional expense of $26.6 million and $57.5 million, respectively, as discussed below. In addition, selling and marketing expense increased in the second quarter and first six months of 2016 compared to the second quarter and first six months of 2015 due to an increase in compensation and benefits of $1.1 million and $2.4 million, respectively, as a result of increases in headcount.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2"/>
              </w:rPr>
              <w:t>Six Months Ended 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3"/>
                <w:szCs w:val="13"/>
                <w:color w:val="auto"/>
              </w:rPr>
            </w:pPr>
          </w:p>
        </w:tc>
        <w:tc>
          <w:tcPr>
            <w:tcW w:w="940" w:type="dxa"/>
            <w:vAlign w:val="bottom"/>
          </w:tcPr>
          <w:p>
            <w:pPr>
              <w:jc w:val="right"/>
              <w:ind w:right="496"/>
              <w:spacing w:after="0" w:line="153"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78"/>
              <w:spacing w:after="0" w:line="15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8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3"/>
                <w:szCs w:val="13"/>
                <w:color w:val="auto"/>
              </w:rPr>
            </w:pPr>
          </w:p>
        </w:tc>
        <w:tc>
          <w:tcPr>
            <w:tcW w:w="920" w:type="dxa"/>
            <w:vAlign w:val="bottom"/>
          </w:tcPr>
          <w:p>
            <w:pPr>
              <w:jc w:val="right"/>
              <w:ind w:right="496"/>
              <w:spacing w:after="0" w:line="153" w:lineRule="exact"/>
              <w:rPr>
                <w:sz w:val="20"/>
                <w:szCs w:val="20"/>
                <w:color w:val="auto"/>
              </w:rPr>
            </w:pPr>
            <w:r>
              <w:rPr>
                <w:rFonts w:ascii="Arial" w:cs="Arial" w:eastAsia="Arial" w:hAnsi="Arial"/>
                <w:sz w:val="14"/>
                <w:szCs w:val="14"/>
                <w:b w:val="1"/>
                <w:bCs w:val="1"/>
                <w:color w:val="auto"/>
              </w:rPr>
              <w:t>$</w:t>
            </w:r>
          </w:p>
        </w:tc>
        <w:tc>
          <w:tcPr>
            <w:tcW w:w="900" w:type="dxa"/>
            <w:vAlign w:val="bottom"/>
          </w:tcPr>
          <w:p>
            <w:pPr>
              <w:ind w:left="38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40" w:type="dxa"/>
            <w:vAlign w:val="bottom"/>
            <w:gridSpan w:val="4"/>
          </w:tcPr>
          <w:p>
            <w:pPr>
              <w:jc w:val="right"/>
              <w:ind w:right="354"/>
              <w:spacing w:after="0"/>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50,566</w:t>
            </w:r>
          </w:p>
        </w:tc>
        <w:tc>
          <w:tcPr>
            <w:tcW w:w="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26,349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24,217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101,093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50,723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50,370</w:t>
            </w:r>
          </w:p>
        </w:tc>
        <w:tc>
          <w:tcPr>
            <w:tcW w:w="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8,921</w:t>
            </w:r>
          </w:p>
        </w:tc>
        <w:tc>
          <w:tcPr>
            <w:tcW w:w="3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6,599</w:t>
            </w:r>
          </w:p>
        </w:tc>
        <w:tc>
          <w:tcPr>
            <w:tcW w:w="300" w:type="dxa"/>
            <w:vAlign w:val="bottom"/>
          </w:tcPr>
          <w:p>
            <w:pPr>
              <w:spacing w:after="0"/>
              <w:rPr>
                <w:sz w:val="21"/>
                <w:szCs w:val="21"/>
                <w:color w:val="auto"/>
              </w:rPr>
            </w:pP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2,322</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17,637</w:t>
            </w: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11,334</w:t>
            </w:r>
          </w:p>
        </w:tc>
        <w:tc>
          <w:tcPr>
            <w:tcW w:w="300" w:type="dxa"/>
            <w:vAlign w:val="bottom"/>
          </w:tcPr>
          <w:p>
            <w:pPr>
              <w:spacing w:after="0"/>
              <w:rPr>
                <w:sz w:val="21"/>
                <w:szCs w:val="21"/>
                <w:color w:val="auto"/>
              </w:rPr>
            </w:pP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6,303</w:t>
            </w:r>
          </w:p>
        </w:tc>
        <w:tc>
          <w:tcPr>
            <w:tcW w:w="900" w:type="dxa"/>
            <w:vAlign w:val="bottom"/>
          </w:tcPr>
          <w:p>
            <w:pPr>
              <w:ind w:left="5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826</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757</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69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2,163</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1,375</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788</w:t>
            </w:r>
          </w:p>
        </w:tc>
        <w:tc>
          <w:tcPr>
            <w:tcW w:w="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26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60,313</w:t>
            </w:r>
          </w:p>
        </w:tc>
        <w:tc>
          <w:tcPr>
            <w:tcW w:w="3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33,705</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26,608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120,893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63,432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57,461</w:t>
            </w:r>
          </w:p>
        </w:tc>
        <w:tc>
          <w:tcPr>
            <w:tcW w:w="90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34"/>
        </w:trPr>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increased our advertising expenditures in the second quarter of 2016 compared to the second quarter of 2015 and the first six months of 2016 compared to the first six months of 2015 in order to generate additional consumer inquiries to meet the increased demand of lenders on our marketplace.</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3" w:lineRule="exact"/>
        <w:rPr>
          <w:sz w:val="20"/>
          <w:szCs w:val="20"/>
          <w:color w:val="auto"/>
        </w:rPr>
      </w:pPr>
    </w:p>
    <w:p>
      <w:pPr>
        <w:jc w:val="both"/>
        <w:ind w:firstLine="371"/>
        <w:spacing w:after="0" w:line="264" w:lineRule="auto"/>
        <w:rPr>
          <w:sz w:val="20"/>
          <w:szCs w:val="20"/>
          <w:color w:val="auto"/>
        </w:rPr>
      </w:pPr>
      <w:r>
        <w:rPr>
          <w:rFonts w:ascii="Arial" w:cs="Arial" w:eastAsia="Arial" w:hAnsi="Arial"/>
          <w:sz w:val="18"/>
          <w:szCs w:val="18"/>
          <w:color w:val="auto"/>
        </w:rPr>
        <w:t>General and administrative expense increased in the second quarter of 2016 from the second quarter of 2015, primarily due to increases in compensation and benefits of $0.5 million as a result of increases in headcount, increases in professional fees of $0.8 million, increases in other fees and charges of $0.2 million and increases in facility fees of $0.2 million, partially offset by a decrease in other taxes of $0.3 million.</w:t>
      </w:r>
    </w:p>
    <w:p>
      <w:pPr>
        <w:spacing w:after="0" w:line="73" w:lineRule="exact"/>
        <w:rPr>
          <w:sz w:val="20"/>
          <w:szCs w:val="20"/>
          <w:color w:val="auto"/>
        </w:rPr>
      </w:pPr>
    </w:p>
    <w:p>
      <w:pPr>
        <w:jc w:val="both"/>
        <w:ind w:firstLine="372"/>
        <w:spacing w:after="0" w:line="277" w:lineRule="auto"/>
        <w:rPr>
          <w:sz w:val="20"/>
          <w:szCs w:val="20"/>
          <w:color w:val="auto"/>
        </w:rPr>
      </w:pPr>
      <w:r>
        <w:rPr>
          <w:rFonts w:ascii="Arial" w:cs="Arial" w:eastAsia="Arial" w:hAnsi="Arial"/>
          <w:sz w:val="18"/>
          <w:szCs w:val="18"/>
          <w:color w:val="auto"/>
        </w:rPr>
        <w:t>General and administrative expense as a percentage of revenue decreased to 9% in the second quarter of 2016 compared to 13% in the second quarter of 2015.</w:t>
      </w:r>
    </w:p>
    <w:p>
      <w:pPr>
        <w:spacing w:after="0" w:line="62" w:lineRule="exact"/>
        <w:rPr>
          <w:sz w:val="20"/>
          <w:szCs w:val="20"/>
          <w:color w:val="auto"/>
        </w:rPr>
      </w:pPr>
    </w:p>
    <w:p>
      <w:pPr>
        <w:jc w:val="both"/>
        <w:ind w:firstLine="409"/>
        <w:spacing w:after="0" w:line="286" w:lineRule="auto"/>
        <w:rPr>
          <w:sz w:val="20"/>
          <w:szCs w:val="20"/>
          <w:color w:val="auto"/>
        </w:rPr>
      </w:pPr>
      <w:r>
        <w:rPr>
          <w:rFonts w:ascii="Arial" w:cs="Arial" w:eastAsia="Arial" w:hAnsi="Arial"/>
          <w:sz w:val="17"/>
          <w:szCs w:val="17"/>
          <w:color w:val="auto"/>
        </w:rPr>
        <w:t>General and administrative expense increased in the first six months of 2016 from the first six months of 2015, primarily due to increases in compensation and benefits of $0.8 million as a result of increases in headcount, increases in professional fees of $1.1 million, increases in facility fees of $0.4 million, increases in travel and entertainment expenses of $0.3 million and increases in other fees and charges of $0.3 million.</w:t>
      </w:r>
    </w:p>
    <w:p>
      <w:pPr>
        <w:spacing w:after="0" w:line="57"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General and administrative expense as a percentage of revenue decreased to 9% in the first six months of 2016 compared to 13% in the first six months of 2015.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Product development expense increased in the second quarter and first six months of 2016 compared to the second quarter and first six months of 2015, as we continued to invest in internal development of new and enhanced features, functionality and business opportunities that we believe will enable us to better and more fully serve consumers and lenders. Product development expenses are comprised primarily of compensation and other employee-related costs. We increased headcount in the second quarter and first six months of 2016 compared to the second quarter and first six months of 2015 in order to support planned product launches.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second quarter and first six months of 2016, the effective tax rate varied from the federal statutory rate of 35% primarily due to the benefit derived from the federal research tax credit, partially offset by state taxes. The federal research tax credit benefit is the result of a study completed during the quarter for the open tax years of 2011 through 2015, plus an estimate of the benefit from current research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For the second quarter and first six months of 2015, the effective tax rate varied from the federal statutory rate of 35% primarily due to the existence of a valuation allowance that has been provided to offset our net deferred tax asset and state taxes. During the fourth quarter of 2015, we released the majority of the valuation allowance.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second quarter and first six months of 2016.</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impairment charges, (3) gain/loss on disposal of assets,</w:t>
      </w:r>
    </w:p>
    <w:p>
      <w:pPr>
        <w:jc w:val="both"/>
        <w:ind w:firstLine="8"/>
        <w:spacing w:after="0" w:line="252" w:lineRule="auto"/>
        <w:tabs>
          <w:tab w:leader="none" w:pos="298"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and legal fees for certain patent litigation, (6) adjustments for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$0.1 million related to an estimated settlement for unclaimed property in the second quarter and first six months of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Adjusted EBITDA to net income from continuing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40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2016</w:t>
            </w:r>
          </w:p>
        </w:tc>
        <w:tc>
          <w:tcPr>
            <w:tcW w:w="40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16,660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8,902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32,457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17,838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Adjustments to reconcile to net income from continuing operations: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(1,174)</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(2,172)</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(1,371)</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(2,429)</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Estimated settlement for unclaimed property</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1,078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796</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(3,572)</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(8,370)</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7"/>
        </w:trPr>
        <w:tc>
          <w:tcPr>
            <w:tcW w:w="6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9,002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6,439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15,907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11,852</w:t>
            </w:r>
          </w:p>
        </w:tc>
      </w:tr>
      <w:tr>
        <w:trPr>
          <w:trHeight w:val="27"/>
        </w:trPr>
        <w:tc>
          <w:tcPr>
            <w:tcW w:w="6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2016, we had $159.6 million of cash and cash equivalents and $4.1 million of restricted cash and cash equivalents, compared to $207.0 million of cash and cash equivalents and $6.5 million of restricted cash and cash equivalents as of December 31, 2015.</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six months of 2016, the Company purchased 686,627 shares of its common stock pursuant to a stock repurchase program for $48.2 million.</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November 2015, the Company completed an equity offering of 852,500 shares of its common stock. The Company received net proceeds of $91.5 million, after deducting approximately $5.9 million in underwriting discounts and $0.7 million in offering expenses. The Company expects to use the net proceeds of the offering for general corporate purposes, including but not limited to, working capital and potential acquisitions.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we established a $125.0 million five-year Senior Secured Revolving Credit Facility which matures on October 22, 2020 (the “Revolving Credit Facility”). The proceeds of the Revolving Credit Facility can be used to finance working capital needs, capital expenditures and general corporate purposes, including to finance permitted acquisitions. As of July 29, 2016, we do not have any borrowings outstanding under the Revolving Credit Facility.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additional information on the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11—Revolving Credit Facility,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center"/>
              <w:ind w:left="57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10,836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15,202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(8,498)</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(46,850)</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r>
      <w:tr>
        <w:trPr>
          <w:trHeight w:val="20"/>
        </w:trPr>
        <w:tc>
          <w:tcPr>
            <w:tcW w:w="8320" w:type="dxa"/>
            <w:vAlign w:val="bottom"/>
            <w:shd w:val="clear" w:color="auto" w:fill="999999"/>
          </w:tcPr>
          <w:p>
            <w:pPr>
              <w:spacing w:after="0" w:line="20" w:lineRule="exact"/>
              <w:rPr>
                <w:sz w:val="1"/>
                <w:szCs w:val="1"/>
                <w:color w:val="auto"/>
              </w:rPr>
            </w:pPr>
          </w:p>
        </w:tc>
        <w:tc>
          <w:tcPr>
            <w:tcW w:w="360" w:type="dxa"/>
            <w:vAlign w:val="bottom"/>
            <w:shd w:val="clear" w:color="auto" w:fill="999999"/>
          </w:tcPr>
          <w:p>
            <w:pPr>
              <w:spacing w:after="0" w:line="20" w:lineRule="exact"/>
              <w:rPr>
                <w:sz w:val="1"/>
                <w:szCs w:val="1"/>
                <w:color w:val="auto"/>
              </w:rPr>
            </w:pPr>
          </w:p>
        </w:tc>
        <w:tc>
          <w:tcPr>
            <w:tcW w:w="118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largest source of cash provided by our operating activities is revenues generated by our mortgage and non-mortgage products. Our primary uses of cash from our operating activities include advertising and promotional payments and fees paid for consumer inquiries. In addition, our uses of cash from operating activities include compensation and other employee-related costs, other general corporate expenditures, litigation settlements and contingencies and income taxes.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operating activities attributable to continuing operations decreased in the first six months of 2016 from the first six months of 2015 primarily due to higher negative working capital in the first six months of 2016 compared to the first six months of 2015, primarily driven by changes in accounts receivable and accounts payable, accrued expenses and other current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attributable to continuing operations in the first six months of 2016 of $8.5 million consisted primarily of capital expenditures of $6.5 million primarily related to internally developed software and the acquisition of an aircraft and $4.5 million for the acquisition of SimpleTuition, partially offset by a $2.5 million decrease in restricted cash due to the release of funds in escrow for the surety bonds due to a reduction in collateral requirements.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six months of 2015 of $2.7 million consisted primarily of capital expenditures of $2.7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Net cash used in financing activities attributable to continuing operations in the first six months of 2016 of $46.9 million consisted primarily of the repurchase of our stock of $48.1 million, $2.8 million in withholding taxes paid by us upon surrender of shares to satisfy obligations on equity awards; offset by $4.1 million in excess tax benefits from stock-based award activity.</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Net cash used in financing activities attributable to continuing operations in the first six months of 2015 of $5.4 million consisted primarily of $5.3 million in employee withholding taxes paid by us upon employees' surrender of shares to satisfy withholding obligations on equity awards, $0.2 million for the repurchase of our common stock and $0.1 million in dividend payments; offset by $0.2 million in excess tax benefits from stock-based award activity.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off-balance sheet arrangements other than our operating lease obligations and funding commitments pursuant to our surety bonds.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see Note 2- 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than our Revolving Credit Facility, which currently has no borrowings outstanding, we do not have any financial instruments that are exposed to significant market risk. We maintain our cash and cash equivalents in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June 30, 2016,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2016 that has materially affected, or is reasonably likely to materially affect, our internal controls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2015 Annual Report and updated that information in Note 12—Contingencies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2015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each of January 2010, May 2014, January 2016 and February 2016, the board of directors authorized and we announced a stock repurchase program which allowed for the repurchase of up to $10.0 million, $10.0 million, $50.0 million and $40.0 million, respectively, of our common stock. At June 30, 2016, approximately $49.1 million remains authorized for share repurchase under this program.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June 30, 2016, 106,613 shares of common stock were repurchased under the stock repurchase program.</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the LendingTree Fourth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June 30, 2016, 2,975 shares were purchased related to these obligations under the LendingTree Fourth Amended and Restated 2008 Stock and Award Incentive Plan. The withholding of those shares does not affect the dollar amount or number of shares that may be purchased under the stock repurchase program described above.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June 30,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4/1/16 - 4/30/16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91.79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56,367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5/1/16 - 5/31/16</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94,045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69.62</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91,776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49,981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6/1/16 - 6/30/16</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77.85</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11,525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49,084</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109,588</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71.27</w:t>
            </w: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106,613</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49,084</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April 2016, May 2016 and June 2016, 491 shares, 2,269 shares and 215 shares, respectively (totaling 2,975 shares), were purchased to satisfy federal and state withholding obligations of our employees upon the settlement of restricted stock unit awards, all in accordance with our Fourth Amended and Restated 2008 Stock and Award Incentive Plan, as described above.</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Exhibit</w:t>
            </w:r>
          </w:p>
        </w:tc>
        <w:tc>
          <w:tcPr>
            <w:tcW w:w="65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06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Amended and Restated Certificate of Incorporation of LendingTree, Inc.</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6560" w:type="dxa"/>
            <w:vAlign w:val="bottom"/>
          </w:tcPr>
          <w:p>
            <w:pPr>
              <w:ind w:left="140"/>
              <w:spacing w:after="0"/>
              <w:rPr>
                <w:sz w:val="20"/>
                <w:szCs w:val="20"/>
                <w:color w:val="auto"/>
              </w:rPr>
            </w:pPr>
            <w:r>
              <w:rPr>
                <w:rFonts w:ascii="Arial" w:cs="Arial" w:eastAsia="Arial" w:hAnsi="Arial"/>
                <w:sz w:val="18"/>
                <w:szCs w:val="18"/>
                <w:color w:val="auto"/>
              </w:rPr>
              <w:t>Third Amended and Restated By-laws of LendingTree, Inc.</w:t>
            </w:r>
          </w:p>
        </w:tc>
        <w:tc>
          <w:tcPr>
            <w:tcW w:w="3800" w:type="dxa"/>
            <w:vAlign w:val="bottom"/>
          </w:tcPr>
          <w:p>
            <w:pPr>
              <w:ind w:left="80"/>
              <w:spacing w:after="0"/>
              <w:rPr>
                <w:sz w:val="20"/>
                <w:szCs w:val="20"/>
                <w:color w:val="auto"/>
              </w:rPr>
            </w:pPr>
            <w:r>
              <w:rPr>
                <w:rFonts w:ascii="Arial" w:cs="Arial" w:eastAsia="Arial" w:hAnsi="Arial"/>
                <w:sz w:val="18"/>
                <w:szCs w:val="18"/>
                <w:color w:val="auto"/>
                <w:w w:val="96"/>
              </w:rPr>
              <w:t>Exhibit 3.2 to the Registrant's Current Report on</w:t>
            </w:r>
          </w:p>
        </w:tc>
      </w:tr>
      <w:tr>
        <w:trPr>
          <w:trHeight w:val="230"/>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8-K filed December 31, 2014</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Certification of the Chief Executive Officer pursuant to Rule 13a-14(a) or Rule 15d-</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31.2</w:t>
            </w:r>
          </w:p>
        </w:tc>
        <w:tc>
          <w:tcPr>
            <w:tcW w:w="6560" w:type="dxa"/>
            <w:vAlign w:val="bottom"/>
          </w:tcPr>
          <w:p>
            <w:pPr>
              <w:ind w:left="140"/>
              <w:spacing w:after="0"/>
              <w:rPr>
                <w:sz w:val="20"/>
                <w:szCs w:val="20"/>
                <w:color w:val="auto"/>
              </w:rPr>
            </w:pPr>
            <w:r>
              <w:rPr>
                <w:rFonts w:ascii="Arial" w:cs="Arial" w:eastAsia="Arial" w:hAnsi="Arial"/>
                <w:sz w:val="18"/>
                <w:szCs w:val="18"/>
                <w:color w:val="auto"/>
                <w:w w:val="98"/>
              </w:rPr>
              <w:t>Certification of the Chief Financial Officer pursuant to Rule 13a-14(a) or Rule 15d-</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Certification of the Chief Executive Officer pursuant to 18 U.S.C. Section 1350 as</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32.2</w:t>
            </w:r>
          </w:p>
        </w:tc>
        <w:tc>
          <w:tcPr>
            <w:tcW w:w="6560" w:type="dxa"/>
            <w:vAlign w:val="bottom"/>
          </w:tcPr>
          <w:p>
            <w:pPr>
              <w:ind w:left="140"/>
              <w:spacing w:after="0"/>
              <w:rPr>
                <w:sz w:val="20"/>
                <w:szCs w:val="20"/>
                <w:color w:val="auto"/>
              </w:rPr>
            </w:pPr>
            <w:r>
              <w:rPr>
                <w:rFonts w:ascii="Arial" w:cs="Arial" w:eastAsia="Arial" w:hAnsi="Arial"/>
                <w:sz w:val="18"/>
                <w:szCs w:val="18"/>
                <w:color w:val="auto"/>
              </w:rPr>
              <w:t>Certification of the Chief Financial Officer pursuant to 18 U.S.C. Section 1350 as</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101.INS</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101.SCH</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101.CAL</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101.DEF</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101.LAB</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101.PRE</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2016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Gabriel Dalporto, certify that:</w:t>
      </w:r>
    </w:p>
    <w:p>
      <w:pPr>
        <w:spacing w:after="0" w:line="17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2016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38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2016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July 29, 2016</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 Gabriel Dalporto, certify, pursuant to 18 U.S.C. Section 1350, as adopted pursuant to Section 906 of the Sarbanes-Oxley Act of 2002, that to my knowledge:</w:t>
      </w:r>
    </w:p>
    <w:p>
      <w:pPr>
        <w:spacing w:after="0" w:line="116" w:lineRule="exact"/>
        <w:rPr>
          <w:sz w:val="20"/>
          <w:szCs w:val="20"/>
          <w:color w:val="auto"/>
        </w:rPr>
      </w:pPr>
    </w:p>
    <w:p>
      <w:pPr>
        <w:ind w:left="340" w:right="38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2016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July 29, 2016</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2019-12-29T10:15:00Z</dcterms:created>
  <dcterms:modified xsi:type="dcterms:W3CDTF">2019-12-29T10:15:00Z</dcterms:modified>
</cp:coreProperties>
</file>